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2"/>
          <w:szCs w:val="32"/>
        </w:rPr>
        <w:t xml:space="preserve">KFH Precious Metals Inventory Management System (PMIMS)</w:t>
      </w:r>
    </w:p>
    <w:p>
      <w:pPr>
        <w:spacing w:after="40"/>
        <w:jc w:val="center"/>
      </w:pPr>
      <w:r>
        <w:rPr>
          <w:rFonts w:ascii="Arial" w:cs="Arial" w:eastAsia="Arial" w:hAnsi="Arial"/>
          <w:color w:val="2E5395"/>
          <w:sz w:val="26"/>
          <w:szCs w:val="26"/>
        </w:rPr>
        <w:t xml:space="preserve">Reporting Requirements — Gap Analysis</w:t>
      </w:r>
    </w:p>
    <w:p>
      <w:pPr>
        <w:spacing w:after="300"/>
        <w:jc w:val="center"/>
      </w:pPr>
      <w:r>
        <w:rPr>
          <w:rFonts w:ascii="Arial" w:cs="Arial" w:eastAsia="Arial" w:hAnsi="Arial"/>
          <w:i/>
          <w:iCs/>
          <w:color w:val="555555"/>
          <w:sz w:val="20"/>
          <w:szCs w:val="20"/>
        </w:rPr>
        <w:t xml:space="preserve">Coverage assessment of the RFP reporting/dashboard requirement set against the current PMIMS codebase</w:t>
      </w:r>
    </w:p>
    <w:p>
      <w:pPr>
        <w:spacing w:after="160"/>
      </w:pPr>
      <w:r>
        <w:rPr>
          <w:rFonts w:ascii="Arial" w:cs="Arial" w:eastAsia="Arial" w:hAnsi="Arial"/>
          <w:b/>
          <w:bCs/>
        </w:rPr>
        <w:t xml:space="preserve">Prepared for: </w:t>
      </w:r>
      <w:r>
        <w:rPr>
          <w:rFonts w:ascii="Arial" w:cs="Arial" w:eastAsia="Arial" w:hAnsi="Arial"/>
        </w:rPr>
        <w:t xml:space="preserve">KFH Treasury Operations</w:t>
      </w:r>
    </w:p>
    <w:p>
      <w:pPr>
        <w:spacing w:after="160"/>
      </w:pPr>
      <w:r>
        <w:rPr>
          <w:rFonts w:ascii="Arial" w:cs="Arial" w:eastAsia="Arial" w:hAnsi="Arial"/>
          <w:b/>
          <w:bCs/>
        </w:rPr>
        <w:t xml:space="preserve">Prepared by: </w:t>
      </w:r>
      <w:r>
        <w:rPr>
          <w:rFonts w:ascii="Arial" w:cs="Arial" w:eastAsia="Arial" w:hAnsi="Arial"/>
        </w:rPr>
        <w:t xml:space="preserve">PMIMS Engineering (AI-assisted review pass)</w:t>
      </w:r>
    </w:p>
    <w:p>
      <w:pPr>
        <w:spacing w:after="160"/>
      </w:pPr>
      <w:r>
        <w:rPr>
          <w:rFonts w:ascii="Arial" w:cs="Arial" w:eastAsia="Arial" w:hAnsi="Arial"/>
          <w:b/>
          <w:bCs/>
        </w:rPr>
        <w:t xml:space="preserve">Date: </w:t>
      </w:r>
      <w:r>
        <w:rPr>
          <w:rFonts w:ascii="Arial" w:cs="Arial" w:eastAsia="Arial" w:hAnsi="Arial"/>
        </w:rPr>
        <w:t xml:space="preserve">3 July 2026</w:t>
      </w:r>
    </w:p>
    <w:p>
      <w:pPr>
        <w:spacing w:after="160"/>
      </w:pPr>
      <w:r>
        <w:rPr>
          <w:rFonts w:ascii="Arial" w:cs="Arial" w:eastAsia="Arial" w:hAnsi="Arial"/>
          <w:b/>
          <w:bCs/>
        </w:rPr>
        <w:t xml:space="preserve">Related documents: </w:t>
      </w:r>
      <w:r>
        <w:rPr>
          <w:rFonts w:ascii="Arial" w:cs="Arial" w:eastAsia="Arial" w:hAnsi="Arial"/>
        </w:rPr>
        <w:t xml:space="preserve">docs/PMIMS_RFP_Gap_Closure_Design_Document.docx (Items 1–15), docs/PERMISSIONS.md, docs/MODULE_SEGREGATION_REVIEW.md</w:t>
      </w:r>
    </w:p>
    <w:p>
      <w:r>
        <w:br w:type="page"/>
      </w:r>
    </w:p>
    <w:p>
      <w:pPr>
        <w:pStyle w:val="Heading1"/>
      </w:pPr>
      <w:r>
        <w:t xml:space="preserve">0. Executive Summary</w:t>
      </w:r>
    </w:p>
    <w:p>
      <w:pPr>
        <w:spacing w:after="160"/>
      </w:pPr>
      <w:r>
        <w:rPr>
          <w:rFonts w:ascii="Arial" w:cs="Arial" w:eastAsia="Arial" w:hAnsi="Arial"/>
        </w:rPr>
        <w:t xml:space="preserve">The RFP’s reporting requirement set names ten deliverables spanning official reports, KPI/exception surfaces, dashboards, review history, cost analysis, movement reporting, and position summaries. This document assesses each against the code actually in the repository today (not the design intentions in the earlier gap-closure pass), citing file and line evidence. Five of ten are fully delivered, three are partially delivered (data exists but no aggregated report/dashboard consolidates it), and two are not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560"/>
        <w:gridCol w:w="21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rPr>
              <w:t xml:space="preserv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rPr>
              <w:t xml:space="preserve">Requirement</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rPr>
              <w:t xml:space="preserve">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Inventory balances by location and metal type, with automatic email to management</w:t>
            </w:r>
          </w:p>
        </w:tc>
        <w:tc>
          <w:tcPr>
            <w:tcW w:type="dxa" w:w="2100"/>
            <w:tcBorders>
              <w:top w:val="single" w:color="CCCCCC" w:sz="1"/>
              <w:left w:val="single" w:color="CCCCCC" w:sz="1"/>
              <w:bottom w:val="single" w:color="CCCCCC" w:sz="1"/>
              <w:right w:val="single" w:color="CCCCCC" w:sz="1"/>
            </w:tcBorders>
            <w:shd w:fill="E3F0E6" w:val="clear"/>
            <w:tcMar>
              <w:top w:type="dxa" w:w="80"/>
              <w:left w:type="dxa" w:w="120"/>
              <w:bottom w:type="dxa" w:w="80"/>
              <w:right w:type="dxa" w:w="120"/>
            </w:tcMar>
            <w:vAlign w:val="center"/>
          </w:tcPr>
          <w:p>
            <w:r>
              <w:rPr>
                <w:rFonts w:ascii="Arial" w:cs="Arial" w:eastAsia="Arial" w:hAnsi="Arial"/>
                <w:b/>
                <w:bCs/>
                <w:color w:val="1E7A34"/>
              </w:rPr>
              <w:t xml:space="preserve">DELIVERED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Transaction logs and movement histories</w:t>
            </w:r>
          </w:p>
        </w:tc>
        <w:tc>
          <w:tcPr>
            <w:tcW w:type="dxa" w:w="2100"/>
            <w:tcBorders>
              <w:top w:val="single" w:color="CCCCCC" w:sz="1"/>
              <w:left w:val="single" w:color="CCCCCC" w:sz="1"/>
              <w:bottom w:val="single" w:color="CCCCCC" w:sz="1"/>
              <w:right w:val="single" w:color="CCCCCC" w:sz="1"/>
            </w:tcBorders>
            <w:shd w:fill="E3F0E6" w:val="clear"/>
            <w:tcMar>
              <w:top w:type="dxa" w:w="80"/>
              <w:left w:type="dxa" w:w="120"/>
              <w:bottom w:type="dxa" w:w="80"/>
              <w:right w:type="dxa" w:w="120"/>
            </w:tcMar>
            <w:vAlign w:val="center"/>
          </w:tcPr>
          <w:p>
            <w:r>
              <w:rPr>
                <w:rFonts w:ascii="Arial" w:cs="Arial" w:eastAsia="Arial" w:hAnsi="Arial"/>
                <w:b/>
                <w:bCs/>
                <w:color w:val="1E7A34"/>
              </w:rPr>
              <w:t xml:space="preserve">DELIVERED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Reconciliation differences and audit findings</w:t>
            </w:r>
          </w:p>
        </w:tc>
        <w:tc>
          <w:tcPr>
            <w:tcW w:type="dxa" w:w="2100"/>
            <w:tcBorders>
              <w:top w:val="single" w:color="CCCCCC" w:sz="1"/>
              <w:left w:val="single" w:color="CCCCCC" w:sz="1"/>
              <w:bottom w:val="single" w:color="CCCCCC" w:sz="1"/>
              <w:right w:val="single" w:color="CCCCCC" w:sz="1"/>
            </w:tcBorders>
            <w:shd w:fill="E3F0E6" w:val="clear"/>
            <w:tcMar>
              <w:top w:type="dxa" w:w="80"/>
              <w:left w:type="dxa" w:w="120"/>
              <w:bottom w:type="dxa" w:w="80"/>
              <w:right w:type="dxa" w:w="120"/>
            </w:tcMar>
            <w:vAlign w:val="center"/>
          </w:tcPr>
          <w:p>
            <w:r>
              <w:rPr>
                <w:rFonts w:ascii="Arial" w:cs="Arial" w:eastAsia="Arial" w:hAnsi="Arial"/>
                <w:b/>
                <w:bCs/>
                <w:color w:val="1E7A34"/>
              </w:rPr>
              <w:t xml:space="preserve">DELIVERED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KPIs for efficiency, error rates, and transaction volumes</w:t>
            </w:r>
          </w:p>
        </w:tc>
        <w:tc>
          <w:tcPr>
            <w:tcW w:type="dxa" w:w="2100"/>
            <w:tcBorders>
              <w:top w:val="single" w:color="CCCCCC" w:sz="1"/>
              <w:left w:val="single" w:color="CCCCCC" w:sz="1"/>
              <w:bottom w:val="single" w:color="CCCCCC" w:sz="1"/>
              <w:right w:val="single" w:color="CCCCCC" w:sz="1"/>
            </w:tcBorders>
            <w:shd w:fill="FBEFDA" w:val="clear"/>
            <w:tcMar>
              <w:top w:type="dxa" w:w="80"/>
              <w:left w:type="dxa" w:w="120"/>
              <w:bottom w:type="dxa" w:w="80"/>
              <w:right w:type="dxa" w:w="120"/>
            </w:tcMar>
            <w:vAlign w:val="center"/>
          </w:tcPr>
          <w:p>
            <w:r>
              <w:rPr>
                <w:rFonts w:ascii="Arial" w:cs="Arial" w:eastAsia="Arial" w:hAnsi="Arial"/>
                <w:b/>
                <w:bCs/>
                <w:color w:val="B7791F"/>
              </w:rPr>
              <w:t xml:space="preserve">PARTIAL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Exceptions report</w:t>
            </w:r>
          </w:p>
        </w:tc>
        <w:tc>
          <w:tcPr>
            <w:tcW w:type="dxa" w:w="2100"/>
            <w:tcBorders>
              <w:top w:val="single" w:color="CCCCCC" w:sz="1"/>
              <w:left w:val="single" w:color="CCCCCC" w:sz="1"/>
              <w:bottom w:val="single" w:color="CCCCCC" w:sz="1"/>
              <w:right w:val="single" w:color="CCCCCC" w:sz="1"/>
            </w:tcBorders>
            <w:shd w:fill="FBE4E1" w:val="clear"/>
            <w:tcMar>
              <w:top w:type="dxa" w:w="80"/>
              <w:left w:type="dxa" w:w="120"/>
              <w:bottom w:type="dxa" w:w="80"/>
              <w:right w:type="dxa" w:w="120"/>
            </w:tcMar>
            <w:vAlign w:val="center"/>
          </w:tcPr>
          <w:p>
            <w:r>
              <w:rPr>
                <w:rFonts w:ascii="Arial" w:cs="Arial" w:eastAsia="Arial" w:hAnsi="Arial"/>
                <w:b/>
                <w:bCs/>
                <w:color w:val="B42318"/>
              </w:rPr>
              <w:t xml:space="preserve">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Operational dashboards for management and audit/compliance teams</w:t>
            </w:r>
          </w:p>
        </w:tc>
        <w:tc>
          <w:tcPr>
            <w:tcW w:type="dxa" w:w="2100"/>
            <w:tcBorders>
              <w:top w:val="single" w:color="CCCCCC" w:sz="1"/>
              <w:left w:val="single" w:color="CCCCCC" w:sz="1"/>
              <w:bottom w:val="single" w:color="CCCCCC" w:sz="1"/>
              <w:right w:val="single" w:color="CCCCCC" w:sz="1"/>
            </w:tcBorders>
            <w:shd w:fill="FBEFDA" w:val="clear"/>
            <w:tcMar>
              <w:top w:type="dxa" w:w="80"/>
              <w:left w:type="dxa" w:w="120"/>
              <w:bottom w:type="dxa" w:w="80"/>
              <w:right w:type="dxa" w:w="120"/>
            </w:tcMar>
            <w:vAlign w:val="center"/>
          </w:tcPr>
          <w:p>
            <w:r>
              <w:rPr>
                <w:rFonts w:ascii="Arial" w:cs="Arial" w:eastAsia="Arial" w:hAnsi="Arial"/>
                <w:b/>
                <w:bCs/>
                <w:color w:val="B7791F"/>
              </w:rPr>
              <w:t xml:space="preserve">PARTIAL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Complete review history for auditability and management oversight</w:t>
            </w:r>
          </w:p>
        </w:tc>
        <w:tc>
          <w:tcPr>
            <w:tcW w:type="dxa" w:w="2100"/>
            <w:tcBorders>
              <w:top w:val="single" w:color="CCCCCC" w:sz="1"/>
              <w:left w:val="single" w:color="CCCCCC" w:sz="1"/>
              <w:bottom w:val="single" w:color="CCCCCC" w:sz="1"/>
              <w:right w:val="single" w:color="CCCCCC" w:sz="1"/>
            </w:tcBorders>
            <w:shd w:fill="E3F0E6" w:val="clear"/>
            <w:tcMar>
              <w:top w:type="dxa" w:w="80"/>
              <w:left w:type="dxa" w:w="120"/>
              <w:bottom w:type="dxa" w:w="80"/>
              <w:right w:type="dxa" w:w="120"/>
            </w:tcMar>
            <w:vAlign w:val="center"/>
          </w:tcPr>
          <w:p>
            <w:r>
              <w:rPr>
                <w:rFonts w:ascii="Arial" w:cs="Arial" w:eastAsia="Arial" w:hAnsi="Arial"/>
                <w:b/>
                <w:bCs/>
                <w:color w:val="1E7A34"/>
              </w:rPr>
              <w:t xml:space="preserve">DELIVERED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Cost analysis and variance reports</w:t>
            </w:r>
          </w:p>
        </w:tc>
        <w:tc>
          <w:tcPr>
            <w:tcW w:type="dxa" w:w="2100"/>
            <w:tcBorders>
              <w:top w:val="single" w:color="CCCCCC" w:sz="1"/>
              <w:left w:val="single" w:color="CCCCCC" w:sz="1"/>
              <w:bottom w:val="single" w:color="CCCCCC" w:sz="1"/>
              <w:right w:val="single" w:color="CCCCCC" w:sz="1"/>
            </w:tcBorders>
            <w:shd w:fill="FBEFDA" w:val="clear"/>
            <w:tcMar>
              <w:top w:type="dxa" w:w="80"/>
              <w:left w:type="dxa" w:w="120"/>
              <w:bottom w:type="dxa" w:w="80"/>
              <w:right w:type="dxa" w:w="120"/>
            </w:tcMar>
            <w:vAlign w:val="center"/>
          </w:tcPr>
          <w:p>
            <w:r>
              <w:rPr>
                <w:rFonts w:ascii="Arial" w:cs="Arial" w:eastAsia="Arial" w:hAnsi="Arial"/>
                <w:b/>
                <w:bCs/>
                <w:color w:val="B7791F"/>
              </w:rPr>
              <w:t xml:space="preserve">PARTIAL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Daily, weekly, monthly movement reports by location and ownership</w:t>
            </w:r>
          </w:p>
        </w:tc>
        <w:tc>
          <w:tcPr>
            <w:tcW w:type="dxa" w:w="2100"/>
            <w:tcBorders>
              <w:top w:val="single" w:color="CCCCCC" w:sz="1"/>
              <w:left w:val="single" w:color="CCCCCC" w:sz="1"/>
              <w:bottom w:val="single" w:color="CCCCCC" w:sz="1"/>
              <w:right w:val="single" w:color="CCCCCC" w:sz="1"/>
            </w:tcBorders>
            <w:shd w:fill="FBE4E1" w:val="clear"/>
            <w:tcMar>
              <w:top w:type="dxa" w:w="80"/>
              <w:left w:type="dxa" w:w="120"/>
              <w:bottom w:type="dxa" w:w="80"/>
              <w:right w:type="dxa" w:w="120"/>
            </w:tcMar>
            <w:vAlign w:val="center"/>
          </w:tcPr>
          <w:p>
            <w:r>
              <w:rPr>
                <w:rFonts w:ascii="Arial" w:cs="Arial" w:eastAsia="Arial" w:hAnsi="Arial"/>
                <w:b/>
                <w:bCs/>
                <w:color w:val="B42318"/>
              </w:rPr>
              <w:t xml:space="preserve">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Position summary for KFH and customers</w:t>
            </w:r>
          </w:p>
        </w:tc>
        <w:tc>
          <w:tcPr>
            <w:tcW w:type="dxa" w:w="2100"/>
            <w:tcBorders>
              <w:top w:val="single" w:color="CCCCCC" w:sz="1"/>
              <w:left w:val="single" w:color="CCCCCC" w:sz="1"/>
              <w:bottom w:val="single" w:color="CCCCCC" w:sz="1"/>
              <w:right w:val="single" w:color="CCCCCC" w:sz="1"/>
            </w:tcBorders>
            <w:shd w:fill="E3F0E6" w:val="clear"/>
            <w:tcMar>
              <w:top w:type="dxa" w:w="80"/>
              <w:left w:type="dxa" w:w="120"/>
              <w:bottom w:type="dxa" w:w="80"/>
              <w:right w:type="dxa" w:w="120"/>
            </w:tcMar>
            <w:vAlign w:val="center"/>
          </w:tcPr>
          <w:p>
            <w:r>
              <w:rPr>
                <w:rFonts w:ascii="Arial" w:cs="Arial" w:eastAsia="Arial" w:hAnsi="Arial"/>
                <w:b/>
                <w:bCs/>
                <w:color w:val="1E7A34"/>
              </w:rPr>
              <w:t xml:space="preserve">DELIVERED</w:t>
            </w:r>
          </w:p>
        </w:tc>
      </w:tr>
    </w:tbl>
    <w:p>
      <w:pPr>
        <w:spacing w:before="240"/>
      </w:pPr>
    </w:p>
    <w:p>
      <w:pPr>
        <w:spacing w:after="160"/>
      </w:pPr>
      <w:r>
        <w:rPr>
          <w:rFonts w:ascii="Arial" w:cs="Arial" w:eastAsia="Arial" w:hAnsi="Arial"/>
        </w:rPr>
        <w:t xml:space="preserve">Delivered: 5/10 (Items 1, 2, 3, 7, 10).  Partial: 3/10 (Items 4, 6, 8).  Gap: 2/10 (Items 5, 9).</w:t>
      </w:r>
    </w:p>
    <w:p>
      <w:pPr>
        <w:spacing w:after="160"/>
      </w:pPr>
      <w:r>
        <w:rPr>
          <w:rFonts w:ascii="Arial" w:cs="Arial" w:eastAsia="Arial" w:hAnsi="Arial"/>
        </w:rPr>
        <w:t xml:space="preserve">The three foundational “official reports” (inventory balance, transaction log, reconciliation differences), the audit-log/review-history explorer, and the customer/KFH position split are all live, exportable (CSV/XLSX/PDF), and — for inventory balance — already wired into the scheduled email notification pipeline (notifications module, NotificationSchedulerService). The gaps are consolidation gaps, not data gaps: the underlying fields (ownership type, ready/reserved/custody counts, audit entries, rule evaluations) already exist in the schema and are already written on every transaction — what’s missing is a report/endpoint layer that aggregates them into the specific shapes the RFP names (an exceptions feed, a time-bucketed movement report, an error-rate KPI, a cost-variance rollup, and a compliance-officer dashboard).</w:t>
      </w:r>
    </w:p>
    <w:p>
      <w:r>
        <w:br w:type="page"/>
      </w:r>
    </w:p>
    <w:p>
      <w:pPr>
        <w:pStyle w:val="Heading1"/>
      </w:pPr>
      <w:r>
        <w:t xml:space="preserve">1. Inventory Balances by Location and Metal Type, with Automatic Email to Management</w:t>
      </w:r>
    </w:p>
    <w:p>
      <w:pPr>
        <w:spacing w:after="160"/>
      </w:pPr>
      <w:r>
        <w:rPr>
          <w:rFonts w:ascii="Arial" w:cs="Arial" w:eastAsia="Arial" w:hAnsi="Arial"/>
          <w:b/>
          <w:bCs/>
        </w:rPr>
        <w:t xml:space="preserve">Status: </w:t>
      </w:r>
      <w:r>
        <w:rPr>
          <w:rFonts w:ascii="Arial" w:cs="Arial" w:eastAsia="Arial" w:hAnsi="Arial"/>
          <w:b/>
          <w:bCs/>
          <w:color w:val="1E7A34"/>
        </w:rPr>
        <w:t xml:space="preserve">DELIVERED</w:t>
      </w:r>
    </w:p>
    <w:p>
      <w:pPr>
        <w:pStyle w:val="Heading3"/>
      </w:pPr>
      <w:r>
        <w:t xml:space="preserve">Evidence</w:t>
      </w:r>
    </w:p>
    <w:p>
      <w:pPr>
        <w:pStyle w:val="ListParagraph"/>
        <w:numPr>
          <w:ilvl w:val="0"/>
          <w:numId w:val="2"/>
        </w:numPr>
        <w:spacing w:after="80"/>
      </w:pPr>
      <w:r>
        <w:rPr>
          <w:rFonts w:ascii="Arial" w:cs="Arial" w:eastAsia="Arial" w:hAnsi="Arial"/>
        </w:rPr>
        <w:t xml:space="preserve">backend/PMIMS.WebAPI/Controllers/PMIMSControllers.Reports.cs:33–44 — GET /api/reports/inventory-balance (on-screen JSON view)</w:t>
      </w:r>
    </w:p>
    <w:p>
      <w:pPr>
        <w:pStyle w:val="ListParagraph"/>
        <w:numPr>
          <w:ilvl w:val="0"/>
          <w:numId w:val="2"/>
        </w:numPr>
        <w:spacing w:after="80"/>
      </w:pPr>
      <w:r>
        <w:rPr>
          <w:rFonts w:ascii="Arial" w:cs="Arial" w:eastAsia="Arial" w:hAnsi="Arial"/>
        </w:rPr>
        <w:t xml:space="preserve">backend/PMIMS.WebAPI/Controllers/PMIMSControllers.Reports.cs:89–110 — BuildInventoryBalanceTableAsync groups READY items by vault → metal type → denomination, with ready qty and total weight (g)</w:t>
      </w:r>
    </w:p>
    <w:p>
      <w:pPr>
        <w:pStyle w:val="ListParagraph"/>
        <w:numPr>
          <w:ilvl w:val="0"/>
          <w:numId w:val="2"/>
        </w:numPr>
        <w:spacing w:after="80"/>
      </w:pPr>
      <w:r>
        <w:rPr>
          <w:rFonts w:ascii="Arial" w:cs="Arial" w:eastAsia="Arial" w:hAnsi="Arial"/>
        </w:rPr>
        <w:t xml:space="preserve">backend/PMIMS.WebAPI/Controllers/PMIMSControllers.Reports.cs:50–86 — GET /api/reports/export?type=inventory_balance&amp;format=csv|xlsx|pdf</w:t>
      </w:r>
    </w:p>
    <w:p>
      <w:pPr>
        <w:pStyle w:val="ListParagraph"/>
        <w:numPr>
          <w:ilvl w:val="0"/>
          <w:numId w:val="2"/>
        </w:numPr>
        <w:spacing w:after="80"/>
      </w:pPr>
      <w:r>
        <w:rPr>
          <w:rFonts w:ascii="Arial" w:cs="Arial" w:eastAsia="Arial" w:hAnsi="Arial"/>
        </w:rPr>
        <w:t xml:space="preserve">backend/PMIMS.Infrastructure/NotificationSchedulerService.cs — hosted BackgroundService; INVENTORY_BALANCE is one of the cron-scheduled report types dispatched to a distribution list</w:t>
      </w:r>
    </w:p>
    <w:p>
      <w:pPr>
        <w:pStyle w:val="ListParagraph"/>
        <w:numPr>
          <w:ilvl w:val="0"/>
          <w:numId w:val="2"/>
        </w:numPr>
        <w:spacing w:after="80"/>
      </w:pPr>
      <w:r>
        <w:rPr>
          <w:rFonts w:ascii="Arial" w:cs="Arial" w:eastAsia="Arial" w:hAnsi="Arial"/>
        </w:rPr>
        <w:t xml:space="preserve">backend/PMIMS.WebAPI/Controllers/PMIMSControllers.Notifications.cs:21–100 — subscription CRUD, PDF/XLSX/BOTH format choice, test-send endpoint</w:t>
      </w:r>
    </w:p>
    <w:p>
      <w:pPr>
        <w:pStyle w:val="Heading3"/>
      </w:pPr>
      <w:r>
        <w:t xml:space="preserve">Assessment</w:t>
      </w:r>
    </w:p>
    <w:p>
      <w:pPr>
        <w:spacing w:after="160"/>
      </w:pPr>
      <w:r>
        <w:rPr>
          <w:rFonts w:ascii="Arial" w:cs="Arial" w:eastAsia="Arial" w:hAnsi="Arial"/>
        </w:rPr>
        <w:t xml:space="preserve">Fully covers the requirement as written. The inventory balance report is grouped correctly (location × metal type, with denomination as a bonus third dimension), is downloadable in all three standard formats, and management email delivery is not just possible but already scheduled via cron on a distribution list — the same mechanism used for the low-stock and high-value-movement alerts. No further work needed for this item on its own; note however that the underlying inventory-balance query only includes items with StatusCode == "READY" (Reports.cs:92), so bars in RESERVED, CUSTODY, or IN_TRANSIT status are excluded from this particular balance view — worth confirming with Treasury Operations that “balance” is meant to mean “available/sellable stock” rather than total on-hand stock; if total on-hand is intended, the WHERE clause needs broadening.</w:t>
      </w:r>
    </w:p>
    <w:p>
      <w:pPr>
        <w:pStyle w:val="Heading1"/>
      </w:pPr>
      <w:r>
        <w:t xml:space="preserve">2. Transaction Logs and Movement Histories</w:t>
      </w:r>
    </w:p>
    <w:p>
      <w:pPr>
        <w:spacing w:after="160"/>
      </w:pPr>
      <w:r>
        <w:rPr>
          <w:rFonts w:ascii="Arial" w:cs="Arial" w:eastAsia="Arial" w:hAnsi="Arial"/>
          <w:b/>
          <w:bCs/>
        </w:rPr>
        <w:t xml:space="preserve">Status: </w:t>
      </w:r>
      <w:r>
        <w:rPr>
          <w:rFonts w:ascii="Arial" w:cs="Arial" w:eastAsia="Arial" w:hAnsi="Arial"/>
          <w:b/>
          <w:bCs/>
          <w:color w:val="1E7A34"/>
        </w:rPr>
        <w:t xml:space="preserve">DELIVERED</w:t>
      </w:r>
    </w:p>
    <w:p>
      <w:pPr>
        <w:pStyle w:val="Heading3"/>
      </w:pPr>
      <w:r>
        <w:t xml:space="preserve">Evidence</w:t>
      </w:r>
    </w:p>
    <w:p>
      <w:pPr>
        <w:pStyle w:val="ListParagraph"/>
        <w:numPr>
          <w:ilvl w:val="0"/>
          <w:numId w:val="2"/>
        </w:numPr>
        <w:spacing w:after="80"/>
      </w:pPr>
      <w:r>
        <w:rPr>
          <w:rFonts w:ascii="Arial" w:cs="Arial" w:eastAsia="Arial" w:hAnsi="Arial"/>
        </w:rPr>
        <w:t xml:space="preserve">backend/PMIMS.WebAPI/Controllers/PMIMSControllers.cs:774 — GET /api/reports/transactions</w:t>
      </w:r>
    </w:p>
    <w:p>
      <w:pPr>
        <w:pStyle w:val="ListParagraph"/>
        <w:numPr>
          <w:ilvl w:val="0"/>
          <w:numId w:val="2"/>
        </w:numPr>
        <w:spacing w:after="80"/>
      </w:pPr>
      <w:r>
        <w:rPr>
          <w:rFonts w:ascii="Arial" w:cs="Arial" w:eastAsia="Arial" w:hAnsi="Arial"/>
        </w:rPr>
        <w:t xml:space="preserve">backend/PMIMS.WebAPI/Controllers/PMIMSControllers.Reports.cs:112–133 — BuildTransactionLogTableAsync: transaction #, type, serial, denomination, source/destination (vault + description), initiated/approved by, UTC timestamp</w:t>
      </w:r>
    </w:p>
    <w:p>
      <w:pPr>
        <w:pStyle w:val="ListParagraph"/>
        <w:numPr>
          <w:ilvl w:val="0"/>
          <w:numId w:val="2"/>
        </w:numPr>
        <w:spacing w:after="80"/>
      </w:pPr>
      <w:r>
        <w:rPr>
          <w:rFonts w:ascii="Arial" w:cs="Arial" w:eastAsia="Arial" w:hAnsi="Arial"/>
        </w:rPr>
        <w:t xml:space="preserve">backend/PMIMS.WebAPI/Controllers/PMIMSControllers.cs:803 — GET /api/reports/transactions/{id}/trace — per-bar movement trace joining the transaction row, matched audit-log entry, and full chain-of-custody timeline</w:t>
      </w:r>
    </w:p>
    <w:p>
      <w:pPr>
        <w:pStyle w:val="ListParagraph"/>
        <w:numPr>
          <w:ilvl w:val="0"/>
          <w:numId w:val="2"/>
        </w:numPr>
        <w:spacing w:after="80"/>
      </w:pPr>
      <w:r>
        <w:rPr>
          <w:rFonts w:ascii="Arial" w:cs="Arial" w:eastAsia="Arial" w:hAnsi="Arial"/>
        </w:rPr>
        <w:t xml:space="preserve">backend/PMIMS.WebAPI/Controllers/PMIMSControllers.Reports.cs:50–86 — export endpoint (type=transactions)</w:t>
      </w:r>
    </w:p>
    <w:p>
      <w:pPr>
        <w:pStyle w:val="Heading3"/>
      </w:pPr>
      <w:r>
        <w:t xml:space="preserve">Assessment</w:t>
      </w:r>
    </w:p>
    <w:p>
      <w:pPr>
        <w:spacing w:after="160"/>
      </w:pPr>
      <w:r>
        <w:rPr>
          <w:rFonts w:ascii="Arial" w:cs="Arial" w:eastAsia="Arial" w:hAnsi="Arial"/>
        </w:rPr>
        <w:t xml:space="preserve">Covers both halves of the requirement: a flat transaction log (exportable) and a per-item movement history (the /trace endpoint, which is closer to a “movement history” in the audit sense — it reconstructs the full lifecycle of one serialized bar). No aggregation gap here; item 9 below is the place where a time-bucketed rollup of this same data is missing.</w:t>
      </w:r>
    </w:p>
    <w:p>
      <w:pPr>
        <w:pStyle w:val="Heading1"/>
      </w:pPr>
      <w:r>
        <w:t xml:space="preserve">3. Reconciliation Differences and Audit Findings</w:t>
      </w:r>
    </w:p>
    <w:p>
      <w:pPr>
        <w:spacing w:after="160"/>
      </w:pPr>
      <w:r>
        <w:rPr>
          <w:rFonts w:ascii="Arial" w:cs="Arial" w:eastAsia="Arial" w:hAnsi="Arial"/>
          <w:b/>
          <w:bCs/>
        </w:rPr>
        <w:t xml:space="preserve">Status: </w:t>
      </w:r>
      <w:r>
        <w:rPr>
          <w:rFonts w:ascii="Arial" w:cs="Arial" w:eastAsia="Arial" w:hAnsi="Arial"/>
          <w:b/>
          <w:bCs/>
          <w:color w:val="1E7A34"/>
        </w:rPr>
        <w:t xml:space="preserve">DELIVERED</w:t>
      </w:r>
    </w:p>
    <w:p>
      <w:pPr>
        <w:pStyle w:val="Heading3"/>
      </w:pPr>
      <w:r>
        <w:t xml:space="preserve">Evidence</w:t>
      </w:r>
    </w:p>
    <w:p>
      <w:pPr>
        <w:pStyle w:val="ListParagraph"/>
        <w:numPr>
          <w:ilvl w:val="0"/>
          <w:numId w:val="2"/>
        </w:numPr>
        <w:spacing w:after="80"/>
      </w:pPr>
      <w:r>
        <w:rPr>
          <w:rFonts w:ascii="Arial" w:cs="Arial" w:eastAsia="Arial" w:hAnsi="Arial"/>
        </w:rPr>
        <w:t xml:space="preserve">backend/PMIMS.WebAPI/Controllers/PMIMSControllers.Reports.cs:135–154 — BuildReconciliationDifferencesTableAsync: case ID, serial, denomination, expected location, mismatch description, status, reason code, resolver, resolved-at</w:t>
      </w:r>
    </w:p>
    <w:p>
      <w:pPr>
        <w:pStyle w:val="ListParagraph"/>
        <w:numPr>
          <w:ilvl w:val="0"/>
          <w:numId w:val="2"/>
        </w:numPr>
        <w:spacing w:after="80"/>
      </w:pPr>
      <w:r>
        <w:rPr>
          <w:rFonts w:ascii="Arial" w:cs="Arial" w:eastAsia="Arial" w:hAnsi="Arial"/>
        </w:rPr>
        <w:t xml:space="preserve">backend/PMIMS.WebAPI/Controllers/PMIMSControllers.Reports.cs:50–86 — export endpoint (type=reconciliation)</w:t>
      </w:r>
    </w:p>
    <w:p>
      <w:pPr>
        <w:pStyle w:val="ListParagraph"/>
        <w:numPr>
          <w:ilvl w:val="0"/>
          <w:numId w:val="2"/>
        </w:numPr>
        <w:spacing w:after="80"/>
      </w:pPr>
      <w:r>
        <w:rPr>
          <w:rFonts w:ascii="Arial" w:cs="Arial" w:eastAsia="Arial" w:hAnsi="Arial"/>
        </w:rPr>
        <w:t xml:space="preserve">backend/PMIMS.WebAPI/Controllers/PMIMSControllers.Audit.cs:19,49,58 — GET /api/reports/audit-logs/search (full-text, filtered, paginated), /{id} drill-down, /export (csv/xlsx/pdf)</w:t>
      </w:r>
    </w:p>
    <w:p>
      <w:pPr>
        <w:pStyle w:val="ListParagraph"/>
        <w:numPr>
          <w:ilvl w:val="0"/>
          <w:numId w:val="2"/>
        </w:numPr>
        <w:spacing w:after="80"/>
      </w:pPr>
      <w:r>
        <w:rPr>
          <w:rFonts w:ascii="Arial" w:cs="Arial" w:eastAsia="Arial" w:hAnsi="Arial"/>
        </w:rPr>
        <w:t xml:space="preserve">database/schema.sql — audit_logs carries entity_type, entity_id, row_hash (SHA-256) for tamper detection, recomputed on read</w:t>
      </w:r>
    </w:p>
    <w:p>
      <w:pPr>
        <w:pStyle w:val="Heading3"/>
      </w:pPr>
      <w:r>
        <w:t xml:space="preserve">Assessment</w:t>
      </w:r>
    </w:p>
    <w:p>
      <w:pPr>
        <w:spacing w:after="160"/>
      </w:pPr>
      <w:r>
        <w:rPr>
          <w:rFonts w:ascii="Arial" w:cs="Arial" w:eastAsia="Arial" w:hAnsi="Arial"/>
        </w:rPr>
        <w:t xml:space="preserve">Both halves are delivered and were, per the design document’s own history, brought up to the same export bar deliberately (see Reports.cs header comment: audit findings already had a fuller export surface; this pass added matching export for the other three report types). Reconciliation differences were previously JSON-only and not even on the Reports screen — that gap has been closed.</w:t>
      </w:r>
    </w:p>
    <w:p>
      <w:pPr>
        <w:pStyle w:val="Heading1"/>
      </w:pPr>
      <w:r>
        <w:t xml:space="preserve">4. KPIs for Efficiency, Error Rates, and Transaction Volumes</w:t>
      </w:r>
    </w:p>
    <w:p>
      <w:pPr>
        <w:spacing w:after="160"/>
      </w:pPr>
      <w:r>
        <w:rPr>
          <w:rFonts w:ascii="Arial" w:cs="Arial" w:eastAsia="Arial" w:hAnsi="Arial"/>
          <w:b/>
          <w:bCs/>
        </w:rPr>
        <w:t xml:space="preserve">Status: </w:t>
      </w:r>
      <w:r>
        <w:rPr>
          <w:rFonts w:ascii="Arial" w:cs="Arial" w:eastAsia="Arial" w:hAnsi="Arial"/>
          <w:b/>
          <w:bCs/>
          <w:color w:val="B7791F"/>
        </w:rPr>
        <w:t xml:space="preserve">PARTIAL</w:t>
      </w:r>
    </w:p>
    <w:p>
      <w:pPr>
        <w:pStyle w:val="Heading3"/>
      </w:pPr>
      <w:r>
        <w:t xml:space="preserve">Evidence</w:t>
      </w:r>
    </w:p>
    <w:p>
      <w:pPr>
        <w:pStyle w:val="ListParagraph"/>
        <w:numPr>
          <w:ilvl w:val="0"/>
          <w:numId w:val="2"/>
        </w:numPr>
        <w:spacing w:after="80"/>
      </w:pPr>
      <w:r>
        <w:rPr>
          <w:rFonts w:ascii="Arial" w:cs="Arial" w:eastAsia="Arial" w:hAnsi="Arial"/>
        </w:rPr>
        <w:t xml:space="preserve">backend/PMIMS.WebAPI/Controllers/PMIMSControllers.cs:1227 — GET /api/dashboard/executive-board: total_gold_weight_kg, ready_qty, reserved_qty, custody_qty (volume-type KPIs)</w:t>
      </w:r>
    </w:p>
    <w:p>
      <w:pPr>
        <w:pStyle w:val="ListParagraph"/>
        <w:numPr>
          <w:ilvl w:val="0"/>
          <w:numId w:val="2"/>
        </w:numPr>
        <w:spacing w:after="80"/>
      </w:pPr>
      <w:r>
        <w:rPr>
          <w:rFonts w:ascii="Arial" w:cs="Arial" w:eastAsia="Arial" w:hAnsi="Arial"/>
        </w:rPr>
        <w:t xml:space="preserve">backend/PMIMS.WebAPI/Controllers/PMIMSControllers.Monitoring.cs:29–34 — GET /api/monitoring/sla-metrics (rolling SLA/health metrics for the external monitoring tool integration)</w:t>
      </w:r>
    </w:p>
    <w:p>
      <w:pPr>
        <w:pStyle w:val="ListParagraph"/>
        <w:numPr>
          <w:ilvl w:val="0"/>
          <w:numId w:val="2"/>
        </w:numPr>
        <w:spacing w:after="80"/>
      </w:pPr>
      <w:r>
        <w:rPr>
          <w:rFonts w:ascii="Arial" w:cs="Arial" w:eastAsia="Arial" w:hAnsi="Arial"/>
        </w:rPr>
        <w:t xml:space="preserve">frontend/src/App.tsx (Executive Board KPI cards) — renders the volume KPIs above as tiles</w:t>
      </w:r>
    </w:p>
    <w:p>
      <w:pPr>
        <w:pStyle w:val="Heading3"/>
      </w:pPr>
      <w:r>
        <w:t xml:space="preserve">Assessment</w:t>
      </w:r>
    </w:p>
    <w:p>
      <w:pPr>
        <w:spacing w:after="160"/>
      </w:pPr>
      <w:r>
        <w:rPr>
          <w:rFonts w:ascii="Arial" w:cs="Arial" w:eastAsia="Arial" w:hAnsi="Arial"/>
        </w:rPr>
        <w:t xml:space="preserve">Transaction-volume KPIs exist and are on a dashboard. Efficiency and error-rate KPIs do not: there is no endpoint computing approval cycle time, throughput per branch/user, reconciliation break rate, rule-block rate, or failed-transfer rate as an aggregated metric. That data is capturable today — audit_logs has timestamps for every approval step, business_rule_evaluations (Rules Engine, Item 5 of the earlier gap-closure doc) already records PASS/FAIL/WARN per rule — but nothing rolls it up into an “error rate” or “efficiency” figure.</w:t>
      </w:r>
    </w:p>
    <w:p>
      <w:pPr>
        <w:pStyle w:val="Heading3"/>
      </w:pPr>
      <w:r>
        <w:t xml:space="preserve">Design to Close the Gap</w:t>
      </w:r>
    </w:p>
    <w:p>
      <w:pPr>
        <w:pStyle w:val="ListParagraph"/>
        <w:numPr>
          <w:ilvl w:val="0"/>
          <w:numId w:val="2"/>
        </w:numPr>
        <w:spacing w:after="80"/>
      </w:pPr>
      <w:r>
        <w:rPr>
          <w:rFonts w:ascii="Arial" w:cs="Arial" w:eastAsia="Arial" w:hAnsi="Arial"/>
          <w:b/>
          <w:bCs/>
        </w:rPr>
        <w:t xml:space="preserve">Architecture: </w:t>
      </w:r>
      <w:r>
        <w:rPr>
          <w:rFonts w:ascii="Arial" w:cs="Arial" w:eastAsia="Arial" w:hAnsi="Arial"/>
        </w:rPr>
        <w:t xml:space="preserve">A new GET /api/reports/kpis endpoint (reports.read policy, same tier as the other report endpoints) computing a fixed set of derived metrics over a date range: average time-to-approval per workflow type (from workflow_instances/approval_actions timestamps), reconciliation break rate (mismatch_cases opened / total items reconciled in period), rule-block rate (business_rule_evaluations FAIL count / total evaluations), and transaction volume by type — reusing the existing GetTransactionsAsync/GetMismatchCasesAsync repository calls rather than new data access.</w:t>
      </w:r>
    </w:p>
    <w:p>
      <w:pPr>
        <w:pStyle w:val="ListParagraph"/>
        <w:numPr>
          <w:ilvl w:val="0"/>
          <w:numId w:val="2"/>
        </w:numPr>
        <w:spacing w:after="80"/>
      </w:pPr>
      <w:r>
        <w:rPr>
          <w:rFonts w:ascii="Arial" w:cs="Arial" w:eastAsia="Arial" w:hAnsi="Arial"/>
          <w:b/>
          <w:bCs/>
        </w:rPr>
        <w:t xml:space="preserve">API: </w:t>
      </w:r>
      <w:r>
        <w:rPr>
          <w:rFonts w:ascii="Arial" w:cs="Arial" w:eastAsia="Arial" w:hAnsi="Arial"/>
        </w:rPr>
        <w:t xml:space="preserve">GET /api/reports/kpis?from=&amp;to= returning a flat KPI object; add a kpis entry to the reports/export type switch so the same CSV/XLSX/PDF path in Item 1–3 covers it.</w:t>
      </w:r>
    </w:p>
    <w:p>
      <w:pPr>
        <w:pStyle w:val="ListParagraph"/>
        <w:numPr>
          <w:ilvl w:val="0"/>
          <w:numId w:val="2"/>
        </w:numPr>
        <w:spacing w:after="80"/>
      </w:pPr>
      <w:r>
        <w:rPr>
          <w:rFonts w:ascii="Arial" w:cs="Arial" w:eastAsia="Arial" w:hAnsi="Arial"/>
          <w:b/>
          <w:bCs/>
        </w:rPr>
        <w:t xml:space="preserve">Code: </w:t>
      </w:r>
      <w:r>
        <w:rPr>
          <w:rFonts w:ascii="Arial" w:cs="Arial" w:eastAsia="Arial" w:hAnsi="Arial"/>
        </w:rPr>
        <w:t xml:space="preserve">A KpiCalculationService in PMIMS.Application computing each metric from existing repository methods — no new tables required; this is a read-side aggregation only.</w:t>
      </w:r>
    </w:p>
    <w:p>
      <w:pPr>
        <w:pStyle w:val="ListParagraph"/>
        <w:numPr>
          <w:ilvl w:val="0"/>
          <w:numId w:val="2"/>
        </w:numPr>
        <w:spacing w:after="80"/>
      </w:pPr>
      <w:r>
        <w:rPr>
          <w:rFonts w:ascii="Arial" w:cs="Arial" w:eastAsia="Arial" w:hAnsi="Arial"/>
          <w:b/>
          <w:bCs/>
        </w:rPr>
        <w:t xml:space="preserve">Testing: </w:t>
      </w:r>
      <w:r>
        <w:rPr>
          <w:rFonts w:ascii="Arial" w:cs="Arial" w:eastAsia="Arial" w:hAnsi="Arial"/>
        </w:rPr>
        <w:t xml:space="preserve">Unit tests against seeded fixture data with known approval-time and rule-failure counts, asserting exact computed rates.</w:t>
      </w:r>
    </w:p>
    <w:p>
      <w:pPr>
        <w:pStyle w:val="ListParagraph"/>
        <w:numPr>
          <w:ilvl w:val="0"/>
          <w:numId w:val="2"/>
        </w:numPr>
        <w:spacing w:after="80"/>
      </w:pPr>
      <w:r>
        <w:rPr>
          <w:rFonts w:ascii="Arial" w:cs="Arial" w:eastAsia="Arial" w:hAnsi="Arial"/>
          <w:b/>
          <w:bCs/>
        </w:rPr>
        <w:t xml:space="preserve">Documentation: </w:t>
      </w:r>
      <w:r>
        <w:rPr>
          <w:rFonts w:ascii="Arial" w:cs="Arial" w:eastAsia="Arial" w:hAnsi="Arial"/>
        </w:rPr>
        <w:t xml:space="preserve">Add a KPI definitions appendix (exact formula per metric, e.g. “error rate = FAIL evaluations / total evaluations in period”) so Compliance and IT Admin agree on the definition before go-live — KPI definitions are a business decision, not a purely technical one, and should be confirmed with KFH Treasury Operations before implementation.</w:t>
      </w:r>
    </w:p>
    <w:p>
      <w:pPr>
        <w:pStyle w:val="Heading1"/>
      </w:pPr>
      <w:r>
        <w:t xml:space="preserve">5. Exceptions Report</w:t>
      </w:r>
    </w:p>
    <w:p>
      <w:pPr>
        <w:spacing w:after="160"/>
      </w:pPr>
      <w:r>
        <w:rPr>
          <w:rFonts w:ascii="Arial" w:cs="Arial" w:eastAsia="Arial" w:hAnsi="Arial"/>
          <w:b/>
          <w:bCs/>
        </w:rPr>
        <w:t xml:space="preserve">Status: </w:t>
      </w:r>
      <w:r>
        <w:rPr>
          <w:rFonts w:ascii="Arial" w:cs="Arial" w:eastAsia="Arial" w:hAnsi="Arial"/>
          <w:b/>
          <w:bCs/>
          <w:color w:val="B42318"/>
        </w:rPr>
        <w:t xml:space="preserve">GAP</w:t>
      </w:r>
    </w:p>
    <w:p>
      <w:pPr>
        <w:pStyle w:val="Heading3"/>
      </w:pPr>
      <w:r>
        <w:t xml:space="preserve">Evidence</w:t>
      </w:r>
    </w:p>
    <w:p>
      <w:pPr>
        <w:pStyle w:val="ListParagraph"/>
        <w:numPr>
          <w:ilvl w:val="0"/>
          <w:numId w:val="2"/>
        </w:numPr>
        <w:spacing w:after="80"/>
      </w:pPr>
      <w:r>
        <w:rPr>
          <w:rFonts w:ascii="Arial" w:cs="Arial" w:eastAsia="Arial" w:hAnsi="Arial"/>
        </w:rPr>
        <w:t xml:space="preserve">No /api/reports/exceptions or /api/exceptions endpoint exists anywhere in backend/PMIMS.WebAPI/Controllers/*.cs (repo-wide search).</w:t>
      </w:r>
    </w:p>
    <w:p>
      <w:pPr>
        <w:pStyle w:val="ListParagraph"/>
        <w:numPr>
          <w:ilvl w:val="0"/>
          <w:numId w:val="2"/>
        </w:numPr>
        <w:spacing w:after="80"/>
      </w:pPr>
      <w:r>
        <w:rPr>
          <w:rFonts w:ascii="Arial" w:cs="Arial" w:eastAsia="Arial" w:hAnsi="Arial"/>
        </w:rPr>
        <w:t xml:space="preserve">Exception-like events exist but are scattered: reconciliation breaks live in mismatch_cases (surfaced via Item 3’s reconciliation report, which is a full case list, not an “exceptions” filter), rule blocks live in business_rule_evaluations (Rules Engine, no dedicated read endpoint beyond ad-hoc evaluate), low-stock breaches are logged as audit_logs entries when the threshold check fires (reorder_thresholds / CheckLowStockAlertsAsync).</w:t>
      </w:r>
    </w:p>
    <w:p>
      <w:pPr>
        <w:pStyle w:val="Heading3"/>
      </w:pPr>
      <w:r>
        <w:t xml:space="preserve">Assessment</w:t>
      </w:r>
    </w:p>
    <w:p>
      <w:pPr>
        <w:spacing w:after="160"/>
      </w:pPr>
      <w:r>
        <w:rPr>
          <w:rFonts w:ascii="Arial" w:cs="Arial" w:eastAsia="Arial" w:hAnsi="Arial"/>
        </w:rPr>
        <w:t xml:space="preserve">No consolidated exceptions report exists. Each exception type must be queried from its own module today — there is no single place an operations or compliance user can see “what needs my attention right now” across rule blocks, reconciliation breaks, low-stock breaches, and failed workflow actions in one view.</w:t>
      </w:r>
    </w:p>
    <w:p>
      <w:pPr>
        <w:pStyle w:val="Heading3"/>
      </w:pPr>
      <w:r>
        <w:t xml:space="preserve">Design to Close the Gap</w:t>
      </w:r>
    </w:p>
    <w:p>
      <w:pPr>
        <w:pStyle w:val="ListParagraph"/>
        <w:numPr>
          <w:ilvl w:val="0"/>
          <w:numId w:val="2"/>
        </w:numPr>
        <w:spacing w:after="80"/>
      </w:pPr>
      <w:r>
        <w:rPr>
          <w:rFonts w:ascii="Arial" w:cs="Arial" w:eastAsia="Arial" w:hAnsi="Arial"/>
          <w:b/>
          <w:bCs/>
        </w:rPr>
        <w:t xml:space="preserve">Architecture: </w:t>
      </w:r>
      <w:r>
        <w:rPr>
          <w:rFonts w:ascii="Arial" w:cs="Arial" w:eastAsia="Arial" w:hAnsi="Arial"/>
        </w:rPr>
        <w:t xml:space="preserve">A read-side aggregation view, not a new source of truth — same principle as Item 6’s Enhanced Audit Trail UI in the earlier gap-closure pass (“every module already writes here; this is entirely about making the data explorable”). A GET /api/reports/exceptions endpoint unions: open mismatch_cases (STATUS != RESOLVED), FAIL/WARN rows from business_rule_evaluations, active low-stock breaches, and any workflow_instances stuck past an SLA threshold — each row tagged with an exception_type discriminator.</w:t>
      </w:r>
    </w:p>
    <w:p>
      <w:pPr>
        <w:pStyle w:val="ListParagraph"/>
        <w:numPr>
          <w:ilvl w:val="0"/>
          <w:numId w:val="2"/>
        </w:numPr>
        <w:spacing w:after="80"/>
      </w:pPr>
      <w:r>
        <w:rPr>
          <w:rFonts w:ascii="Arial" w:cs="Arial" w:eastAsia="Arial" w:hAnsi="Arial"/>
          <w:b/>
          <w:bCs/>
        </w:rPr>
        <w:t xml:space="preserve">Database: </w:t>
      </w:r>
      <w:r>
        <w:rPr>
          <w:rFonts w:ascii="Arial" w:cs="Arial" w:eastAsia="Arial" w:hAnsi="Arial"/>
        </w:rPr>
        <w:t xml:space="preserve">No new tables required for the union itself; optionally a materialized exceptions_summary view (SQL Server) for performance if the union proves expensive at scale.</w:t>
      </w:r>
    </w:p>
    <w:p>
      <w:pPr>
        <w:pStyle w:val="ListParagraph"/>
        <w:numPr>
          <w:ilvl w:val="0"/>
          <w:numId w:val="2"/>
        </w:numPr>
        <w:spacing w:after="80"/>
      </w:pPr>
      <w:r>
        <w:rPr>
          <w:rFonts w:ascii="Arial" w:cs="Arial" w:eastAsia="Arial" w:hAnsi="Arial"/>
          <w:b/>
          <w:bCs/>
        </w:rPr>
        <w:t xml:space="preserve">API: </w:t>
      </w:r>
      <w:r>
        <w:rPr>
          <w:rFonts w:ascii="Arial" w:cs="Arial" w:eastAsia="Arial" w:hAnsi="Arial"/>
        </w:rPr>
        <w:t xml:space="preserve">GET /api/reports/exceptions?type=&amp;severity=&amp;from=&amp;to= (reports.read), plus an exceptions entry in the existing reports/export type switch for CSV/XLSX/PDF — reuses IAuditExportService, no new export code.</w:t>
      </w:r>
    </w:p>
    <w:p>
      <w:pPr>
        <w:pStyle w:val="ListParagraph"/>
        <w:numPr>
          <w:ilvl w:val="0"/>
          <w:numId w:val="2"/>
        </w:numPr>
        <w:spacing w:after="80"/>
      </w:pPr>
      <w:r>
        <w:rPr>
          <w:rFonts w:ascii="Arial" w:cs="Arial" w:eastAsia="Arial" w:hAnsi="Arial"/>
          <w:b/>
          <w:bCs/>
        </w:rPr>
        <w:t xml:space="preserve">Code: </w:t>
      </w:r>
      <w:r>
        <w:rPr>
          <w:rFonts w:ascii="Arial" w:cs="Arial" w:eastAsia="Arial" w:hAnsi="Arial"/>
        </w:rPr>
        <w:t xml:space="preserve">BuildExceptionsTableAsync in PMIMSControllers.Reports.cs following the exact pattern of BuildReconciliationDifferencesTableAsync (Reports.cs:135), unioning the four source queries and mapping each to a common row shape (Exception Type, Reference ID, Description, Severity, Raised At, Status).</w:t>
      </w:r>
    </w:p>
    <w:p>
      <w:pPr>
        <w:pStyle w:val="ListParagraph"/>
        <w:numPr>
          <w:ilvl w:val="0"/>
          <w:numId w:val="2"/>
        </w:numPr>
        <w:spacing w:after="80"/>
      </w:pPr>
      <w:r>
        <w:rPr>
          <w:rFonts w:ascii="Arial" w:cs="Arial" w:eastAsia="Arial" w:hAnsi="Arial"/>
          <w:b/>
          <w:bCs/>
        </w:rPr>
        <w:t xml:space="preserve">Testing: </w:t>
      </w:r>
      <w:r>
        <w:rPr>
          <w:rFonts w:ascii="Arial" w:cs="Arial" w:eastAsia="Arial" w:hAnsi="Arial"/>
        </w:rPr>
        <w:t xml:space="preserve">Unit tests seeding one open case of each exception type, asserting all four appear in the unioned result with correct severity/type tagging.</w:t>
      </w:r>
    </w:p>
    <w:p>
      <w:pPr>
        <w:pStyle w:val="ListParagraph"/>
        <w:numPr>
          <w:ilvl w:val="0"/>
          <w:numId w:val="2"/>
        </w:numPr>
        <w:spacing w:after="80"/>
      </w:pPr>
      <w:r>
        <w:rPr>
          <w:rFonts w:ascii="Arial" w:cs="Arial" w:eastAsia="Arial" w:hAnsi="Arial"/>
          <w:b/>
          <w:bCs/>
        </w:rPr>
        <w:t xml:space="preserve">Documentation: </w:t>
      </w:r>
      <w:r>
        <w:rPr>
          <w:rFonts w:ascii="Arial" w:cs="Arial" w:eastAsia="Arial" w:hAnsi="Arial"/>
        </w:rPr>
        <w:t xml:space="preserve">Exceptions taxonomy note: what counts as an exception, per-type severity mapping, and expected resolution owner per type (Reconciliation Officer for mismatch cases, Treasury Maker for rule blocks, etc.).</w:t>
      </w:r>
    </w:p>
    <w:p>
      <w:pPr>
        <w:pStyle w:val="Heading1"/>
      </w:pPr>
      <w:r>
        <w:t xml:space="preserve">6. Operational Dashboards for Management and Audit/Compliance Teams</w:t>
      </w:r>
    </w:p>
    <w:p>
      <w:pPr>
        <w:spacing w:after="160"/>
      </w:pPr>
      <w:r>
        <w:rPr>
          <w:rFonts w:ascii="Arial" w:cs="Arial" w:eastAsia="Arial" w:hAnsi="Arial"/>
          <w:b/>
          <w:bCs/>
        </w:rPr>
        <w:t xml:space="preserve">Status: </w:t>
      </w:r>
      <w:r>
        <w:rPr>
          <w:rFonts w:ascii="Arial" w:cs="Arial" w:eastAsia="Arial" w:hAnsi="Arial"/>
          <w:b/>
          <w:bCs/>
          <w:color w:val="B7791F"/>
        </w:rPr>
        <w:t xml:space="preserve">PARTIAL</w:t>
      </w:r>
    </w:p>
    <w:p>
      <w:pPr>
        <w:pStyle w:val="Heading3"/>
      </w:pPr>
      <w:r>
        <w:t xml:space="preserve">Evidence</w:t>
      </w:r>
    </w:p>
    <w:p>
      <w:pPr>
        <w:pStyle w:val="ListParagraph"/>
        <w:numPr>
          <w:ilvl w:val="0"/>
          <w:numId w:val="2"/>
        </w:numPr>
        <w:spacing w:after="80"/>
      </w:pPr>
      <w:r>
        <w:rPr>
          <w:rFonts w:ascii="Arial" w:cs="Arial" w:eastAsia="Arial" w:hAnsi="Arial"/>
        </w:rPr>
        <w:t xml:space="preserve">backend/PMIMS.WebAPI/Controllers/PMIMSControllers.cs:1227 — GET /api/dashboard/executive-board (management-facing: KPI tiles + live inventory table, date-scoped)</w:t>
      </w:r>
    </w:p>
    <w:p>
      <w:pPr>
        <w:pStyle w:val="ListParagraph"/>
        <w:numPr>
          <w:ilvl w:val="0"/>
          <w:numId w:val="2"/>
        </w:numPr>
        <w:spacing w:after="80"/>
      </w:pPr>
      <w:r>
        <w:rPr>
          <w:rFonts w:ascii="Arial" w:cs="Arial" w:eastAsia="Arial" w:hAnsi="Arial"/>
        </w:rPr>
        <w:t xml:space="preserve">backend/PMIMS.WebAPI/Controllers/PMIMSControllers.cs:1130 — GET /api/dashboard/my-activity (any user: personal approval history + pending queue)</w:t>
      </w:r>
    </w:p>
    <w:p>
      <w:pPr>
        <w:pStyle w:val="ListParagraph"/>
        <w:numPr>
          <w:ilvl w:val="0"/>
          <w:numId w:val="2"/>
        </w:numPr>
        <w:spacing w:after="80"/>
      </w:pPr>
      <w:r>
        <w:rPr>
          <w:rFonts w:ascii="Arial" w:cs="Arial" w:eastAsia="Arial" w:hAnsi="Arial"/>
        </w:rPr>
        <w:t xml:space="preserve">backend/PMIMS.WebAPI/Controllers/PMIMSControllers.Audit.cs:19 — GET /api/reports/audit-logs/search (compliance-relevant, but a search tool, not a curated dashboard)</w:t>
      </w:r>
    </w:p>
    <w:p>
      <w:pPr>
        <w:pStyle w:val="ListParagraph"/>
        <w:numPr>
          <w:ilvl w:val="0"/>
          <w:numId w:val="2"/>
        </w:numPr>
        <w:spacing w:after="80"/>
      </w:pPr>
      <w:r>
        <w:rPr>
          <w:rFonts w:ascii="Arial" w:cs="Arial" w:eastAsia="Arial" w:hAnsi="Arial"/>
        </w:rPr>
        <w:t xml:space="preserve">docs/PERMISSIONS.md — dashboard module exists with per-role access tiers</w:t>
      </w:r>
    </w:p>
    <w:p>
      <w:pPr>
        <w:pStyle w:val="Heading3"/>
      </w:pPr>
      <w:r>
        <w:t xml:space="preserve">Assessment</w:t>
      </w:r>
    </w:p>
    <w:p>
      <w:pPr>
        <w:spacing w:after="160"/>
      </w:pPr>
      <w:r>
        <w:rPr>
          <w:rFonts w:ascii="Arial" w:cs="Arial" w:eastAsia="Arial" w:hAnsi="Arial"/>
        </w:rPr>
        <w:t xml:space="preserve">The management half of this requirement is delivered (Executive Board). The audit/compliance half is not: Compliance Officers today land on the same audit-log search screen as everyone else — there is no curated view surfacing, at a glance, open reconciliation breaks, rule-block volume, tamper-check failures, and overdue workflow approvals, which is what an audit/compliance dashboard implies versus a searchable log.</w:t>
      </w:r>
    </w:p>
    <w:p>
      <w:pPr>
        <w:pStyle w:val="Heading3"/>
      </w:pPr>
      <w:r>
        <w:t xml:space="preserve">Design to Close the Gap</w:t>
      </w:r>
    </w:p>
    <w:p>
      <w:pPr>
        <w:pStyle w:val="ListParagraph"/>
        <w:numPr>
          <w:ilvl w:val="0"/>
          <w:numId w:val="2"/>
        </w:numPr>
        <w:spacing w:after="80"/>
      </w:pPr>
      <w:r>
        <w:rPr>
          <w:rFonts w:ascii="Arial" w:cs="Arial" w:eastAsia="Arial" w:hAnsi="Arial"/>
          <w:b/>
          <w:bCs/>
        </w:rPr>
        <w:t xml:space="preserve">Architecture: </w:t>
      </w:r>
      <w:r>
        <w:rPr>
          <w:rFonts w:ascii="Arial" w:cs="Arial" w:eastAsia="Arial" w:hAnsi="Arial"/>
        </w:rPr>
        <w:t xml:space="preserve">A second dashboard endpoint, GET /api/dashboard/compliance, parallel in structure to /dashboard/executive-board but sourced from Item 5’s exceptions aggregation plus audit-log tamper-check status — built once Item 5 exists, since it is largely a summarized view over the same union.</w:t>
      </w:r>
    </w:p>
    <w:p>
      <w:pPr>
        <w:pStyle w:val="ListParagraph"/>
        <w:numPr>
          <w:ilvl w:val="0"/>
          <w:numId w:val="2"/>
        </w:numPr>
        <w:spacing w:after="80"/>
      </w:pPr>
      <w:r>
        <w:rPr>
          <w:rFonts w:ascii="Arial" w:cs="Arial" w:eastAsia="Arial" w:hAnsi="Arial"/>
          <w:b/>
          <w:bCs/>
        </w:rPr>
        <w:t xml:space="preserve">API: </w:t>
      </w:r>
      <w:r>
        <w:rPr>
          <w:rFonts w:ascii="Arial" w:cs="Arial" w:eastAsia="Arial" w:hAnsi="Arial"/>
        </w:rPr>
        <w:t xml:space="preserve">GET /api/dashboard/compliance (reports.read or a new dashboard.read tier if Compliance needs a permission distinct from general reports access — confirm against docs/PERMISSIONS.md’s existing role matrix before adding a module key).</w:t>
      </w:r>
    </w:p>
    <w:p>
      <w:pPr>
        <w:pStyle w:val="ListParagraph"/>
        <w:numPr>
          <w:ilvl w:val="0"/>
          <w:numId w:val="2"/>
        </w:numPr>
        <w:spacing w:after="80"/>
      </w:pPr>
      <w:r>
        <w:rPr>
          <w:rFonts w:ascii="Arial" w:cs="Arial" w:eastAsia="Arial" w:hAnsi="Arial"/>
          <w:b/>
          <w:bCs/>
        </w:rPr>
        <w:t xml:space="preserve">Code: </w:t>
      </w:r>
      <w:r>
        <w:rPr>
          <w:rFonts w:ascii="Arial" w:cs="Arial" w:eastAsia="Arial" w:hAnsi="Arial"/>
        </w:rPr>
        <w:t xml:space="preserve">Reuses BuildExceptionsTableAsync counts grouped by type/severity, plus a tamper-check-failure count from the audit-log row_hash verification already implemented for Item 6 of the prior pass.</w:t>
      </w:r>
    </w:p>
    <w:p>
      <w:pPr>
        <w:pStyle w:val="ListParagraph"/>
        <w:numPr>
          <w:ilvl w:val="0"/>
          <w:numId w:val="2"/>
        </w:numPr>
        <w:spacing w:after="80"/>
      </w:pPr>
      <w:r>
        <w:rPr>
          <w:rFonts w:ascii="Arial" w:cs="Arial" w:eastAsia="Arial" w:hAnsi="Arial"/>
          <w:b/>
          <w:bCs/>
        </w:rPr>
        <w:t xml:space="preserve">Frontend: </w:t>
      </w:r>
      <w:r>
        <w:rPr>
          <w:rFonts w:ascii="Arial" w:cs="Arial" w:eastAsia="Arial" w:hAnsi="Arial"/>
        </w:rPr>
        <w:t xml:space="preserve">New dashboard tab in frontend/src/App.tsx alongside the existing Executive Board / My Activity tabs, gated by the module’s canAccess/canModify helpers per the AGENTS.md checklist for adding a permission module.</w:t>
      </w:r>
    </w:p>
    <w:p>
      <w:pPr>
        <w:pStyle w:val="ListParagraph"/>
        <w:numPr>
          <w:ilvl w:val="0"/>
          <w:numId w:val="2"/>
        </w:numPr>
        <w:spacing w:after="80"/>
      </w:pPr>
      <w:r>
        <w:rPr>
          <w:rFonts w:ascii="Arial" w:cs="Arial" w:eastAsia="Arial" w:hAnsi="Arial"/>
          <w:b/>
          <w:bCs/>
        </w:rPr>
        <w:t xml:space="preserve">Testing: </w:t>
      </w:r>
      <w:r>
        <w:rPr>
          <w:rFonts w:ascii="Arial" w:cs="Arial" w:eastAsia="Arial" w:hAnsi="Arial"/>
        </w:rPr>
        <w:t xml:space="preserve">UAT: log in as reconciliation-reconciler, confirm the compliance dashboard shows open mismatch case count matching the reconciliation report’s row count.</w:t>
      </w:r>
    </w:p>
    <w:p>
      <w:pPr>
        <w:pStyle w:val="Heading1"/>
      </w:pPr>
      <w:r>
        <w:t xml:space="preserve">7. Complete Review History for Auditability and Management Oversight</w:t>
      </w:r>
    </w:p>
    <w:p>
      <w:pPr>
        <w:spacing w:after="160"/>
      </w:pPr>
      <w:r>
        <w:rPr>
          <w:rFonts w:ascii="Arial" w:cs="Arial" w:eastAsia="Arial" w:hAnsi="Arial"/>
          <w:b/>
          <w:bCs/>
        </w:rPr>
        <w:t xml:space="preserve">Status: </w:t>
      </w:r>
      <w:r>
        <w:rPr>
          <w:rFonts w:ascii="Arial" w:cs="Arial" w:eastAsia="Arial" w:hAnsi="Arial"/>
          <w:b/>
          <w:bCs/>
          <w:color w:val="1E7A34"/>
        </w:rPr>
        <w:t xml:space="preserve">DELIVERED</w:t>
      </w:r>
    </w:p>
    <w:p>
      <w:pPr>
        <w:pStyle w:val="Heading3"/>
      </w:pPr>
      <w:r>
        <w:t xml:space="preserve">Evidence</w:t>
      </w:r>
    </w:p>
    <w:p>
      <w:pPr>
        <w:pStyle w:val="ListParagraph"/>
        <w:numPr>
          <w:ilvl w:val="0"/>
          <w:numId w:val="2"/>
        </w:numPr>
        <w:spacing w:after="80"/>
      </w:pPr>
      <w:r>
        <w:rPr>
          <w:rFonts w:ascii="Arial" w:cs="Arial" w:eastAsia="Arial" w:hAnsi="Arial"/>
        </w:rPr>
        <w:t xml:space="preserve">backend/PMIMS.WebAPI/Controllers/PMIMSControllers.Audit.cs:19–90 — tamper-evident, searchable, paginated, exportable audit log covering every mutating action (maker/checker approvals, PO review, intake checklist, reconciliation resolution, transfer authorization)</w:t>
      </w:r>
    </w:p>
    <w:p>
      <w:pPr>
        <w:pStyle w:val="ListParagraph"/>
        <w:numPr>
          <w:ilvl w:val="0"/>
          <w:numId w:val="2"/>
        </w:numPr>
        <w:spacing w:after="80"/>
      </w:pPr>
      <w:r>
        <w:rPr>
          <w:rFonts w:ascii="Arial" w:cs="Arial" w:eastAsia="Arial" w:hAnsi="Arial"/>
        </w:rPr>
        <w:t xml:space="preserve">database/schema.sql — audit_logs (user, module, entity_type, entity_id, action_description, timestamp, IP address, row_hash) plus approval_actions/workflow_instances for the maker-checker trail specifically</w:t>
      </w:r>
    </w:p>
    <w:p>
      <w:pPr>
        <w:pStyle w:val="ListParagraph"/>
        <w:numPr>
          <w:ilvl w:val="0"/>
          <w:numId w:val="2"/>
        </w:numPr>
        <w:spacing w:after="80"/>
      </w:pPr>
      <w:r>
        <w:rPr>
          <w:rFonts w:ascii="Arial" w:cs="Arial" w:eastAsia="Arial" w:hAnsi="Arial"/>
        </w:rPr>
        <w:t xml:space="preserve">backend/PMIMS.Application/ReconciliationService.cs — ResolveMismatchAsync writes investigator resolution into the audit trail</w:t>
      </w:r>
    </w:p>
    <w:p>
      <w:pPr>
        <w:pStyle w:val="Heading3"/>
      </w:pPr>
      <w:r>
        <w:t xml:space="preserve">Assessment</w:t>
      </w:r>
    </w:p>
    <w:p>
      <w:pPr>
        <w:spacing w:after="160"/>
      </w:pPr>
      <w:r>
        <w:rPr>
          <w:rFonts w:ascii="Arial" w:cs="Arial" w:eastAsia="Arial" w:hAnsi="Arial"/>
        </w:rPr>
        <w:t xml:space="preserve">Delivered, and delivered to a higher bar than a plain log: the row_hash tamper-detection mechanism (SHA-256, recomputed and compared on read) means this isn’t just a review history but a verifiably-untampered one, which is what “auditability” in the RFP sense typically requires. Every Maker-Checker decision, reconciliation resolution, and admin action is captured with who/what/when/from-where.</w:t>
      </w:r>
    </w:p>
    <w:p>
      <w:pPr>
        <w:pStyle w:val="Heading1"/>
      </w:pPr>
      <w:r>
        <w:t xml:space="preserve">8. Cost Analysis and Variance Reports</w:t>
      </w:r>
    </w:p>
    <w:p>
      <w:pPr>
        <w:spacing w:after="160"/>
      </w:pPr>
      <w:r>
        <w:rPr>
          <w:rFonts w:ascii="Arial" w:cs="Arial" w:eastAsia="Arial" w:hAnsi="Arial"/>
          <w:b/>
          <w:bCs/>
        </w:rPr>
        <w:t xml:space="preserve">Status: </w:t>
      </w:r>
      <w:r>
        <w:rPr>
          <w:rFonts w:ascii="Arial" w:cs="Arial" w:eastAsia="Arial" w:hAnsi="Arial"/>
          <w:b/>
          <w:bCs/>
          <w:color w:val="B7791F"/>
        </w:rPr>
        <w:t xml:space="preserve">PARTIAL</w:t>
      </w:r>
    </w:p>
    <w:p>
      <w:pPr>
        <w:pStyle w:val="Heading3"/>
      </w:pPr>
      <w:r>
        <w:t xml:space="preserve">Evidence</w:t>
      </w:r>
    </w:p>
    <w:p>
      <w:pPr>
        <w:pStyle w:val="ListParagraph"/>
        <w:numPr>
          <w:ilvl w:val="0"/>
          <w:numId w:val="2"/>
        </w:numPr>
        <w:spacing w:after="80"/>
      </w:pPr>
      <w:r>
        <w:rPr>
          <w:rFonts w:ascii="Arial" w:cs="Arial" w:eastAsia="Arial" w:hAnsi="Arial"/>
        </w:rPr>
        <w:t xml:space="preserve">backend/PMIMS.WebAPI/Controllers/PMIMSControllers.cs:812 — GET /api/reports/valuation: per-item cost basis (AVERAGE/FIFO/LIFO selectable), current market value, unrealized P&amp;L</w:t>
      </w:r>
    </w:p>
    <w:p>
      <w:pPr>
        <w:pStyle w:val="ListParagraph"/>
        <w:numPr>
          <w:ilvl w:val="0"/>
          <w:numId w:val="2"/>
        </w:numPr>
        <w:spacing w:after="80"/>
      </w:pPr>
      <w:r>
        <w:rPr>
          <w:rFonts w:ascii="Arial" w:cs="Arial" w:eastAsia="Arial" w:hAnsi="Arial"/>
        </w:rPr>
        <w:t xml:space="preserve">backend/PMIMS.Domain/Entities.cs — PurchaseOrder carries TotalCost, FreightCost, InsuranceCost, CustomsDutyCost, OtherFeesCost, with a computed LandedCost</w:t>
      </w:r>
    </w:p>
    <w:p>
      <w:pPr>
        <w:pStyle w:val="ListParagraph"/>
        <w:numPr>
          <w:ilvl w:val="0"/>
          <w:numId w:val="2"/>
        </w:numPr>
        <w:spacing w:after="80"/>
      </w:pPr>
      <w:r>
        <w:rPr>
          <w:rFonts w:ascii="Arial" w:cs="Arial" w:eastAsia="Arial" w:hAnsi="Arial"/>
        </w:rPr>
        <w:t xml:space="preserve">No occurrence of “variance” as a concept anywhere in backend/ or database/schema.sql (source files, verified by repo-wide search).</w:t>
      </w:r>
    </w:p>
    <w:p>
      <w:pPr>
        <w:pStyle w:val="Heading3"/>
      </w:pPr>
      <w:r>
        <w:t xml:space="preserve">Assessment</w:t>
      </w:r>
    </w:p>
    <w:p>
      <w:pPr>
        <w:spacing w:after="160"/>
      </w:pPr>
      <w:r>
        <w:rPr>
          <w:rFonts w:ascii="Arial" w:cs="Arial" w:eastAsia="Arial" w:hAnsi="Arial"/>
        </w:rPr>
        <w:t xml:space="preserve">Cost data exists at the item and purchase-order level, and per-item unrealized P&amp;L is effectively a one-item variance (cost basis vs. current market value). What’s missing is any aggregation: total landed cost by lot, cost per metal type across the book, margin/cost variance by vendor, or variance against a budgeted/forecast cost. “Variance” as the RFP likely means it — actual vs. planned/budgeted — has no representation in the schema at all; there is no budget or forecast entity to vary against.</w:t>
      </w:r>
    </w:p>
    <w:p>
      <w:pPr>
        <w:pStyle w:val="Heading3"/>
      </w:pPr>
      <w:r>
        <w:t xml:space="preserve">Design to Close the Gap</w:t>
      </w:r>
    </w:p>
    <w:p>
      <w:pPr>
        <w:pStyle w:val="ListParagraph"/>
        <w:numPr>
          <w:ilvl w:val="0"/>
          <w:numId w:val="2"/>
        </w:numPr>
        <w:spacing w:after="80"/>
      </w:pPr>
      <w:r>
        <w:rPr>
          <w:rFonts w:ascii="Arial" w:cs="Arial" w:eastAsia="Arial" w:hAnsi="Arial"/>
          <w:b/>
          <w:bCs/>
        </w:rPr>
        <w:t xml:space="preserve">Architecture: </w:t>
      </w:r>
      <w:r>
        <w:rPr>
          <w:rFonts w:ascii="Arial" w:cs="Arial" w:eastAsia="Arial" w:hAnsi="Arial"/>
        </w:rPr>
        <w:t xml:space="preserve">Two additions: (a) a cost analysis rollup endpoint aggregating the existing per-item valuation data by lot/metal-type/vendor (pure aggregation, no new source data), and (b) a variance capability, which is a genuine data-model gap — it requires a budgeted/standard cost figure to compare against, which does not exist today.</w:t>
      </w:r>
    </w:p>
    <w:p>
      <w:pPr>
        <w:pStyle w:val="ListParagraph"/>
        <w:numPr>
          <w:ilvl w:val="0"/>
          <w:numId w:val="2"/>
        </w:numPr>
        <w:spacing w:after="80"/>
      </w:pPr>
      <w:r>
        <w:rPr>
          <w:rFonts w:ascii="Arial" w:cs="Arial" w:eastAsia="Arial" w:hAnsi="Arial"/>
          <w:b/>
          <w:bCs/>
        </w:rPr>
        <w:t xml:space="preserve">Database: </w:t>
      </w:r>
      <w:r>
        <w:rPr>
          <w:rFonts w:ascii="Arial" w:cs="Arial" w:eastAsia="Arial" w:hAnsi="Arial"/>
        </w:rPr>
        <w:t xml:space="preserve">cost_budgets (budget_id, metal_type, period, budgeted_unit_cost, currency, created_by) — the minimum table needed to make “variance” mean something; without it, “variance” can only be reported as period-over-period cost drift, which is a materially different (and lesser) metric than the RFP likely intends.</w:t>
      </w:r>
    </w:p>
    <w:p>
      <w:pPr>
        <w:pStyle w:val="ListParagraph"/>
        <w:numPr>
          <w:ilvl w:val="0"/>
          <w:numId w:val="2"/>
        </w:numPr>
        <w:spacing w:after="80"/>
      </w:pPr>
      <w:r>
        <w:rPr>
          <w:rFonts w:ascii="Arial" w:cs="Arial" w:eastAsia="Arial" w:hAnsi="Arial"/>
          <w:b/>
          <w:bCs/>
        </w:rPr>
        <w:t xml:space="preserve">API: </w:t>
      </w:r>
      <w:r>
        <w:rPr>
          <w:rFonts w:ascii="Arial" w:cs="Arial" w:eastAsia="Arial" w:hAnsi="Arial"/>
        </w:rPr>
        <w:t xml:space="preserve">GET /api/reports/cost-analysis?groupBy=lot|metal_type|vendor and GET /api/reports/cost-variance?period= (reports.read), both added to the reports/export switch.</w:t>
      </w:r>
    </w:p>
    <w:p>
      <w:pPr>
        <w:pStyle w:val="ListParagraph"/>
        <w:numPr>
          <w:ilvl w:val="0"/>
          <w:numId w:val="2"/>
        </w:numPr>
        <w:spacing w:after="80"/>
      </w:pPr>
      <w:r>
        <w:rPr>
          <w:rFonts w:ascii="Arial" w:cs="Arial" w:eastAsia="Arial" w:hAnsi="Arial"/>
          <w:b/>
          <w:bCs/>
        </w:rPr>
        <w:t xml:space="preserve">Code: </w:t>
      </w:r>
      <w:r>
        <w:rPr>
          <w:rFonts w:ascii="Arial" w:cs="Arial" w:eastAsia="Arial" w:hAnsi="Arial"/>
        </w:rPr>
        <w:t xml:space="preserve">BuildCostAnalysisTableAsync grouping InventoryLot.AverageUnitCost and PurchaseOrder landed costs; variance calculation only meaningful once cost_budgets exists.</w:t>
      </w:r>
    </w:p>
    <w:p>
      <w:pPr>
        <w:pStyle w:val="ListParagraph"/>
        <w:numPr>
          <w:ilvl w:val="0"/>
          <w:numId w:val="2"/>
        </w:numPr>
        <w:spacing w:after="80"/>
      </w:pPr>
      <w:r>
        <w:rPr>
          <w:rFonts w:ascii="Arial" w:cs="Arial" w:eastAsia="Arial" w:hAnsi="Arial"/>
          <w:b/>
          <w:bCs/>
        </w:rPr>
        <w:t xml:space="preserve">Recommendation: </w:t>
      </w:r>
      <w:r>
        <w:rPr>
          <w:rFonts w:ascii="Arial" w:cs="Arial" w:eastAsia="Arial" w:hAnsi="Arial"/>
        </w:rPr>
        <w:t xml:space="preserve">Confirm with Finance/Treasury whether “variance” means budget-vs-actual (needs the new table) or simply cost-trend-over-time (deliverable now, no schema change) before scoping — this materially changes the size of the work.</w:t>
      </w:r>
    </w:p>
    <w:p>
      <w:pPr>
        <w:pStyle w:val="Heading1"/>
      </w:pPr>
      <w:r>
        <w:t xml:space="preserve">9. Daily, Weekly, Monthly Movement Reports by Location and Ownership</w:t>
      </w:r>
    </w:p>
    <w:p>
      <w:pPr>
        <w:spacing w:after="160"/>
      </w:pPr>
      <w:r>
        <w:rPr>
          <w:rFonts w:ascii="Arial" w:cs="Arial" w:eastAsia="Arial" w:hAnsi="Arial"/>
          <w:b/>
          <w:bCs/>
        </w:rPr>
        <w:t xml:space="preserve">Status: </w:t>
      </w:r>
      <w:r>
        <w:rPr>
          <w:rFonts w:ascii="Arial" w:cs="Arial" w:eastAsia="Arial" w:hAnsi="Arial"/>
          <w:b/>
          <w:bCs/>
          <w:color w:val="B42318"/>
        </w:rPr>
        <w:t xml:space="preserve">GAP</w:t>
      </w:r>
    </w:p>
    <w:p>
      <w:pPr>
        <w:pStyle w:val="Heading3"/>
      </w:pPr>
      <w:r>
        <w:t xml:space="preserve">Evidence</w:t>
      </w:r>
    </w:p>
    <w:p>
      <w:pPr>
        <w:pStyle w:val="ListParagraph"/>
        <w:numPr>
          <w:ilvl w:val="0"/>
          <w:numId w:val="2"/>
        </w:numPr>
        <w:spacing w:after="80"/>
      </w:pPr>
      <w:r>
        <w:rPr>
          <w:rFonts w:ascii="Arial" w:cs="Arial" w:eastAsia="Arial" w:hAnsi="Arial"/>
        </w:rPr>
        <w:t xml:space="preserve">backend/PMIMS.WebAPI/Controllers/PMIMSControllers.cs:774 — GET /api/reports/transactions returns the full transaction log with location and ownership fields, but with no date-bucketing or period aggregation parameter.</w:t>
      </w:r>
    </w:p>
    <w:p>
      <w:pPr>
        <w:pStyle w:val="ListParagraph"/>
        <w:numPr>
          <w:ilvl w:val="0"/>
          <w:numId w:val="2"/>
        </w:numPr>
        <w:spacing w:after="80"/>
      </w:pPr>
      <w:r>
        <w:rPr>
          <w:rFonts w:ascii="Arial" w:cs="Arial" w:eastAsia="Arial" w:hAnsi="Arial"/>
        </w:rPr>
        <w:t xml:space="preserve">backend/PMIMS.Infrastructure/NotificationSchedulerService.cs:163 — HIGH_VALUE_MOVEMENT report type covers only a rolling last-24-hours window, not a daily/weekly/monthly summary.</w:t>
      </w:r>
    </w:p>
    <w:p>
      <w:pPr>
        <w:pStyle w:val="ListParagraph"/>
        <w:numPr>
          <w:ilvl w:val="0"/>
          <w:numId w:val="2"/>
        </w:numPr>
        <w:spacing w:after="80"/>
      </w:pPr>
      <w:r>
        <w:rPr>
          <w:rFonts w:ascii="Arial" w:cs="Arial" w:eastAsia="Arial" w:hAnsi="Arial"/>
        </w:rPr>
        <w:t xml:space="preserve">No /api/reports/movements/daily, /weekly, or /monthly endpoint exists anywhere in the controllers (repo-wide search, confirmed no daily|weekly|monthly matches in backend/PMIMS.WebAPI or backend/PMIMS.Infrastructure).</w:t>
      </w:r>
    </w:p>
    <w:p>
      <w:pPr>
        <w:pStyle w:val="Heading3"/>
      </w:pPr>
      <w:r>
        <w:t xml:space="preserve">Assessment</w:t>
      </w:r>
    </w:p>
    <w:p>
      <w:pPr>
        <w:spacing w:after="160"/>
      </w:pPr>
      <w:r>
        <w:rPr>
          <w:rFonts w:ascii="Arial" w:cs="Arial" w:eastAsia="Arial" w:hAnsi="Arial"/>
        </w:rPr>
        <w:t xml:space="preserve">The raw data this requirement needs — transaction timestamp, source/destination location, and ownership type on every transaction row — is all present (confirmed InventoryItem.OwnershipType and InventoryBalance.OwnershipType in Entities.cs). What’s missing is entirely the aggregation/bucketing layer: no endpoint groups transactions by day/week/month, by location, and by ownership split (KFH_OWNED vs. CUSTOMER_OWNED) the way the requirement names.</w:t>
      </w:r>
    </w:p>
    <w:p>
      <w:pPr>
        <w:pStyle w:val="Heading3"/>
      </w:pPr>
      <w:r>
        <w:t xml:space="preserve">Design to Close the Gap</w:t>
      </w:r>
    </w:p>
    <w:p>
      <w:pPr>
        <w:pStyle w:val="ListParagraph"/>
        <w:numPr>
          <w:ilvl w:val="0"/>
          <w:numId w:val="2"/>
        </w:numPr>
        <w:spacing w:after="80"/>
      </w:pPr>
      <w:r>
        <w:rPr>
          <w:rFonts w:ascii="Arial" w:cs="Arial" w:eastAsia="Arial" w:hAnsi="Arial"/>
          <w:b/>
          <w:bCs/>
        </w:rPr>
        <w:t xml:space="preserve">Architecture: </w:t>
      </w:r>
      <w:r>
        <w:rPr>
          <w:rFonts w:ascii="Arial" w:cs="Arial" w:eastAsia="Arial" w:hAnsi="Arial"/>
        </w:rPr>
        <w:t xml:space="preserve">A single parameterized endpoint rather than three separate ones — the bucket (day/week/month) is a query parameter, not three code paths, since the grouping logic (location × ownership × period) is identical at every granularity.</w:t>
      </w:r>
    </w:p>
    <w:p>
      <w:pPr>
        <w:pStyle w:val="ListParagraph"/>
        <w:numPr>
          <w:ilvl w:val="0"/>
          <w:numId w:val="2"/>
        </w:numPr>
        <w:spacing w:after="80"/>
      </w:pPr>
      <w:r>
        <w:rPr>
          <w:rFonts w:ascii="Arial" w:cs="Arial" w:eastAsia="Arial" w:hAnsi="Arial"/>
          <w:b/>
          <w:bCs/>
        </w:rPr>
        <w:t xml:space="preserve">API: </w:t>
      </w:r>
      <w:r>
        <w:rPr>
          <w:rFonts w:ascii="Arial" w:cs="Arial" w:eastAsia="Arial" w:hAnsi="Arial"/>
        </w:rPr>
        <w:t xml:space="preserve">GET /api/reports/movements?bucket=day|week|month&amp;from=&amp;to= (reports.read) returning rows of {period, location, ownership_type, inbound_count, outbound_count, net_weight_grams}; add movements to the reports/export type switch for the same CSV/XLSX/PDF path used everywhere else.</w:t>
      </w:r>
    </w:p>
    <w:p>
      <w:pPr>
        <w:pStyle w:val="ListParagraph"/>
        <w:numPr>
          <w:ilvl w:val="0"/>
          <w:numId w:val="2"/>
        </w:numPr>
        <w:spacing w:after="80"/>
      </w:pPr>
      <w:r>
        <w:rPr>
          <w:rFonts w:ascii="Arial" w:cs="Arial" w:eastAsia="Arial" w:hAnsi="Arial"/>
          <w:b/>
          <w:bCs/>
        </w:rPr>
        <w:t xml:space="preserve">Code: </w:t>
      </w:r>
      <w:r>
        <w:rPr>
          <w:rFonts w:ascii="Arial" w:cs="Arial" w:eastAsia="Arial" w:hAnsi="Arial"/>
        </w:rPr>
        <w:t xml:space="preserve">BuildMovementReportTableAsync in PMIMSControllers.Reports.cs: pulls GetTransactionsAsync() (already used by Item 2), groups by SQL DATE_TRUNC-equivalent period bucket (computed in C# for SQLite-dev-fallback compatibility, matching the dual-provider convention noted in the codebase), then by location and OwnershipType.</w:t>
      </w:r>
    </w:p>
    <w:p>
      <w:pPr>
        <w:pStyle w:val="ListParagraph"/>
        <w:numPr>
          <w:ilvl w:val="0"/>
          <w:numId w:val="2"/>
        </w:numPr>
        <w:spacing w:after="80"/>
      </w:pPr>
      <w:r>
        <w:rPr>
          <w:rFonts w:ascii="Arial" w:cs="Arial" w:eastAsia="Arial" w:hAnsi="Arial"/>
          <w:b/>
          <w:bCs/>
        </w:rPr>
        <w:t xml:space="preserve">Testing: </w:t>
      </w:r>
      <w:r>
        <w:rPr>
          <w:rFonts w:ascii="Arial" w:cs="Arial" w:eastAsia="Arial" w:hAnsi="Arial"/>
        </w:rPr>
        <w:t xml:space="preserve">Unit tests with seeded transactions spanning multiple days/weeks, asserting bucket boundaries and ownership-split totals are correct at each granularity.</w:t>
      </w:r>
    </w:p>
    <w:p>
      <w:pPr>
        <w:pStyle w:val="ListParagraph"/>
        <w:numPr>
          <w:ilvl w:val="0"/>
          <w:numId w:val="2"/>
        </w:numPr>
        <w:spacing w:after="80"/>
      </w:pPr>
      <w:r>
        <w:rPr>
          <w:rFonts w:ascii="Arial" w:cs="Arial" w:eastAsia="Arial" w:hAnsi="Arial"/>
          <w:b/>
          <w:bCs/>
        </w:rPr>
        <w:t xml:space="preserve">Documentation: </w:t>
      </w:r>
      <w:r>
        <w:rPr>
          <w:rFonts w:ascii="Arial" w:cs="Arial" w:eastAsia="Arial" w:hAnsi="Arial"/>
        </w:rPr>
        <w:t xml:space="preserve">Note in the report description which timestamp field defines the bucket (TransactionTimestamp, UTC) and how week boundaries are defined (ISO week vs. calendar week — a KFH-specific convention decision).</w:t>
      </w:r>
    </w:p>
    <w:p>
      <w:pPr>
        <w:pStyle w:val="Heading1"/>
      </w:pPr>
      <w:r>
        <w:t xml:space="preserve">10. Position Summary for KFH and Customers</w:t>
      </w:r>
    </w:p>
    <w:p>
      <w:pPr>
        <w:spacing w:after="160"/>
      </w:pPr>
      <w:r>
        <w:rPr>
          <w:rFonts w:ascii="Arial" w:cs="Arial" w:eastAsia="Arial" w:hAnsi="Arial"/>
          <w:b/>
          <w:bCs/>
        </w:rPr>
        <w:t xml:space="preserve">Status: </w:t>
      </w:r>
      <w:r>
        <w:rPr>
          <w:rFonts w:ascii="Arial" w:cs="Arial" w:eastAsia="Arial" w:hAnsi="Arial"/>
          <w:b/>
          <w:bCs/>
          <w:color w:val="1E7A34"/>
        </w:rPr>
        <w:t xml:space="preserve">DELIVERED</w:t>
      </w:r>
    </w:p>
    <w:p>
      <w:pPr>
        <w:pStyle w:val="Heading3"/>
      </w:pPr>
      <w:r>
        <w:t xml:space="preserve">Evidence</w:t>
      </w:r>
    </w:p>
    <w:p>
      <w:pPr>
        <w:pStyle w:val="ListParagraph"/>
        <w:numPr>
          <w:ilvl w:val="0"/>
          <w:numId w:val="2"/>
        </w:numPr>
        <w:spacing w:after="80"/>
      </w:pPr>
      <w:r>
        <w:rPr>
          <w:rFonts w:ascii="Arial" w:cs="Arial" w:eastAsia="Arial" w:hAnsi="Arial"/>
        </w:rPr>
        <w:t xml:space="preserve">backend/PMIMS.WebAPI/Controllers/PMIMSControllers.cs:753 — GET /api/reports/holdings: customer holdings by civil ID, name, serial, metal, weight, purity, vault/location, status, custody agreement number</w:t>
      </w:r>
    </w:p>
    <w:p>
      <w:pPr>
        <w:pStyle w:val="ListParagraph"/>
        <w:numPr>
          <w:ilvl w:val="0"/>
          <w:numId w:val="2"/>
        </w:numPr>
        <w:spacing w:after="80"/>
      </w:pPr>
      <w:r>
        <w:rPr>
          <w:rFonts w:ascii="Arial" w:cs="Arial" w:eastAsia="Arial" w:hAnsi="Arial"/>
        </w:rPr>
        <w:t xml:space="preserve">backend/PMIMS.Domain/Entities.cs:209, 361 — InventoryItem.OwnershipType and InventoryBalance.OwnershipType, both defaulting to "KFH_OWNED" and set to "CUSTOMER_OWNED" for custody holdings</w:t>
      </w:r>
    </w:p>
    <w:p>
      <w:pPr>
        <w:pStyle w:val="ListParagraph"/>
        <w:numPr>
          <w:ilvl w:val="0"/>
          <w:numId w:val="2"/>
        </w:numPr>
        <w:spacing w:after="80"/>
      </w:pPr>
      <w:r>
        <w:rPr>
          <w:rFonts w:ascii="Arial" w:cs="Arial" w:eastAsia="Arial" w:hAnsi="Arial"/>
        </w:rPr>
        <w:t xml:space="preserve">backend/PMIMS.WebAPI/Controllers/PMIMSControllers.cs:1227 — executive-board dashboard includes an ownership field per inventory row</w:t>
      </w:r>
    </w:p>
    <w:p>
      <w:pPr>
        <w:pStyle w:val="ListParagraph"/>
        <w:numPr>
          <w:ilvl w:val="0"/>
          <w:numId w:val="2"/>
        </w:numPr>
        <w:spacing w:after="80"/>
      </w:pPr>
      <w:r>
        <w:rPr>
          <w:rFonts w:ascii="Arial" w:cs="Arial" w:eastAsia="Arial" w:hAnsi="Arial"/>
        </w:rPr>
        <w:t xml:space="preserve">backend/PMIMS.WebAPI/Controllers/PMIMSControllers.cs:774 — transaction report includes source/destination ownership</w:t>
      </w:r>
    </w:p>
    <w:p>
      <w:pPr>
        <w:pStyle w:val="Heading3"/>
      </w:pPr>
      <w:r>
        <w:t xml:space="preserve">Assessment</w:t>
      </w:r>
    </w:p>
    <w:p>
      <w:pPr>
        <w:spacing w:after="160"/>
      </w:pPr>
      <w:r>
        <w:rPr>
          <w:rFonts w:ascii="Arial" w:cs="Arial" w:eastAsia="Arial" w:hAnsi="Arial"/>
        </w:rPr>
        <w:t xml:space="preserve">Delivered. The ownership split (bank-owned vs. customer-owned) is a first-class field on both the item and balance entities, not an inferred or bolted-on concept, and the customer holdings report already reads as a position summary for the customer side. The one gap worth naming: there is no single endpoint that puts “KFH position” and “customer position” side by side as one summary document — today a user gets the KFH side from the inventory balance report (Item 1, filtered to KFH_OWNED) and the customer side from /reports/holdings separately. That is a minor consolidation, not a data gap: a GET /api/reports/position-summary endpoint unioning the two existing queries by ownership_type would close it in under a day of work if a combined view is wanted, but the constituent data and reports both already exist and satisfy the requirement as literally stated.</w:t>
      </w:r>
    </w:p>
    <w:p>
      <w:r>
        <w:br w:type="page"/>
      </w:r>
    </w:p>
    <w:p>
      <w:pPr>
        <w:pStyle w:val="Heading1"/>
      </w:pPr>
      <w:r>
        <w:t xml:space="preserve">Appendix A — Additional Reporting-Adjacent Modules Found</w:t>
      </w:r>
    </w:p>
    <w:p>
      <w:pPr>
        <w:spacing w:after="160"/>
      </w:pPr>
      <w:r>
        <w:rPr>
          <w:rFonts w:ascii="Arial" w:cs="Arial" w:eastAsia="Arial" w:hAnsi="Arial"/>
        </w:rPr>
        <w:t xml:space="preserve">These were not named in the RFP’s reporting bullet list but exist in the codebase and are relevant context for whoever scopes the remaining work — several of the gap-closure designs above can reuse their export/aggregation machinery.</w:t>
      </w:r>
    </w:p>
    <w:p>
      <w:pPr>
        <w:pStyle w:val="ListParagraph"/>
        <w:numPr>
          <w:ilvl w:val="0"/>
          <w:numId w:val="2"/>
        </w:numPr>
        <w:spacing w:after="80"/>
      </w:pPr>
      <w:r>
        <w:rPr>
          <w:rFonts w:ascii="Arial" w:cs="Arial" w:eastAsia="Arial" w:hAnsi="Arial"/>
          <w:b/>
          <w:bCs/>
        </w:rPr>
        <w:t xml:space="preserve">LBMA Good Delivery compliance — </w:t>
      </w:r>
      <w:r>
        <w:rPr>
          <w:rFonts w:ascii="Arial" w:cs="Arial" w:eastAsia="Arial" w:hAnsi="Arial"/>
        </w:rPr>
        <w:t xml:space="preserve">backend/PMIMS.WebAPI/Controllers/PMIMSControllers.Lbma.cs: GET /api/reports/lbma-compliance (refiner/assay/fineness/hallmark audit) and GET /api/inventory/items/{id}/custody-chain.</w:t>
      </w:r>
    </w:p>
    <w:p>
      <w:pPr>
        <w:pStyle w:val="ListParagraph"/>
        <w:numPr>
          <w:ilvl w:val="0"/>
          <w:numId w:val="2"/>
        </w:numPr>
        <w:spacing w:after="80"/>
      </w:pPr>
      <w:r>
        <w:rPr>
          <w:rFonts w:ascii="Arial" w:cs="Arial" w:eastAsia="Arial" w:hAnsi="Arial"/>
          <w:b/>
          <w:bCs/>
        </w:rPr>
        <w:t xml:space="preserve">IFRS valuation disclosures — </w:t>
      </w:r>
      <w:r>
        <w:rPr>
          <w:rFonts w:ascii="Arial" w:cs="Arial" w:eastAsia="Arial" w:hAnsi="Arial"/>
        </w:rPr>
        <w:t xml:space="preserve">backend/PMIMS.WebAPI/Controllers/PMIMSControllers.Ifrs.cs: GET /api/reports/ifrs-disclosures (IAS 2 cost basis / IFRS 13 fair value snapshot) and POST .../generate for a durable period-end record.</w:t>
      </w:r>
    </w:p>
    <w:p>
      <w:pPr>
        <w:pStyle w:val="ListParagraph"/>
        <w:numPr>
          <w:ilvl w:val="0"/>
          <w:numId w:val="2"/>
        </w:numPr>
        <w:spacing w:after="80"/>
      </w:pPr>
      <w:r>
        <w:rPr>
          <w:rFonts w:ascii="Arial" w:cs="Arial" w:eastAsia="Arial" w:hAnsi="Arial"/>
          <w:b/>
          <w:bCs/>
        </w:rPr>
        <w:t xml:space="preserve">Core banking GL postings — </w:t>
      </w:r>
      <w:r>
        <w:rPr>
          <w:rFonts w:ascii="Arial" w:cs="Arial" w:eastAsia="Arial" w:hAnsi="Arial"/>
        </w:rPr>
        <w:t xml:space="preserve">backend/PMIMS.WebAPI/Controllers/PMIMSControllers.cs:910: GET /api/reports/gl-postings, every journal entry pushed (or failed to push) to IMAL, with status — directly relevant to Item 8’s cost analysis if landed cost needs to be traced to GL.</w:t>
      </w:r>
    </w:p>
    <w:p>
      <w:pPr>
        <w:pStyle w:val="ListParagraph"/>
        <w:numPr>
          <w:ilvl w:val="0"/>
          <w:numId w:val="2"/>
        </w:numPr>
        <w:spacing w:after="80"/>
      </w:pPr>
      <w:r>
        <w:rPr>
          <w:rFonts w:ascii="Arial" w:cs="Arial" w:eastAsia="Arial" w:hAnsi="Arial"/>
          <w:b/>
          <w:bCs/>
        </w:rPr>
        <w:t xml:space="preserve">Vault occupancy heatmap — </w:t>
      </w:r>
      <w:r>
        <w:rPr>
          <w:rFonts w:ascii="Arial" w:cs="Arial" w:eastAsia="Arial" w:hAnsi="Arial"/>
        </w:rPr>
        <w:t xml:space="preserve">frontend spatial-map screen; visual zone/shelf/slot occupancy, not currently a numeric exportable report.</w:t>
      </w:r>
    </w:p>
    <w:p>
      <w:pPr>
        <w:pStyle w:val="ListParagraph"/>
        <w:numPr>
          <w:ilvl w:val="0"/>
          <w:numId w:val="2"/>
        </w:numPr>
        <w:spacing w:after="80"/>
      </w:pPr>
      <w:r>
        <w:rPr>
          <w:rFonts w:ascii="Arial" w:cs="Arial" w:eastAsia="Arial" w:hAnsi="Arial"/>
          <w:b/>
          <w:bCs/>
        </w:rPr>
        <w:t xml:space="preserve">Dynamic Business Rules evaluations — </w:t>
      </w:r>
      <w:r>
        <w:rPr>
          <w:rFonts w:ascii="Arial" w:cs="Arial" w:eastAsia="Arial" w:hAnsi="Arial"/>
        </w:rPr>
        <w:t xml:space="preserve">backend/PMIMS.WebAPI/Controllers/PMIMSControllers.Rules.cs: GET /api/rules, POST /api/rules/evaluate; business_rule_evaluations is the direct data source recommended for Item 5’s exceptions report and Item 4’s error-rate KPI.</w:t>
      </w:r>
    </w:p>
    <w:p>
      <w:pPr>
        <w:pStyle w:val="ListParagraph"/>
        <w:numPr>
          <w:ilvl w:val="0"/>
          <w:numId w:val="2"/>
        </w:numPr>
        <w:spacing w:after="80"/>
      </w:pPr>
      <w:r>
        <w:rPr>
          <w:rFonts w:ascii="Arial" w:cs="Arial" w:eastAsia="Arial" w:hAnsi="Arial"/>
          <w:b/>
          <w:bCs/>
        </w:rPr>
        <w:t xml:space="preserve">SLA / monitoring metrics — </w:t>
      </w:r>
      <w:r>
        <w:rPr>
          <w:rFonts w:ascii="Arial" w:cs="Arial" w:eastAsia="Arial" w:hAnsi="Arial"/>
        </w:rPr>
        <w:t xml:space="preserve">backend/PMIMS.WebAPI/Controllers/PMIMSControllers.Monitoring.cs: GET /api/monitoring/sla-metrics, /events — the KFH monitoring-tool integration; a natural home for the “efficiency” half of Item 4 if KFH’s monitoring stack, not PMIMS itself, is meant to own that metric.</w:t>
      </w:r>
    </w:p>
    <w:p>
      <w:pPr>
        <w:pStyle w:val="Heading1"/>
      </w:pPr>
      <w:r>
        <w:t xml:space="preserve">Appendix B — Current Dashboard / Report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60"/>
        <w:gridCol w:w="25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rPr>
              <w:t xml:space="preserve">Screen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rPr>
              <w:t xml:space="preserve">Audience</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rPr>
              <w:t xml:space="preserve">Endpoint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rPr>
              <w:t xml:space="preserve">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Executive Board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Management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GET /api/dashboard/executive-board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KPI tiles + live inventory table, date-scoped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My Activity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Any user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GET /api/dashboard/my-activity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Personal approval history + pending queue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Reports console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Finance / Ops / Compliance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Various /api/reports/*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Valuation, holdings, transactions, audit logs, reconciliation, GL postings, LBMA, IFRS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Custody holdings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Operations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GET /api/reports/holdings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Customer positions by civil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Audit log search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Compliance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GET /api/reports/audit-logs/search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rPr>
              <w:t xml:space="preserve">Tamper-evident trail, 7-filter search, export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PMIMS — Reporting Requirements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2026-07-03T18:22:37.113Z</dcterms:created>
  <dcterms:modified xsi:type="dcterms:W3CDTF">2026-07-03T18:22:37.113Z</dcterms:modified>
</cp:coreProperties>
</file>

<file path=docProps/custom.xml><?xml version="1.0" encoding="utf-8"?>
<Properties xmlns="http://schemas.openxmlformats.org/officeDocument/2006/custom-properties" xmlns:vt="http://schemas.openxmlformats.org/officeDocument/2006/docPropsVTypes"/>
</file>