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194BF8">
      <w:pPr>
        <w:jc w:val="center"/>
        <w:rPr>
          <w:rFonts w:ascii="黑体" w:eastAsia="黑体"/>
          <w:sz w:val="32"/>
        </w:rPr>
      </w:pPr>
      <w:r>
        <w:rPr>
          <w:rFonts w:hint="eastAsia" w:ascii="黑体" w:eastAsia="黑体"/>
          <w:sz w:val="32"/>
        </w:rPr>
        <w:t>20</w:t>
      </w:r>
      <w:r>
        <w:rPr>
          <w:rFonts w:ascii="黑体" w:eastAsia="黑体"/>
          <w:sz w:val="32"/>
        </w:rPr>
        <w:t>2</w:t>
      </w:r>
      <w:r>
        <w:rPr>
          <w:rFonts w:hint="eastAsia" w:ascii="黑体" w:eastAsia="黑体"/>
          <w:sz w:val="32"/>
        </w:rPr>
        <w:t>6年武汉理工大学数学建模训练题目</w:t>
      </w:r>
    </w:p>
    <w:p w14:paraId="4E846566">
      <w:pPr>
        <w:adjustRightInd w:val="0"/>
        <w:snapToGrid w:val="0"/>
        <w:spacing w:line="240" w:lineRule="atLeast"/>
        <w:jc w:val="center"/>
        <w:rPr>
          <w:b/>
          <w:sz w:val="24"/>
        </w:rPr>
      </w:pPr>
      <w:r>
        <w:rPr>
          <w:rFonts w:hint="eastAsia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228600</wp:posOffset>
                </wp:positionH>
                <wp:positionV relativeFrom="paragraph">
                  <wp:posOffset>93980</wp:posOffset>
                </wp:positionV>
                <wp:extent cx="5257800" cy="7620"/>
                <wp:effectExtent l="33655" t="28575" r="33020" b="30480"/>
                <wp:wrapNone/>
                <wp:docPr id="22" name="直接连接符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57800" cy="762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8pt;margin-top:7.4pt;height:0.6pt;width:414pt;z-index:251659264;mso-width-relative:page;mso-height-relative:page;" filled="f" stroked="t" coordsize="21600,21600" o:gfxdata="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DWaRi91wAAAAgBAAAPAAAAAAAAAAEAIAAAACIAAABkcnMvZG93bnJldi54bWxQSwEC&#10;FAAUAAAACACHTuJABtcCBfUBAADBAwAADgAAAAAAAAABACAAAAAmAQAAZHJzL2Uyb0RvYy54bWxQ&#10;SwUGAAAAAAYABgBZAQAAjQUAAAAA&#10;">
                <v:fill on="f" focussize="0,0"/>
                <v:stroke weight="4.5pt" color="#000000" linestyle="thinThick" joinstyle="round"/>
                <v:imagedata o:title=""/>
                <o:lock v:ext="edit" aspectratio="f"/>
              </v:line>
            </w:pict>
          </mc:Fallback>
        </mc:AlternateContent>
      </w:r>
    </w:p>
    <w:p w14:paraId="4832E115">
      <w:pPr>
        <w:spacing w:after="320"/>
        <w:jc w:val="center"/>
        <w:rPr>
          <w:rFonts w:hint="eastAsia"/>
        </w:rPr>
      </w:pPr>
      <w:r>
        <w:rPr>
          <w:b/>
          <w:sz w:val="32"/>
          <w:szCs w:val="32"/>
        </w:rPr>
        <w:t>基于血液检测数据的流感 A 辅助筛查与判别</w:t>
      </w:r>
    </w:p>
    <w:p w14:paraId="62F1B31A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在公共卫生和基层医疗等场景中，面对大量具有相似症状或相近表现的受检者，如何利用有限且容易获得的信息进行初步筛查，是一个具有实际意义的数据建模问题。血液检测数据具有获取方便、指标较多、结构清晰等特点，适合作为分类判别与风险评估模型的研究对象。</w:t>
      </w:r>
    </w:p>
    <w:p w14:paraId="6D70C96E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本题提供两类人群的血液检测数据：一类为流感 A 患者，另一类为健康对照人群。参赛者可以将该问题理解为：给定若干基础检测指标，如何分析两类样本的差异，并建立一个能够辅助区分两类样本的数学模型。</w:t>
      </w:r>
    </w:p>
    <w:p w14:paraId="1AEC6AC3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本题不要求参赛者具备专业医学背景。参赛者应主要从数据整理、统计分析、分类判别、模型解释、简化应用和推广评价等角度开展研究。模型结果仅用于数学建模意义上的辅助筛查研究，不作为临床诊断依据。</w:t>
      </w:r>
    </w:p>
    <w:p w14:paraId="7AC88098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本题提供两个数据文件：</w:t>
      </w:r>
    </w:p>
    <w:p w14:paraId="78FA4B8A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附件 1：FLUA.xls，包含流感 A 患者血液检测记录；</w:t>
      </w:r>
    </w:p>
    <w:p w14:paraId="3530E4F2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附件 2：Healthy control.xlsx，包含健康对照人群血液检测记录。</w:t>
      </w:r>
    </w:p>
    <w:p w14:paraId="2FCBDC7A">
      <w:pPr>
        <w:pStyle w:val="11"/>
        <w:spacing w:before="156" w:beforeLines="50" w:line="360" w:lineRule="auto"/>
        <w:ind w:firstLine="420"/>
        <w:jc w:val="both"/>
      </w:pPr>
      <w:r>
        <w:rPr>
          <w:rFonts w:ascii="Times New Roman" w:hAnsi="Times New Roman" w:cs="Times New Roman"/>
          <w:lang w:eastAsia="zh-CN"/>
        </w:rPr>
        <w:t>两个数据文件包含受试者的基本信息和若干血液检测指标。主要变量如下表所示。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4"/>
        <w:gridCol w:w="3055"/>
        <w:gridCol w:w="3333"/>
      </w:tblGrid>
      <w:tr w14:paraId="0A4A6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shd w:val="clear" w:color="auto" w:fill="D9EAF7"/>
            <w:vAlign w:val="center"/>
          </w:tcPr>
          <w:p w14:paraId="3AD5EF84">
            <w:pPr>
              <w:jc w:val="center"/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b/>
                <w:kern w:val="0"/>
                <w:sz w:val="21"/>
              </w:rPr>
              <w:t>变量名称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3C526176">
            <w:pPr>
              <w:jc w:val="center"/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b/>
                <w:kern w:val="0"/>
                <w:sz w:val="21"/>
              </w:rPr>
              <w:t>含义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3F71C2C9">
            <w:pPr>
              <w:jc w:val="center"/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b/>
                <w:kern w:val="0"/>
                <w:sz w:val="21"/>
              </w:rPr>
              <w:t>说明</w:t>
            </w:r>
          </w:p>
        </w:tc>
      </w:tr>
      <w:tr w14:paraId="7552B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63704740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序号</w:t>
            </w:r>
          </w:p>
        </w:tc>
        <w:tc>
          <w:tcPr>
            <w:tcW w:w="3118" w:type="dxa"/>
            <w:vAlign w:val="center"/>
          </w:tcPr>
          <w:p w14:paraId="656A483A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样本编号</w:t>
            </w:r>
          </w:p>
        </w:tc>
        <w:tc>
          <w:tcPr>
            <w:tcW w:w="3402" w:type="dxa"/>
            <w:vAlign w:val="center"/>
          </w:tcPr>
          <w:p w14:paraId="3961BB14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不作为预测指标使用</w:t>
            </w:r>
          </w:p>
        </w:tc>
      </w:tr>
      <w:tr w14:paraId="2FA70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017220E7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性别</w:t>
            </w:r>
          </w:p>
        </w:tc>
        <w:tc>
          <w:tcPr>
            <w:tcW w:w="3118" w:type="dxa"/>
            <w:vAlign w:val="center"/>
          </w:tcPr>
          <w:p w14:paraId="1264E868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受试者性别</w:t>
            </w:r>
          </w:p>
        </w:tc>
        <w:tc>
          <w:tcPr>
            <w:tcW w:w="3402" w:type="dxa"/>
            <w:vAlign w:val="center"/>
          </w:tcPr>
          <w:p w14:paraId="443490E2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分类变量</w:t>
            </w:r>
          </w:p>
        </w:tc>
      </w:tr>
      <w:tr w14:paraId="6AA6E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36EF7E6D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年龄</w:t>
            </w:r>
          </w:p>
        </w:tc>
        <w:tc>
          <w:tcPr>
            <w:tcW w:w="3118" w:type="dxa"/>
            <w:vAlign w:val="center"/>
          </w:tcPr>
          <w:p w14:paraId="1CD1FF08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受试者年龄</w:t>
            </w:r>
          </w:p>
        </w:tc>
        <w:tc>
          <w:tcPr>
            <w:tcW w:w="3402" w:type="dxa"/>
            <w:vAlign w:val="center"/>
          </w:tcPr>
          <w:p w14:paraId="3F318ACE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不同文件中格式可能不完全一致</w:t>
            </w:r>
          </w:p>
        </w:tc>
      </w:tr>
      <w:tr w14:paraId="614F1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1F7EA0BE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WBC（*10^9）</w:t>
            </w:r>
          </w:p>
        </w:tc>
        <w:tc>
          <w:tcPr>
            <w:tcW w:w="3118" w:type="dxa"/>
            <w:vAlign w:val="center"/>
          </w:tcPr>
          <w:p w14:paraId="57E96E5E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血液检测指标 1</w:t>
            </w:r>
          </w:p>
        </w:tc>
        <w:tc>
          <w:tcPr>
            <w:tcW w:w="3402" w:type="dxa"/>
            <w:vAlign w:val="center"/>
          </w:tcPr>
          <w:p w14:paraId="313BE1B8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数值型变量</w:t>
            </w:r>
          </w:p>
        </w:tc>
      </w:tr>
      <w:tr w14:paraId="5EE6C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31BD55C0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N（*10^9）</w:t>
            </w:r>
          </w:p>
        </w:tc>
        <w:tc>
          <w:tcPr>
            <w:tcW w:w="3118" w:type="dxa"/>
            <w:vAlign w:val="center"/>
          </w:tcPr>
          <w:p w14:paraId="478F85FC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血液检测指标 2</w:t>
            </w:r>
          </w:p>
        </w:tc>
        <w:tc>
          <w:tcPr>
            <w:tcW w:w="3402" w:type="dxa"/>
            <w:vAlign w:val="center"/>
          </w:tcPr>
          <w:p w14:paraId="6813E937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数值型变量</w:t>
            </w:r>
          </w:p>
        </w:tc>
      </w:tr>
      <w:tr w14:paraId="019A5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565C4526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L（*10^9）</w:t>
            </w:r>
          </w:p>
        </w:tc>
        <w:tc>
          <w:tcPr>
            <w:tcW w:w="3118" w:type="dxa"/>
            <w:vAlign w:val="center"/>
          </w:tcPr>
          <w:p w14:paraId="2CD59D8B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血液检测指标 3</w:t>
            </w:r>
          </w:p>
        </w:tc>
        <w:tc>
          <w:tcPr>
            <w:tcW w:w="3402" w:type="dxa"/>
            <w:vAlign w:val="center"/>
          </w:tcPr>
          <w:p w14:paraId="1A09B610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数值型变量</w:t>
            </w:r>
          </w:p>
        </w:tc>
      </w:tr>
      <w:tr w14:paraId="4060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184CF542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M（*10^9）</w:t>
            </w:r>
          </w:p>
        </w:tc>
        <w:tc>
          <w:tcPr>
            <w:tcW w:w="3118" w:type="dxa"/>
            <w:vAlign w:val="center"/>
          </w:tcPr>
          <w:p w14:paraId="5B69ACD5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血液检测指标 4</w:t>
            </w:r>
          </w:p>
        </w:tc>
        <w:tc>
          <w:tcPr>
            <w:tcW w:w="3402" w:type="dxa"/>
            <w:vAlign w:val="center"/>
          </w:tcPr>
          <w:p w14:paraId="00185424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数值型变量</w:t>
            </w:r>
          </w:p>
        </w:tc>
      </w:tr>
      <w:tr w14:paraId="1B615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56401B4D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RBC（*10^12）</w:t>
            </w:r>
          </w:p>
        </w:tc>
        <w:tc>
          <w:tcPr>
            <w:tcW w:w="3118" w:type="dxa"/>
            <w:vAlign w:val="center"/>
          </w:tcPr>
          <w:p w14:paraId="74643595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血液检测指标 5</w:t>
            </w:r>
          </w:p>
        </w:tc>
        <w:tc>
          <w:tcPr>
            <w:tcW w:w="3402" w:type="dxa"/>
            <w:vAlign w:val="center"/>
          </w:tcPr>
          <w:p w14:paraId="43688273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数值型变量</w:t>
            </w:r>
          </w:p>
        </w:tc>
      </w:tr>
      <w:tr w14:paraId="69987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7F4F3108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HB</w:t>
            </w:r>
          </w:p>
        </w:tc>
        <w:tc>
          <w:tcPr>
            <w:tcW w:w="3118" w:type="dxa"/>
            <w:vAlign w:val="center"/>
          </w:tcPr>
          <w:p w14:paraId="1C19050E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血液检测指标 6</w:t>
            </w:r>
          </w:p>
        </w:tc>
        <w:tc>
          <w:tcPr>
            <w:tcW w:w="3402" w:type="dxa"/>
            <w:vAlign w:val="center"/>
          </w:tcPr>
          <w:p w14:paraId="06E3BB63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数值型变量</w:t>
            </w:r>
          </w:p>
        </w:tc>
      </w:tr>
      <w:tr w14:paraId="1CA69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19C7336C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PLT（*10^9）</w:t>
            </w:r>
          </w:p>
        </w:tc>
        <w:tc>
          <w:tcPr>
            <w:tcW w:w="3118" w:type="dxa"/>
            <w:vAlign w:val="center"/>
          </w:tcPr>
          <w:p w14:paraId="0A0C801E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血液检测指标 7</w:t>
            </w:r>
          </w:p>
        </w:tc>
        <w:tc>
          <w:tcPr>
            <w:tcW w:w="3402" w:type="dxa"/>
            <w:vAlign w:val="center"/>
          </w:tcPr>
          <w:p w14:paraId="1C9BB620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数值型变量</w:t>
            </w:r>
          </w:p>
        </w:tc>
      </w:tr>
      <w:tr w14:paraId="71B7A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4" w:type="dxa"/>
            <w:vAlign w:val="center"/>
          </w:tcPr>
          <w:p w14:paraId="3E2528C8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RDW（CV-%）</w:t>
            </w:r>
          </w:p>
        </w:tc>
        <w:tc>
          <w:tcPr>
            <w:tcW w:w="3118" w:type="dxa"/>
            <w:vAlign w:val="center"/>
          </w:tcPr>
          <w:p w14:paraId="329A619D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血液检测指标 8</w:t>
            </w:r>
          </w:p>
        </w:tc>
        <w:tc>
          <w:tcPr>
            <w:tcW w:w="3402" w:type="dxa"/>
            <w:vAlign w:val="center"/>
          </w:tcPr>
          <w:p w14:paraId="679F9F85">
            <w:pPr>
              <w:rPr>
                <w:kern w:val="0"/>
                <w:sz w:val="20"/>
              </w:rPr>
            </w:pPr>
            <w:r>
              <w:rPr>
                <w:rFonts w:ascii="Noto Serif CJK SC" w:hAnsi="Noto Serif CJK SC" w:eastAsia="Noto Serif CJK SC"/>
                <w:kern w:val="0"/>
                <w:sz w:val="21"/>
              </w:rPr>
              <w:t>数值型变量</w:t>
            </w:r>
          </w:p>
        </w:tc>
      </w:tr>
    </w:tbl>
    <w:p w14:paraId="2DE2FB58"/>
    <w:p w14:paraId="77D13582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其中，FLUA.xls 中的样本可视为一类，Healthy control.xlsx 中的样本可视为另一类。参赛者可自行设定类别编码。</w:t>
      </w:r>
    </w:p>
    <w:p w14:paraId="2FFEB490">
      <w:pPr>
        <w:pStyle w:val="11"/>
        <w:spacing w:before="156" w:beforeLines="50" w:line="360" w:lineRule="auto"/>
        <w:ind w:firstLine="42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需要注意，两份数据在样本量、变量格式和数据分布等方面可能存在差异。部分变量可能存在格式不统一、异常值或极端观测</w:t>
      </w:r>
      <w:r>
        <w:rPr>
          <w:rFonts w:hint="eastAsia" w:ascii="Times New Roman" w:hAnsi="Times New Roman" w:cs="Times New Roman"/>
          <w:lang w:eastAsia="zh-CN"/>
        </w:rPr>
        <w:t>，</w:t>
      </w:r>
      <w:r>
        <w:rPr>
          <w:rFonts w:ascii="Times New Roman" w:hAnsi="Times New Roman" w:cs="Times New Roman"/>
          <w:lang w:eastAsia="zh-CN"/>
        </w:rPr>
        <w:t>两类样本数量也可能不均衡</w:t>
      </w:r>
      <w:r>
        <w:rPr>
          <w:rFonts w:hint="eastAsia" w:ascii="Times New Roman" w:hAnsi="Times New Roman" w:cs="Times New Roman"/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>参赛者应根据建模需要进行合理处理，并说明处理方式对分析结果的影响。</w:t>
      </w:r>
    </w:p>
    <w:p w14:paraId="5961C75C">
      <w:pPr>
        <w:pStyle w:val="11"/>
        <w:spacing w:before="156" w:beforeLines="50" w:line="360" w:lineRule="auto"/>
        <w:ind w:firstLine="420"/>
        <w:jc w:val="both"/>
        <w:rPr>
          <w:rFonts w:hint="eastAsia"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请参赛者根据附件数据回答以下问题</w:t>
      </w:r>
      <w:bookmarkStart w:id="0" w:name="_GoBack"/>
      <w:bookmarkEnd w:id="0"/>
      <w:r>
        <w:rPr>
          <w:rFonts w:hint="eastAsia" w:ascii="Times New Roman" w:hAnsi="Times New Roman" w:cs="Times New Roman"/>
          <w:lang w:eastAsia="zh-CN"/>
        </w:rPr>
        <w:t>：</w:t>
      </w:r>
    </w:p>
    <w:p w14:paraId="172A0677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b/>
          <w:bCs/>
          <w:lang w:eastAsia="zh-CN"/>
        </w:rPr>
        <w:t>问题1：</w:t>
      </w:r>
      <w:r>
        <w:rPr>
          <w:rFonts w:ascii="Times New Roman" w:hAnsi="Times New Roman" w:cs="Times New Roman"/>
          <w:lang w:eastAsia="zh-CN"/>
        </w:rPr>
        <w:t>两类样本的数据特征分析</w:t>
      </w:r>
    </w:p>
    <w:p w14:paraId="4246C83D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请对两份数据进行整理、清洗和合并，分析两类样本在基本信息和血液检测指标上的差异。</w:t>
      </w:r>
    </w:p>
    <w:p w14:paraId="307CB12A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参赛者应根据数据特点，选择适当的方法展示两类样本的分布特征、差异特征以及变量之间的关系，寻找可能有助于区分两类样本的关键信息。分析中应注意样本量差异、变量格式不一致、异常值和极端值等问题，并说明这些因素可能对后续建模产生的影响。</w:t>
      </w:r>
    </w:p>
    <w:p w14:paraId="3AA56C67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b/>
          <w:bCs/>
          <w:lang w:eastAsia="zh-CN"/>
        </w:rPr>
      </w:pPr>
      <w:r>
        <w:rPr>
          <w:rFonts w:hint="eastAsia" w:ascii="Times New Roman" w:hAnsi="Times New Roman" w:cs="Times New Roman"/>
          <w:b/>
          <w:bCs/>
          <w:lang w:eastAsia="zh-CN"/>
        </w:rPr>
        <w:t>问题2：</w:t>
      </w:r>
      <w:r>
        <w:rPr>
          <w:rFonts w:ascii="Times New Roman" w:hAnsi="Times New Roman" w:cs="Times New Roman"/>
          <w:b/>
          <w:bCs/>
          <w:lang w:eastAsia="zh-CN"/>
        </w:rPr>
        <w:t>流感 A 辅助筛查模型的建立</w:t>
      </w:r>
    </w:p>
    <w:p w14:paraId="773C8494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请基于所给数据建立分类判别模型，用于判断一个样本更可能属于流感 A 患者组还是健康对照组。</w:t>
      </w:r>
    </w:p>
    <w:p w14:paraId="67B727CF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参赛者可根据需要对原始变量进行筛选、组合、变换或构造新的特征，并自主选择合适的建模方法。模型建立过程中应兼顾分类效果、稳定性和可解释性，避免模型对现有样本产生过度依赖。请对模型效果进行合理评价，并说明最终推荐模型的选择依据。</w:t>
      </w:r>
    </w:p>
    <w:p w14:paraId="787F2EC0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b/>
          <w:bCs/>
          <w:lang w:eastAsia="zh-CN"/>
        </w:rPr>
      </w:pPr>
      <w:r>
        <w:rPr>
          <w:rFonts w:hint="eastAsia" w:ascii="Times New Roman" w:hAnsi="Times New Roman" w:cs="Times New Roman"/>
          <w:b/>
          <w:bCs/>
          <w:lang w:eastAsia="zh-CN"/>
        </w:rPr>
        <w:t>问题3：</w:t>
      </w:r>
      <w:r>
        <w:rPr>
          <w:rFonts w:ascii="Times New Roman" w:hAnsi="Times New Roman" w:cs="Times New Roman"/>
          <w:b/>
          <w:bCs/>
          <w:lang w:eastAsia="zh-CN"/>
        </w:rPr>
        <w:t>简化判别方案与模型推广分析</w:t>
      </w:r>
    </w:p>
    <w:p w14:paraId="423173EF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在实际应用中，复杂模型并不一定便于使用。请在已有模型和数据分析结果的基础上，尝试建立一个更简洁、直观、便于执行的判别方案，并与较完整的模型进行比较。</w:t>
      </w:r>
    </w:p>
    <w:p w14:paraId="7E397F26">
      <w:pPr>
        <w:pStyle w:val="11"/>
        <w:spacing w:before="156" w:beforeLines="50" w:line="360" w:lineRule="auto"/>
        <w:ind w:firstLine="42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参赛者应讨论简化方案在使用少量指标时能否保持一定的判别能力，以及它在实际筛查场景中的优势和不足。同时，请分析现有数据对模型推广的限制，例如样本数量、类别比例、样本来源、年龄和性别结构等因素可能带来的影响，并提出进一步改进数据收集、模型验证和应用方案的建议。</w:t>
      </w:r>
    </w:p>
    <w:p w14:paraId="4CBBA10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书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FTToken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FT Aero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HarmonyOS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FT Elira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FT EliraSans">
    <w:panose1 w:val="00000500000000000000"/>
    <w:charset w:val="00"/>
    <w:family w:val="auto"/>
    <w:pitch w:val="default"/>
    <w:sig w:usb0="80000003" w:usb1="00000000" w:usb2="00000000" w:usb3="00000000" w:csb0="00000001" w:csb1="00000000"/>
  </w:font>
  <w:font w:name="书宋-简">
    <w:panose1 w:val="02010600030101010101"/>
    <w:charset w:val="86"/>
    <w:family w:val="auto"/>
    <w:pitch w:val="default"/>
    <w:sig w:usb0="A00002BF" w:usb1="3ACF7CFA" w:usb2="00000016" w:usb3="00000000" w:csb0="00040001" w:csb1="00000000"/>
  </w:font>
  <w:font w:name="SimSun">
    <w:altName w:val="书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altName w:val="FT KliphSerif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FT KliphSerif">
    <w:panose1 w:val="02040503050406030204"/>
    <w:charset w:val="00"/>
    <w:family w:val="auto"/>
    <w:pitch w:val="default"/>
    <w:sig w:usb0="80000003" w:usb1="40000000" w:usb2="00000000" w:usb3="00000000" w:csb0="00000001" w:csb1="00000000"/>
  </w:font>
  <w:font w:name="黑体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30F"/>
    <w:rsid w:val="003437DE"/>
    <w:rsid w:val="0073330F"/>
    <w:rsid w:val="007D395F"/>
    <w:rsid w:val="3BED768A"/>
    <w:rsid w:val="D7EFE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37609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37609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376092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37609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basedOn w:val="1"/>
    <w:link w:val="35"/>
    <w:semiHidden/>
    <w:qFormat/>
    <w:uiPriority w:val="0"/>
    <w:pPr>
      <w:widowControl/>
      <w:kinsoku w:val="0"/>
      <w:autoSpaceDE w:val="0"/>
      <w:autoSpaceDN w:val="0"/>
      <w:adjustRightInd w:val="0"/>
      <w:snapToGrid w:val="0"/>
      <w:jc w:val="left"/>
      <w:textAlignment w:val="baseline"/>
    </w:pPr>
    <w:rPr>
      <w:rFonts w:ascii="宋体" w:hAnsi="宋体" w:cs="宋体"/>
      <w:snapToGrid w:val="0"/>
      <w:color w:val="000000"/>
      <w:kern w:val="0"/>
      <w:sz w:val="24"/>
      <w:lang w:eastAsia="en-US"/>
    </w:rPr>
  </w:style>
  <w:style w:type="paragraph" w:styleId="12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5">
    <w:name w:val="Table Grid"/>
    <w:basedOn w:val="14"/>
    <w:qFormat/>
    <w:uiPriority w:val="99"/>
    <w:pPr>
      <w:widowControl w:val="0"/>
      <w:jc w:val="both"/>
    </w:pPr>
    <w:rPr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37609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37609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37609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37609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37609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37609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35">
    <w:name w:val="正文文本 字符"/>
    <w:basedOn w:val="16"/>
    <w:link w:val="11"/>
    <w:semiHidden/>
    <w:qFormat/>
    <w:uiPriority w:val="0"/>
    <w:rPr>
      <w:rFonts w:ascii="宋体" w:hAnsi="宋体" w:eastAsia="宋体" w:cs="宋体"/>
      <w:snapToGrid w:val="0"/>
      <w:color w:val="000000"/>
      <w:kern w:val="0"/>
      <w:sz w:val="24"/>
      <w:szCs w:val="24"/>
      <w:lang w:eastAsia="en-US"/>
    </w:rPr>
  </w:style>
  <w:style w:type="paragraph" w:customStyle="1" w:styleId="36">
    <w:name w:val="表格内正文"/>
    <w:link w:val="37"/>
    <w:qFormat/>
    <w:uiPriority w:val="0"/>
    <w:pPr>
      <w:snapToGrid w:val="0"/>
      <w:jc w:val="center"/>
    </w:pPr>
    <w:rPr>
      <w:rFonts w:ascii="Times New Roman" w:hAnsi="Times New Roman" w:cs="Times New Roman" w:eastAsiaTheme="minorEastAsia"/>
      <w:kern w:val="2"/>
      <w:sz w:val="21"/>
      <w:szCs w:val="21"/>
      <w:lang w:val="en-US" w:eastAsia="zh-CN" w:bidi="ar-SA"/>
    </w:rPr>
  </w:style>
  <w:style w:type="character" w:customStyle="1" w:styleId="37">
    <w:name w:val="表格内正文 字符"/>
    <w:basedOn w:val="16"/>
    <w:link w:val="36"/>
    <w:qFormat/>
    <w:uiPriority w:val="0"/>
    <w:rPr>
      <w:rFonts w:ascii="Times New Roman" w:hAnsi="Times New Roman" w:cs="Times New Roman"/>
      <w:szCs w:val="21"/>
    </w:rPr>
  </w:style>
  <w:style w:type="paragraph" w:customStyle="1" w:styleId="38">
    <w:name w:val="图片剧中"/>
    <w:next w:val="1"/>
    <w:link w:val="39"/>
    <w:qFormat/>
    <w:uiPriority w:val="0"/>
    <w:pPr>
      <w:keepNext/>
      <w:spacing w:before="50" w:beforeLines="50"/>
      <w:ind w:firstLine="482"/>
      <w:jc w:val="center"/>
    </w:pPr>
    <w:rPr>
      <w:rFonts w:ascii="Times New Roman" w:hAnsi="Times New Roman" w:cs="Times New Roman" w:eastAsiaTheme="minorEastAsia"/>
      <w:kern w:val="2"/>
      <w:sz w:val="24"/>
      <w:szCs w:val="21"/>
      <w:lang w:val="en-US" w:eastAsia="zh-CN" w:bidi="ar-SA"/>
    </w:rPr>
  </w:style>
  <w:style w:type="character" w:customStyle="1" w:styleId="39">
    <w:name w:val="图片剧中 字符"/>
    <w:basedOn w:val="16"/>
    <w:link w:val="38"/>
    <w:qFormat/>
    <w:uiPriority w:val="0"/>
    <w:rPr>
      <w:rFonts w:ascii="Times New Roman" w:hAnsi="Times New Roman" w:cs="Times New Roman"/>
      <w:sz w:val="24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653</Words>
  <Characters>3725</Characters>
  <Lines>31</Lines>
  <Paragraphs>8</Paragraphs>
  <TotalTime>2</TotalTime>
  <ScaleCrop>false</ScaleCrop>
  <LinksUpToDate>false</LinksUpToDate>
  <CharactersWithSpaces>4370</CharactersWithSpaces>
  <Application>WPS Office_12.1.3.28048_F1E327BC-269C-435d-A152-05C5408002CA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2026-08-21T18:21:00Z</dcterms:created>
  <dc:creator>360789841@qq.com</dc:creator>
  <cp:lastModifiedBy>嵇寰宇</cp:lastModifiedBy>
  <dcterms:modified xsi:type="dcterms:W3CDTF">2026-08-21T23:37:01Z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2052-12.1.3.28048</vt:lpwstr>
  </property>
  <property fmtid="{D5CDD505-2E9C-101B-9397-08002B2CF9AE}" pid="3" name="ICV">
    <vt:lpwstr>D3A073EAB2C969A0955E886A8299C086_42</vt:lpwstr>
  </property>
</Properties>
</file>