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215B" w:rsidRPr="00451AF8" w:rsidRDefault="000F215B" w:rsidP="00451AF8">
      <w:pPr>
        <w:jc w:val="center"/>
        <w:rPr>
          <w:b/>
          <w:sz w:val="24"/>
          <w:szCs w:val="24"/>
        </w:rPr>
      </w:pPr>
      <w:r w:rsidRPr="00451AF8">
        <w:rPr>
          <w:b/>
          <w:sz w:val="24"/>
          <w:szCs w:val="24"/>
        </w:rPr>
        <w:t>Course Syllabus</w:t>
      </w:r>
    </w:p>
    <w:p w:rsidR="00BD1F2C" w:rsidRPr="00451AF8" w:rsidRDefault="00C35155" w:rsidP="00451AF8">
      <w:pPr>
        <w:jc w:val="center"/>
        <w:rPr>
          <w:b/>
          <w:sz w:val="28"/>
          <w:szCs w:val="28"/>
        </w:rPr>
      </w:pPr>
      <w:r>
        <w:rPr>
          <w:b/>
          <w:sz w:val="28"/>
          <w:szCs w:val="28"/>
        </w:rPr>
        <w:t xml:space="preserve">ISAT </w:t>
      </w:r>
      <w:r w:rsidR="003B4A67">
        <w:rPr>
          <w:b/>
          <w:sz w:val="28"/>
          <w:szCs w:val="28"/>
        </w:rPr>
        <w:t>64</w:t>
      </w:r>
      <w:r w:rsidR="00942CF9">
        <w:rPr>
          <w:b/>
          <w:sz w:val="28"/>
          <w:szCs w:val="28"/>
        </w:rPr>
        <w:t>0</w:t>
      </w:r>
      <w:r w:rsidR="00451AF8" w:rsidRPr="00451AF8">
        <w:rPr>
          <w:b/>
          <w:sz w:val="28"/>
          <w:szCs w:val="28"/>
        </w:rPr>
        <w:t>:</w:t>
      </w:r>
      <w:r w:rsidR="00BD1F2C" w:rsidRPr="00451AF8">
        <w:rPr>
          <w:b/>
          <w:sz w:val="28"/>
          <w:szCs w:val="28"/>
        </w:rPr>
        <w:t xml:space="preserve"> </w:t>
      </w:r>
      <w:r w:rsidR="003B4A67">
        <w:rPr>
          <w:rStyle w:val="h41"/>
          <w:color w:val="000000"/>
        </w:rPr>
        <w:t>Information and Technology Management</w:t>
      </w:r>
    </w:p>
    <w:p w:rsidR="00BD1F2C" w:rsidRPr="00451AF8" w:rsidRDefault="00942CF9" w:rsidP="00451AF8">
      <w:pPr>
        <w:jc w:val="center"/>
        <w:rPr>
          <w:b/>
          <w:sz w:val="24"/>
          <w:szCs w:val="24"/>
        </w:rPr>
      </w:pPr>
      <w:r>
        <w:rPr>
          <w:b/>
          <w:sz w:val="24"/>
          <w:szCs w:val="24"/>
        </w:rPr>
        <w:t>Spring 2012 – 3</w:t>
      </w:r>
      <w:r w:rsidR="000F215B" w:rsidRPr="00451AF8">
        <w:rPr>
          <w:b/>
          <w:sz w:val="24"/>
          <w:szCs w:val="24"/>
        </w:rPr>
        <w:t xml:space="preserve"> credits – Section </w:t>
      </w:r>
      <w:r w:rsidR="00B82C7D">
        <w:rPr>
          <w:b/>
          <w:sz w:val="24"/>
          <w:szCs w:val="24"/>
        </w:rPr>
        <w:t>MALT</w:t>
      </w:r>
    </w:p>
    <w:p w:rsidR="000F215B" w:rsidRDefault="000F215B" w:rsidP="00BD1F2C"/>
    <w:p w:rsidR="000F215B" w:rsidRPr="00451AF8" w:rsidRDefault="006A2F43" w:rsidP="000F215B">
      <w:pPr>
        <w:rPr>
          <w:b/>
        </w:rPr>
      </w:pPr>
      <w:r>
        <w:rPr>
          <w:b/>
        </w:rPr>
        <w:t>Instructors</w:t>
      </w:r>
    </w:p>
    <w:p w:rsidR="003B4A67" w:rsidRDefault="003B4A67" w:rsidP="00786E8C">
      <w:pPr>
        <w:spacing w:after="0"/>
      </w:pPr>
      <w:r>
        <w:t>Dr. Emil Salib</w:t>
      </w:r>
    </w:p>
    <w:p w:rsidR="00786E8C" w:rsidRDefault="003B4A67" w:rsidP="00786E8C">
      <w:pPr>
        <w:spacing w:after="0"/>
      </w:pPr>
      <w:r>
        <w:t>Professor, ISAT, JMU</w:t>
      </w:r>
    </w:p>
    <w:p w:rsidR="003B4A67" w:rsidRDefault="003B4A67" w:rsidP="00786E8C">
      <w:pPr>
        <w:spacing w:after="0"/>
      </w:pPr>
      <w:hyperlink r:id="rId6" w:history="1">
        <w:r w:rsidRPr="00802467">
          <w:rPr>
            <w:rStyle w:val="Hyperlink"/>
          </w:rPr>
          <w:t>salibeh@jmu.edu</w:t>
        </w:r>
      </w:hyperlink>
    </w:p>
    <w:p w:rsidR="003B4A67" w:rsidRDefault="003B4A67" w:rsidP="00786E8C">
      <w:pPr>
        <w:spacing w:after="0"/>
      </w:pPr>
    </w:p>
    <w:p w:rsidR="003B4A67" w:rsidRDefault="003B4A67" w:rsidP="00786E8C">
      <w:pPr>
        <w:spacing w:after="0"/>
      </w:pPr>
      <w:r>
        <w:t>Dr. Morgan Benton</w:t>
      </w:r>
    </w:p>
    <w:p w:rsidR="00786E8C" w:rsidRDefault="003B4A67" w:rsidP="00786E8C">
      <w:pPr>
        <w:spacing w:after="0"/>
      </w:pPr>
      <w:r>
        <w:t>Assistant</w:t>
      </w:r>
      <w:r w:rsidR="00786E8C">
        <w:t xml:space="preserve"> Professor, ISAT, JMU</w:t>
      </w:r>
    </w:p>
    <w:p w:rsidR="003B4A67" w:rsidRDefault="003B4A67" w:rsidP="00786E8C">
      <w:pPr>
        <w:spacing w:after="0"/>
      </w:pPr>
      <w:hyperlink r:id="rId7" w:history="1">
        <w:r w:rsidRPr="00802467">
          <w:rPr>
            <w:rStyle w:val="Hyperlink"/>
          </w:rPr>
          <w:t>bentonmc@jmu.edu</w:t>
        </w:r>
      </w:hyperlink>
    </w:p>
    <w:p w:rsidR="00BD1F2C" w:rsidRDefault="00BD1F2C" w:rsidP="00BD1F2C"/>
    <w:p w:rsidR="00BD1F2C" w:rsidRPr="00BD1F2C" w:rsidRDefault="00BD1F2C" w:rsidP="00BD1F2C">
      <w:pPr>
        <w:rPr>
          <w:b/>
          <w:bCs/>
        </w:rPr>
      </w:pPr>
      <w:r w:rsidRPr="00BD1F2C">
        <w:rPr>
          <w:b/>
          <w:bCs/>
        </w:rPr>
        <w:t>Description</w:t>
      </w:r>
      <w:r w:rsidR="000F215B">
        <w:rPr>
          <w:b/>
          <w:bCs/>
        </w:rPr>
        <w:t xml:space="preserve"> and Goals</w:t>
      </w:r>
    </w:p>
    <w:p w:rsidR="008A0F43" w:rsidRDefault="003B4A67" w:rsidP="006A2F43">
      <w:r>
        <w:t xml:space="preserve">This study-unit focuses on </w:t>
      </w:r>
      <w:proofErr w:type="spellStart"/>
      <w:r>
        <w:t>on</w:t>
      </w:r>
      <w:proofErr w:type="spellEnd"/>
      <w:r>
        <w:t xml:space="preserve"> two aspects of data management: (I) Data Measurement &amp; Instrumentation and (II) Data Mining.</w:t>
      </w:r>
      <w:r>
        <w:br/>
      </w:r>
      <w:r>
        <w:br/>
        <w:t>In the first component, students will explore various aspects of measurement and instrumentation, including (</w:t>
      </w:r>
      <w:proofErr w:type="spellStart"/>
      <w:r>
        <w:t>i</w:t>
      </w:r>
      <w:proofErr w:type="spellEnd"/>
      <w:r>
        <w:t xml:space="preserve">) measurement units, (ii) measuring systems components, (iii) uncertainty in measurement, </w:t>
      </w:r>
      <w:proofErr w:type="gramStart"/>
      <w:r>
        <w:t>(iv) calibration</w:t>
      </w:r>
      <w:proofErr w:type="gramEnd"/>
      <w:r>
        <w:t>, (v) traceability, and (vi) accreditation &amp; certification processes. During hands-on lab sessions, students will explore the use of DMMs, light s</w:t>
      </w:r>
      <w:bookmarkStart w:id="0" w:name="_GoBack"/>
      <w:bookmarkEnd w:id="0"/>
      <w:r>
        <w:t>ensor and voltage divider to demonstrate the accuracy of instruments &amp; the precision of measurement. Students will also review examples of data acquisition system building blocks, such as sensors, variable conversion elements, signal conditioning (including digitization), signal processing, signal transmission and signal presentation. A second hands-on lab session will focus on signal conditioning (amplification) and measurement uncertainties calculations.</w:t>
      </w:r>
      <w:r>
        <w:br/>
      </w:r>
      <w:r>
        <w:br/>
        <w:t>In the second component, students will explore the acquisition, representation, storage, retrieval, and distribution of data, information and knowledge from both a historical and contemporary perspective. The unit places special emphasis on IKM technology in science and technology and on the information economy, the management of data, information, and knowledge as critical enterprise assets. Students will study computer systems as tools for information and knowledge management and examine ethical, legal, and social issues in the management of data,</w:t>
      </w:r>
      <w:r w:rsidR="00484B45">
        <w:t xml:space="preserve"> </w:t>
      </w:r>
      <w:r>
        <w:t>information, and knowledge, including intellectual property, privacy, and security.</w:t>
      </w:r>
    </w:p>
    <w:p w:rsidR="006A2F43" w:rsidRDefault="006A2F43" w:rsidP="006A2F43"/>
    <w:p w:rsidR="00BD1F2C" w:rsidRPr="006A2F43" w:rsidRDefault="006A2F43" w:rsidP="006A2F43">
      <w:pPr>
        <w:rPr>
          <w:b/>
        </w:rPr>
      </w:pPr>
      <w:r>
        <w:rPr>
          <w:b/>
        </w:rPr>
        <w:t>Goal</w:t>
      </w:r>
      <w:r w:rsidRPr="006A2F43">
        <w:rPr>
          <w:b/>
        </w:rPr>
        <w:t>s</w:t>
      </w:r>
    </w:p>
    <w:p w:rsidR="003B4A67" w:rsidRPr="003B4A67" w:rsidRDefault="003B4A67" w:rsidP="006A2F43">
      <w:pPr>
        <w:pStyle w:val="ListParagraph"/>
        <w:numPr>
          <w:ilvl w:val="0"/>
          <w:numId w:val="2"/>
        </w:numPr>
        <w:rPr>
          <w:bCs/>
          <w:color w:val="000000"/>
        </w:rPr>
      </w:pPr>
      <w:r>
        <w:t>Acquire a basic understanding of Data Me</w:t>
      </w:r>
      <w:r>
        <w:t>asurement basics &amp; definitions</w:t>
      </w:r>
    </w:p>
    <w:p w:rsidR="003B4A67" w:rsidRPr="003B4A67" w:rsidRDefault="003B4A67" w:rsidP="006A2F43">
      <w:pPr>
        <w:pStyle w:val="ListParagraph"/>
        <w:numPr>
          <w:ilvl w:val="0"/>
          <w:numId w:val="2"/>
        </w:numPr>
        <w:rPr>
          <w:bCs/>
          <w:color w:val="000000"/>
        </w:rPr>
      </w:pPr>
      <w:r>
        <w:t>Gain a high level understand</w:t>
      </w:r>
      <w:r>
        <w:t>ing of Data Acquisition Systems</w:t>
      </w:r>
    </w:p>
    <w:p w:rsidR="003B4A67" w:rsidRPr="003B4A67" w:rsidRDefault="003B4A67" w:rsidP="006A2F43">
      <w:pPr>
        <w:pStyle w:val="ListParagraph"/>
        <w:numPr>
          <w:ilvl w:val="0"/>
          <w:numId w:val="2"/>
        </w:numPr>
        <w:rPr>
          <w:bCs/>
          <w:color w:val="000000"/>
        </w:rPr>
      </w:pPr>
      <w:r>
        <w:t xml:space="preserve">Gain an appreciation of the implications </w:t>
      </w:r>
      <w:r>
        <w:t>of measuring system calibration</w:t>
      </w:r>
    </w:p>
    <w:p w:rsidR="003B4A67" w:rsidRPr="003B4A67" w:rsidRDefault="003B4A67" w:rsidP="006A2F43">
      <w:pPr>
        <w:pStyle w:val="ListParagraph"/>
        <w:numPr>
          <w:ilvl w:val="0"/>
          <w:numId w:val="2"/>
        </w:numPr>
        <w:rPr>
          <w:bCs/>
          <w:color w:val="000000"/>
        </w:rPr>
      </w:pPr>
      <w:r>
        <w:t>Acquire an overview of the Accreditation</w:t>
      </w:r>
      <w:r>
        <w:t xml:space="preserve"> and Certification processes</w:t>
      </w:r>
    </w:p>
    <w:p w:rsidR="003B4A67" w:rsidRPr="003B4A67" w:rsidRDefault="003B4A67" w:rsidP="006A2F43">
      <w:pPr>
        <w:pStyle w:val="ListParagraph"/>
        <w:numPr>
          <w:ilvl w:val="0"/>
          <w:numId w:val="2"/>
        </w:numPr>
        <w:rPr>
          <w:bCs/>
          <w:color w:val="000000"/>
        </w:rPr>
      </w:pPr>
      <w:r>
        <w:t>Acquire an in-depth knowl</w:t>
      </w:r>
      <w:r>
        <w:t>edge of transducers and sensors</w:t>
      </w:r>
    </w:p>
    <w:p w:rsidR="003B4A67" w:rsidRPr="003B4A67" w:rsidRDefault="003B4A67" w:rsidP="006A2F43">
      <w:pPr>
        <w:pStyle w:val="ListParagraph"/>
        <w:numPr>
          <w:ilvl w:val="0"/>
          <w:numId w:val="2"/>
        </w:numPr>
        <w:rPr>
          <w:bCs/>
          <w:color w:val="000000"/>
        </w:rPr>
      </w:pPr>
      <w:r>
        <w:t xml:space="preserve">Gain a clear and concise knowledge of Data Measurement analysis fundamentals (including data </w:t>
      </w:r>
      <w:r>
        <w:t>processing, presentation, etc.)</w:t>
      </w:r>
    </w:p>
    <w:p w:rsidR="003B4A67" w:rsidRPr="003B4A67" w:rsidRDefault="003B4A67" w:rsidP="006A2F43">
      <w:pPr>
        <w:pStyle w:val="ListParagraph"/>
        <w:numPr>
          <w:ilvl w:val="0"/>
          <w:numId w:val="2"/>
        </w:numPr>
        <w:rPr>
          <w:bCs/>
          <w:color w:val="000000"/>
        </w:rPr>
      </w:pPr>
      <w:r>
        <w:lastRenderedPageBreak/>
        <w:t xml:space="preserve">Acquire a basic understanding of the fundamentals of signal &amp; data transmission (including remote sensing, </w:t>
      </w:r>
      <w:r>
        <w:t>wireless sensor networks, etc.)</w:t>
      </w:r>
    </w:p>
    <w:p w:rsidR="003B4A67" w:rsidRPr="003B4A67" w:rsidRDefault="003B4A67" w:rsidP="006A2F43">
      <w:pPr>
        <w:pStyle w:val="ListParagraph"/>
        <w:numPr>
          <w:ilvl w:val="0"/>
          <w:numId w:val="2"/>
        </w:numPr>
        <w:rPr>
          <w:bCs/>
          <w:color w:val="000000"/>
        </w:rPr>
      </w:pPr>
      <w:r>
        <w:t>Gain a strong insight into specific data acquisi</w:t>
      </w:r>
      <w:r>
        <w:t>tion &amp; control applications</w:t>
      </w:r>
    </w:p>
    <w:p w:rsidR="006A2F43" w:rsidRPr="006A2F43" w:rsidRDefault="003B4A67" w:rsidP="006A2F43">
      <w:pPr>
        <w:pStyle w:val="ListParagraph"/>
        <w:numPr>
          <w:ilvl w:val="0"/>
          <w:numId w:val="2"/>
        </w:numPr>
        <w:rPr>
          <w:bCs/>
          <w:color w:val="000000"/>
        </w:rPr>
      </w:pPr>
      <w:r>
        <w:t>Gain basic hands-on working knowledge of DMM, voltage divider and op-</w:t>
      </w:r>
      <w:r>
        <w:t>amp</w:t>
      </w:r>
    </w:p>
    <w:p w:rsidR="00451AF8" w:rsidRDefault="00451AF8" w:rsidP="006A2F43"/>
    <w:p w:rsidR="0020144B" w:rsidRPr="0020144B" w:rsidRDefault="0020144B" w:rsidP="006A2F43">
      <w:pPr>
        <w:rPr>
          <w:b/>
        </w:rPr>
      </w:pPr>
      <w:r w:rsidRPr="0020144B">
        <w:rPr>
          <w:b/>
        </w:rPr>
        <w:t>Learning Objectives</w:t>
      </w:r>
    </w:p>
    <w:p w:rsidR="003B4A67" w:rsidRDefault="003B4A67" w:rsidP="003B4A67">
      <w:r w:rsidRPr="003B4A67">
        <w:rPr>
          <w:u w:val="single"/>
        </w:rPr>
        <w:t>1. Knowledge &amp; Understanding</w:t>
      </w:r>
      <w:proofErr w:type="gramStart"/>
      <w:r w:rsidRPr="003B4A67">
        <w:rPr>
          <w:u w:val="single"/>
        </w:rPr>
        <w:t>:</w:t>
      </w:r>
      <w:proofErr w:type="gramEnd"/>
      <w:r>
        <w:br/>
      </w:r>
      <w:r>
        <w:br/>
        <w:t xml:space="preserve">By the end of the study-unit </w:t>
      </w:r>
      <w:r>
        <w:t xml:space="preserve">the student will be able to: </w:t>
      </w:r>
    </w:p>
    <w:p w:rsidR="003B4A67" w:rsidRDefault="003B4A67" w:rsidP="003B4A67">
      <w:pPr>
        <w:pStyle w:val="ListParagraph"/>
        <w:numPr>
          <w:ilvl w:val="0"/>
          <w:numId w:val="6"/>
        </w:numPr>
      </w:pPr>
      <w:r>
        <w:t>Define basic concepts relating to data measureme</w:t>
      </w:r>
      <w:r>
        <w:t>nt and Data Acquisition Systems</w:t>
      </w:r>
    </w:p>
    <w:p w:rsidR="003B4A67" w:rsidRDefault="003B4A67" w:rsidP="003B4A67">
      <w:pPr>
        <w:pStyle w:val="ListParagraph"/>
        <w:numPr>
          <w:ilvl w:val="0"/>
          <w:numId w:val="6"/>
        </w:numPr>
      </w:pPr>
      <w:r>
        <w:t>Describe accreditat</w:t>
      </w:r>
      <w:r>
        <w:t>ion and certification processes</w:t>
      </w:r>
    </w:p>
    <w:p w:rsidR="003B4A67" w:rsidRDefault="003B4A67" w:rsidP="003B4A67">
      <w:pPr>
        <w:pStyle w:val="ListParagraph"/>
        <w:numPr>
          <w:ilvl w:val="0"/>
          <w:numId w:val="6"/>
        </w:numPr>
      </w:pPr>
      <w:r>
        <w:t>Explain fundamentals o</w:t>
      </w:r>
      <w:r>
        <w:t>f signal &amp; data transmission</w:t>
      </w:r>
    </w:p>
    <w:p w:rsidR="003B4A67" w:rsidRDefault="003B4A67" w:rsidP="003B4A67">
      <w:pPr>
        <w:pStyle w:val="ListParagraph"/>
        <w:numPr>
          <w:ilvl w:val="0"/>
          <w:numId w:val="6"/>
        </w:numPr>
      </w:pPr>
      <w:r>
        <w:t>Describe what data mining is</w:t>
      </w:r>
    </w:p>
    <w:p w:rsidR="003B4A67" w:rsidRDefault="003B4A67" w:rsidP="003B4A67">
      <w:pPr>
        <w:pStyle w:val="ListParagraph"/>
        <w:numPr>
          <w:ilvl w:val="0"/>
          <w:numId w:val="6"/>
        </w:numPr>
      </w:pPr>
      <w:r>
        <w:t>Explain the s</w:t>
      </w:r>
      <w:r>
        <w:t>teps involved in data mining</w:t>
      </w:r>
    </w:p>
    <w:p w:rsidR="003B4A67" w:rsidRDefault="003B4A67" w:rsidP="003B4A67">
      <w:pPr>
        <w:pStyle w:val="ListParagraph"/>
        <w:numPr>
          <w:ilvl w:val="0"/>
          <w:numId w:val="6"/>
        </w:numPr>
      </w:pPr>
      <w:r>
        <w:t>Describe the technological components necessary to do data mining, i.</w:t>
      </w:r>
      <w:r>
        <w:t>e. hardware and software</w:t>
      </w:r>
    </w:p>
    <w:p w:rsidR="003B4A67" w:rsidRDefault="003B4A67" w:rsidP="003B4A67">
      <w:pPr>
        <w:pStyle w:val="ListParagraph"/>
        <w:numPr>
          <w:ilvl w:val="0"/>
          <w:numId w:val="6"/>
        </w:numPr>
      </w:pPr>
      <w:r>
        <w:t>Describe how t</w:t>
      </w:r>
      <w:r>
        <w:t>o measure system calibration.</w:t>
      </w:r>
    </w:p>
    <w:p w:rsidR="003B4A67" w:rsidRDefault="003B4A67" w:rsidP="003B4A67">
      <w:r w:rsidRPr="003B4A67">
        <w:rPr>
          <w:u w:val="single"/>
        </w:rPr>
        <w:t>2. Skills</w:t>
      </w:r>
      <w:proofErr w:type="gramStart"/>
      <w:r w:rsidRPr="003B4A67">
        <w:rPr>
          <w:u w:val="single"/>
        </w:rPr>
        <w:t>:</w:t>
      </w:r>
      <w:proofErr w:type="gramEnd"/>
      <w:r>
        <w:br/>
      </w:r>
      <w:r>
        <w:br/>
        <w:t>By the end of the study-unit</w:t>
      </w:r>
      <w:r>
        <w:t xml:space="preserve"> the student will be able to:</w:t>
      </w:r>
    </w:p>
    <w:p w:rsidR="003B4A67" w:rsidRDefault="003B4A67" w:rsidP="003B4A67">
      <w:pPr>
        <w:pStyle w:val="ListParagraph"/>
        <w:numPr>
          <w:ilvl w:val="0"/>
          <w:numId w:val="7"/>
        </w:numPr>
      </w:pPr>
      <w:r>
        <w:t>Iden</w:t>
      </w:r>
      <w:r>
        <w:t>tify transducers and sensors</w:t>
      </w:r>
    </w:p>
    <w:p w:rsidR="003B4A67" w:rsidRDefault="003B4A67" w:rsidP="003B4A67">
      <w:pPr>
        <w:pStyle w:val="ListParagraph"/>
        <w:numPr>
          <w:ilvl w:val="0"/>
          <w:numId w:val="7"/>
        </w:numPr>
      </w:pPr>
      <w:r>
        <w:t>Identify the main building</w:t>
      </w:r>
      <w:r>
        <w:t xml:space="preserve"> blocks of measuring systems</w:t>
      </w:r>
    </w:p>
    <w:p w:rsidR="003B4A67" w:rsidRDefault="003B4A67" w:rsidP="003B4A67">
      <w:pPr>
        <w:pStyle w:val="ListParagraph"/>
        <w:numPr>
          <w:ilvl w:val="0"/>
          <w:numId w:val="7"/>
        </w:numPr>
      </w:pPr>
      <w:r>
        <w:t>Apply hands-on working knowledge of DMM</w:t>
      </w:r>
      <w:r>
        <w:t>, voltage divider and op-amp</w:t>
      </w:r>
    </w:p>
    <w:p w:rsidR="003B4A67" w:rsidRDefault="003B4A67" w:rsidP="003B4A67">
      <w:pPr>
        <w:pStyle w:val="ListParagraph"/>
        <w:numPr>
          <w:ilvl w:val="0"/>
          <w:numId w:val="7"/>
        </w:numPr>
      </w:pPr>
      <w:r>
        <w:t>Calculate Type A &amp; u</w:t>
      </w:r>
      <w:r>
        <w:t>ncertainties of measurements</w:t>
      </w:r>
    </w:p>
    <w:p w:rsidR="003B4A67" w:rsidRDefault="003B4A67" w:rsidP="003B4A67">
      <w:pPr>
        <w:pStyle w:val="ListParagraph"/>
        <w:numPr>
          <w:ilvl w:val="0"/>
          <w:numId w:val="7"/>
        </w:numPr>
      </w:pPr>
      <w:r>
        <w:t>Identify scenarios in which data mining is likely to be a</w:t>
      </w:r>
      <w:r>
        <w:t xml:space="preserve"> useful problem solving tool</w:t>
      </w:r>
    </w:p>
    <w:p w:rsidR="006A2F43" w:rsidRDefault="003B4A67" w:rsidP="003B4A67">
      <w:pPr>
        <w:pStyle w:val="ListParagraph"/>
        <w:numPr>
          <w:ilvl w:val="0"/>
          <w:numId w:val="7"/>
        </w:numPr>
      </w:pPr>
      <w:r>
        <w:t>Demonstrate the ability to use at least one tool (or set of tools) to complete a data mining analysis.</w:t>
      </w:r>
    </w:p>
    <w:p w:rsidR="006A2F43" w:rsidRDefault="006A2F43" w:rsidP="006A2F43"/>
    <w:p w:rsidR="00BD1F2C" w:rsidRPr="00451AF8" w:rsidRDefault="006A2F43" w:rsidP="006A2F43">
      <w:pPr>
        <w:rPr>
          <w:b/>
        </w:rPr>
      </w:pPr>
      <w:r>
        <w:rPr>
          <w:b/>
        </w:rPr>
        <w:t>Main Texts and Supplementary Readings</w:t>
      </w:r>
    </w:p>
    <w:p w:rsidR="00B0307B" w:rsidRDefault="00B0307B" w:rsidP="00B0307B">
      <w:pPr>
        <w:pStyle w:val="ListParagraph"/>
        <w:numPr>
          <w:ilvl w:val="0"/>
          <w:numId w:val="8"/>
        </w:numPr>
      </w:pPr>
      <w:r>
        <w:t xml:space="preserve">Hughes, I. and </w:t>
      </w:r>
      <w:proofErr w:type="spellStart"/>
      <w:r>
        <w:t>Hase</w:t>
      </w:r>
      <w:proofErr w:type="spellEnd"/>
      <w:r>
        <w:t>, T. (2010). Measurements and their Uncertainties: A practical guide to modern error analysi</w:t>
      </w:r>
      <w:r>
        <w:t>s. Oxford University Press, USA</w:t>
      </w:r>
    </w:p>
    <w:p w:rsidR="00B0307B" w:rsidRDefault="00B0307B" w:rsidP="00B0307B">
      <w:pPr>
        <w:pStyle w:val="ListParagraph"/>
        <w:numPr>
          <w:ilvl w:val="0"/>
          <w:numId w:val="8"/>
        </w:numPr>
      </w:pPr>
      <w:r>
        <w:t xml:space="preserve">Dunn, P. (2011). Fundamentals of Sensors </w:t>
      </w:r>
      <w:proofErr w:type="gramStart"/>
      <w:r>
        <w:t>For</w:t>
      </w:r>
      <w:proofErr w:type="gramEnd"/>
      <w:r>
        <w:t xml:space="preserve"> Engineering and Scienc</w:t>
      </w:r>
      <w:r>
        <w:t>e. CRC Press</w:t>
      </w:r>
    </w:p>
    <w:p w:rsidR="00451AF8" w:rsidRDefault="00B0307B" w:rsidP="00B0307B">
      <w:pPr>
        <w:pStyle w:val="ListParagraph"/>
        <w:numPr>
          <w:ilvl w:val="0"/>
          <w:numId w:val="8"/>
        </w:numPr>
      </w:pPr>
      <w:r>
        <w:t xml:space="preserve">Han, J., </w:t>
      </w:r>
      <w:proofErr w:type="spellStart"/>
      <w:r>
        <w:t>Kamber</w:t>
      </w:r>
      <w:proofErr w:type="spellEnd"/>
      <w:r>
        <w:t>, M. and Pei, J. (2005). Data Mining: Concepts and Techniques, 2nd Ed. Morgan Kaufmann</w:t>
      </w:r>
    </w:p>
    <w:p w:rsidR="0020144B" w:rsidRDefault="0020144B" w:rsidP="006A2F43">
      <w:pPr>
        <w:rPr>
          <w:b/>
        </w:rPr>
      </w:pPr>
    </w:p>
    <w:p w:rsidR="00BD1F2C" w:rsidRPr="00451AF8" w:rsidRDefault="00BD1F2C" w:rsidP="006A2F43">
      <w:pPr>
        <w:rPr>
          <w:b/>
        </w:rPr>
      </w:pPr>
      <w:r w:rsidRPr="00451AF8">
        <w:rPr>
          <w:b/>
        </w:rPr>
        <w:t xml:space="preserve">Course Format </w:t>
      </w:r>
    </w:p>
    <w:p w:rsidR="00BD1F2C" w:rsidRPr="00FB13F2" w:rsidRDefault="0020144B" w:rsidP="00BD1F2C">
      <w:pPr>
        <w:rPr>
          <w:rFonts w:cstheme="minorHAnsi"/>
        </w:rPr>
      </w:pPr>
      <w:r w:rsidRPr="00FB13F2">
        <w:rPr>
          <w:rFonts w:cstheme="minorHAnsi"/>
        </w:rPr>
        <w:t xml:space="preserve">Course will be taught </w:t>
      </w:r>
      <w:r w:rsidR="00B0307B">
        <w:rPr>
          <w:rFonts w:cstheme="minorHAnsi"/>
        </w:rPr>
        <w:t>through lectures, practical, and fieldwork</w:t>
      </w:r>
    </w:p>
    <w:p w:rsidR="00BD1F2C" w:rsidRPr="00FB13F2" w:rsidRDefault="00BD1F2C" w:rsidP="00BD1F2C">
      <w:pPr>
        <w:rPr>
          <w:rFonts w:cstheme="minorHAnsi"/>
        </w:rPr>
      </w:pPr>
    </w:p>
    <w:p w:rsidR="00B0307B" w:rsidRDefault="00B0307B">
      <w:pPr>
        <w:rPr>
          <w:rFonts w:cstheme="minorHAnsi"/>
          <w:b/>
        </w:rPr>
      </w:pPr>
      <w:r>
        <w:rPr>
          <w:rFonts w:cstheme="minorHAnsi"/>
          <w:b/>
        </w:rPr>
        <w:br w:type="page"/>
      </w:r>
    </w:p>
    <w:p w:rsidR="00BD1F2C" w:rsidRPr="00FB13F2" w:rsidRDefault="005156A6" w:rsidP="00BD1F2C">
      <w:pPr>
        <w:rPr>
          <w:rFonts w:cstheme="minorHAnsi"/>
          <w:b/>
        </w:rPr>
      </w:pPr>
      <w:r w:rsidRPr="00FB13F2">
        <w:rPr>
          <w:rFonts w:cstheme="minorHAnsi"/>
          <w:b/>
        </w:rPr>
        <w:lastRenderedPageBreak/>
        <w:t>Grading</w:t>
      </w:r>
      <w:r w:rsidR="00BD1F2C" w:rsidRPr="00FB13F2">
        <w:rPr>
          <w:rFonts w:cstheme="minorHAnsi"/>
          <w:b/>
        </w:rPr>
        <w:t xml:space="preserve"> </w:t>
      </w:r>
    </w:p>
    <w:tbl>
      <w:tblPr>
        <w:tblW w:w="5000" w:type="pct"/>
        <w:tblCellSpacing w:w="15" w:type="dxa"/>
        <w:tblCellMar>
          <w:top w:w="45" w:type="dxa"/>
          <w:left w:w="45" w:type="dxa"/>
          <w:bottom w:w="45" w:type="dxa"/>
          <w:right w:w="45" w:type="dxa"/>
        </w:tblCellMar>
        <w:tblLook w:val="04A0" w:firstRow="1" w:lastRow="0" w:firstColumn="1" w:lastColumn="0" w:noHBand="0" w:noVBand="1"/>
      </w:tblPr>
      <w:tblGrid>
        <w:gridCol w:w="3630"/>
        <w:gridCol w:w="4276"/>
        <w:gridCol w:w="1604"/>
      </w:tblGrid>
      <w:tr w:rsidR="00FB13F2" w:rsidRPr="00FB13F2" w:rsidTr="00FB13F2">
        <w:trPr>
          <w:tblCellSpacing w:w="15" w:type="dxa"/>
        </w:trPr>
        <w:tc>
          <w:tcPr>
            <w:tcW w:w="1909" w:type="pct"/>
            <w:noWrap/>
            <w:vAlign w:val="center"/>
            <w:hideMark/>
          </w:tcPr>
          <w:p w:rsidR="00FB13F2" w:rsidRPr="00FB13F2" w:rsidRDefault="00484B45" w:rsidP="00FB13F2">
            <w:pPr>
              <w:spacing w:after="0"/>
              <w:rPr>
                <w:rFonts w:eastAsia="Times New Roman" w:cstheme="minorHAnsi"/>
              </w:rPr>
            </w:pPr>
            <w:r>
              <w:rPr>
                <w:rFonts w:eastAsia="Times New Roman" w:cstheme="minorHAnsi"/>
              </w:rPr>
              <w:t>Presentation</w:t>
            </w:r>
          </w:p>
        </w:tc>
        <w:tc>
          <w:tcPr>
            <w:tcW w:w="2261" w:type="pct"/>
            <w:noWrap/>
            <w:vAlign w:val="center"/>
            <w:hideMark/>
          </w:tcPr>
          <w:p w:rsidR="00FB13F2" w:rsidRPr="00FB13F2" w:rsidRDefault="00484B45" w:rsidP="00FB13F2">
            <w:pPr>
              <w:spacing w:after="0"/>
              <w:rPr>
                <w:rFonts w:eastAsia="Times New Roman" w:cstheme="minorHAnsi"/>
              </w:rPr>
            </w:pPr>
            <w:r>
              <w:rPr>
                <w:rFonts w:eastAsia="Times New Roman" w:cstheme="minorHAnsi"/>
              </w:rPr>
              <w:t>3</w:t>
            </w:r>
            <w:r w:rsidR="00FB13F2">
              <w:rPr>
                <w:rFonts w:eastAsia="Times New Roman" w:cstheme="minorHAnsi"/>
              </w:rPr>
              <w:t>0%</w:t>
            </w:r>
          </w:p>
        </w:tc>
        <w:tc>
          <w:tcPr>
            <w:tcW w:w="0" w:type="auto"/>
            <w:noWrap/>
            <w:vAlign w:val="center"/>
            <w:hideMark/>
          </w:tcPr>
          <w:p w:rsidR="00FB13F2" w:rsidRPr="00FB13F2" w:rsidRDefault="00FB13F2" w:rsidP="00FB13F2">
            <w:pPr>
              <w:spacing w:after="0"/>
              <w:rPr>
                <w:rFonts w:eastAsia="Times New Roman" w:cstheme="minorHAnsi"/>
              </w:rPr>
            </w:pPr>
          </w:p>
        </w:tc>
      </w:tr>
      <w:tr w:rsidR="00FB13F2" w:rsidRPr="00FB13F2" w:rsidTr="00FB13F2">
        <w:trPr>
          <w:tblCellSpacing w:w="15" w:type="dxa"/>
        </w:trPr>
        <w:tc>
          <w:tcPr>
            <w:tcW w:w="1909" w:type="pct"/>
            <w:noWrap/>
            <w:vAlign w:val="center"/>
            <w:hideMark/>
          </w:tcPr>
          <w:p w:rsidR="00FB13F2" w:rsidRPr="00FB13F2" w:rsidRDefault="00484B45" w:rsidP="00FB13F2">
            <w:pPr>
              <w:spacing w:after="0"/>
              <w:rPr>
                <w:rFonts w:eastAsia="Times New Roman" w:cstheme="minorHAnsi"/>
              </w:rPr>
            </w:pPr>
            <w:r>
              <w:rPr>
                <w:rFonts w:eastAsia="Times New Roman" w:cstheme="minorHAnsi"/>
              </w:rPr>
              <w:t>Examination</w:t>
            </w:r>
          </w:p>
        </w:tc>
        <w:tc>
          <w:tcPr>
            <w:tcW w:w="2261" w:type="pct"/>
            <w:noWrap/>
            <w:vAlign w:val="center"/>
            <w:hideMark/>
          </w:tcPr>
          <w:p w:rsidR="00FB13F2" w:rsidRPr="00FB13F2" w:rsidRDefault="00484B45" w:rsidP="00FB13F2">
            <w:pPr>
              <w:spacing w:after="0"/>
              <w:rPr>
                <w:rFonts w:eastAsia="Times New Roman" w:cstheme="minorHAnsi"/>
              </w:rPr>
            </w:pPr>
            <w:r>
              <w:rPr>
                <w:rFonts w:eastAsia="Times New Roman" w:cstheme="minorHAnsi"/>
              </w:rPr>
              <w:t>70%</w:t>
            </w:r>
          </w:p>
        </w:tc>
        <w:tc>
          <w:tcPr>
            <w:tcW w:w="0" w:type="auto"/>
            <w:noWrap/>
            <w:vAlign w:val="center"/>
            <w:hideMark/>
          </w:tcPr>
          <w:p w:rsidR="00FB13F2" w:rsidRPr="00FB13F2" w:rsidRDefault="00FB13F2" w:rsidP="00FB13F2">
            <w:pPr>
              <w:spacing w:after="0"/>
              <w:rPr>
                <w:rFonts w:eastAsia="Times New Roman" w:cstheme="minorHAnsi"/>
              </w:rPr>
            </w:pPr>
          </w:p>
        </w:tc>
      </w:tr>
      <w:tr w:rsidR="00FB13F2" w:rsidRPr="00FB13F2" w:rsidTr="00FB13F2">
        <w:trPr>
          <w:tblCellSpacing w:w="15" w:type="dxa"/>
        </w:trPr>
        <w:tc>
          <w:tcPr>
            <w:tcW w:w="1909" w:type="pct"/>
            <w:noWrap/>
            <w:vAlign w:val="center"/>
            <w:hideMark/>
          </w:tcPr>
          <w:p w:rsidR="00FB13F2" w:rsidRPr="00FB13F2" w:rsidRDefault="00FB13F2" w:rsidP="00FB13F2">
            <w:pPr>
              <w:spacing w:after="0"/>
              <w:rPr>
                <w:rFonts w:eastAsia="Times New Roman" w:cstheme="minorHAnsi"/>
              </w:rPr>
            </w:pPr>
          </w:p>
        </w:tc>
        <w:tc>
          <w:tcPr>
            <w:tcW w:w="2261" w:type="pct"/>
            <w:noWrap/>
            <w:vAlign w:val="center"/>
            <w:hideMark/>
          </w:tcPr>
          <w:p w:rsidR="00FB13F2" w:rsidRPr="00FB13F2" w:rsidRDefault="00FB13F2" w:rsidP="00FB13F2">
            <w:pPr>
              <w:spacing w:after="0"/>
              <w:rPr>
                <w:rFonts w:eastAsia="Times New Roman" w:cstheme="minorHAnsi"/>
              </w:rPr>
            </w:pPr>
          </w:p>
        </w:tc>
        <w:tc>
          <w:tcPr>
            <w:tcW w:w="0" w:type="auto"/>
            <w:noWrap/>
            <w:vAlign w:val="center"/>
            <w:hideMark/>
          </w:tcPr>
          <w:p w:rsidR="00FB13F2" w:rsidRPr="00FB13F2" w:rsidRDefault="00FB13F2" w:rsidP="00FB13F2">
            <w:pPr>
              <w:spacing w:after="0"/>
              <w:rPr>
                <w:rFonts w:eastAsia="Times New Roman" w:cstheme="minorHAnsi"/>
              </w:rPr>
            </w:pPr>
          </w:p>
        </w:tc>
      </w:tr>
    </w:tbl>
    <w:p w:rsidR="005950F9" w:rsidRPr="00FB13F2" w:rsidRDefault="005950F9" w:rsidP="00BD1F2C">
      <w:pPr>
        <w:rPr>
          <w:rFonts w:cstheme="minorHAnsi"/>
        </w:rPr>
      </w:pPr>
    </w:p>
    <w:sectPr w:rsidR="005950F9" w:rsidRPr="00FB13F2" w:rsidSect="005950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B22B23"/>
    <w:multiLevelType w:val="hybridMultilevel"/>
    <w:tmpl w:val="1C10F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C13172"/>
    <w:multiLevelType w:val="hybridMultilevel"/>
    <w:tmpl w:val="2CD69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5D4374"/>
    <w:multiLevelType w:val="hybridMultilevel"/>
    <w:tmpl w:val="F7DC51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33428CB"/>
    <w:multiLevelType w:val="hybridMultilevel"/>
    <w:tmpl w:val="51080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8FE3984"/>
    <w:multiLevelType w:val="hybridMultilevel"/>
    <w:tmpl w:val="8B1654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67418DD"/>
    <w:multiLevelType w:val="hybridMultilevel"/>
    <w:tmpl w:val="2C58B652"/>
    <w:lvl w:ilvl="0" w:tplc="4764415E">
      <w:numFmt w:val="bullet"/>
      <w:lvlText w:val=""/>
      <w:lvlJc w:val="left"/>
      <w:pPr>
        <w:ind w:left="360" w:hanging="360"/>
      </w:pPr>
      <w:rPr>
        <w:rFonts w:ascii="Symbol" w:eastAsiaTheme="minorHAnsi" w:hAnsi="Symbol" w:cstheme="minorBidi"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59723FD8"/>
    <w:multiLevelType w:val="hybridMultilevel"/>
    <w:tmpl w:val="2794BEE6"/>
    <w:lvl w:ilvl="0" w:tplc="FC34177C">
      <w:start w:val="1"/>
      <w:numFmt w:val="bullet"/>
      <w:lvlText w:val=""/>
      <w:lvlJc w:val="left"/>
      <w:pPr>
        <w:tabs>
          <w:tab w:val="num" w:pos="720"/>
        </w:tabs>
        <w:ind w:left="720" w:hanging="360"/>
      </w:pPr>
      <w:rPr>
        <w:rFonts w:ascii="Symbol" w:hAnsi="Symbol" w:hint="default"/>
        <w:sz w:val="20"/>
      </w:rPr>
    </w:lvl>
    <w:lvl w:ilvl="1" w:tplc="04090001">
      <w:start w:val="1"/>
      <w:numFmt w:val="bullet"/>
      <w:lvlText w:val=""/>
      <w:lvlJc w:val="left"/>
      <w:pPr>
        <w:tabs>
          <w:tab w:val="num" w:pos="1440"/>
        </w:tabs>
        <w:ind w:left="1440" w:hanging="360"/>
      </w:pPr>
      <w:rPr>
        <w:rFonts w:ascii="Symbol" w:hAnsi="Symbol" w:hint="default"/>
        <w:sz w:val="20"/>
      </w:rPr>
    </w:lvl>
    <w:lvl w:ilvl="2" w:tplc="FAF8894C">
      <w:start w:val="1"/>
      <w:numFmt w:val="decimal"/>
      <w:lvlText w:val="%3."/>
      <w:lvlJc w:val="left"/>
      <w:pPr>
        <w:tabs>
          <w:tab w:val="num" w:pos="2160"/>
        </w:tabs>
        <w:ind w:left="2160" w:hanging="360"/>
      </w:pPr>
      <w:rPr>
        <w:rFonts w:cs="Times New Roman"/>
      </w:rPr>
    </w:lvl>
    <w:lvl w:ilvl="3" w:tplc="87FC72EE">
      <w:start w:val="1"/>
      <w:numFmt w:val="decimal"/>
      <w:lvlText w:val="%4."/>
      <w:lvlJc w:val="left"/>
      <w:pPr>
        <w:tabs>
          <w:tab w:val="num" w:pos="2880"/>
        </w:tabs>
        <w:ind w:left="2880" w:hanging="360"/>
      </w:pPr>
      <w:rPr>
        <w:rFonts w:cs="Times New Roman"/>
      </w:rPr>
    </w:lvl>
    <w:lvl w:ilvl="4" w:tplc="802A4508">
      <w:start w:val="1"/>
      <w:numFmt w:val="decimal"/>
      <w:lvlText w:val="%5."/>
      <w:lvlJc w:val="left"/>
      <w:pPr>
        <w:tabs>
          <w:tab w:val="num" w:pos="3600"/>
        </w:tabs>
        <w:ind w:left="3600" w:hanging="360"/>
      </w:pPr>
      <w:rPr>
        <w:rFonts w:cs="Times New Roman"/>
      </w:rPr>
    </w:lvl>
    <w:lvl w:ilvl="5" w:tplc="B65A2208">
      <w:start w:val="1"/>
      <w:numFmt w:val="decimal"/>
      <w:lvlText w:val="%6."/>
      <w:lvlJc w:val="left"/>
      <w:pPr>
        <w:tabs>
          <w:tab w:val="num" w:pos="4320"/>
        </w:tabs>
        <w:ind w:left="4320" w:hanging="360"/>
      </w:pPr>
      <w:rPr>
        <w:rFonts w:cs="Times New Roman"/>
      </w:rPr>
    </w:lvl>
    <w:lvl w:ilvl="6" w:tplc="F8849378">
      <w:start w:val="1"/>
      <w:numFmt w:val="decimal"/>
      <w:lvlText w:val="%7."/>
      <w:lvlJc w:val="left"/>
      <w:pPr>
        <w:tabs>
          <w:tab w:val="num" w:pos="5040"/>
        </w:tabs>
        <w:ind w:left="5040" w:hanging="360"/>
      </w:pPr>
      <w:rPr>
        <w:rFonts w:cs="Times New Roman"/>
      </w:rPr>
    </w:lvl>
    <w:lvl w:ilvl="7" w:tplc="CE5E6594">
      <w:start w:val="1"/>
      <w:numFmt w:val="decimal"/>
      <w:lvlText w:val="%8."/>
      <w:lvlJc w:val="left"/>
      <w:pPr>
        <w:tabs>
          <w:tab w:val="num" w:pos="5760"/>
        </w:tabs>
        <w:ind w:left="5760" w:hanging="360"/>
      </w:pPr>
      <w:rPr>
        <w:rFonts w:cs="Times New Roman"/>
      </w:rPr>
    </w:lvl>
    <w:lvl w:ilvl="8" w:tplc="3C06203C">
      <w:start w:val="1"/>
      <w:numFmt w:val="decimal"/>
      <w:lvlText w:val="%9."/>
      <w:lvlJc w:val="left"/>
      <w:pPr>
        <w:tabs>
          <w:tab w:val="num" w:pos="6480"/>
        </w:tabs>
        <w:ind w:left="6480" w:hanging="360"/>
      </w:pPr>
      <w:rPr>
        <w:rFonts w:cs="Times New Roman"/>
      </w:rPr>
    </w:lvl>
  </w:abstractNum>
  <w:abstractNum w:abstractNumId="7">
    <w:nsid w:val="662D1DE0"/>
    <w:multiLevelType w:val="hybridMultilevel"/>
    <w:tmpl w:val="7D7CA460"/>
    <w:lvl w:ilvl="0" w:tplc="4764415E">
      <w:numFmt w:val="bullet"/>
      <w:lvlText w:val=""/>
      <w:lvlJc w:val="left"/>
      <w:pPr>
        <w:ind w:left="360" w:hanging="360"/>
      </w:pPr>
      <w:rPr>
        <w:rFonts w:ascii="Symbol" w:eastAsiaTheme="minorHAnsi" w:hAnsi="Symbol" w:cstheme="minorBidi"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6"/>
  </w:num>
  <w:num w:numId="2">
    <w:abstractNumId w:val="5"/>
  </w:num>
  <w:num w:numId="3">
    <w:abstractNumId w:val="4"/>
  </w:num>
  <w:num w:numId="4">
    <w:abstractNumId w:val="2"/>
  </w:num>
  <w:num w:numId="5">
    <w:abstractNumId w:val="7"/>
  </w:num>
  <w:num w:numId="6">
    <w:abstractNumId w:val="1"/>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1F2C"/>
    <w:rsid w:val="000328B3"/>
    <w:rsid w:val="000E49A5"/>
    <w:rsid w:val="000F215B"/>
    <w:rsid w:val="00154830"/>
    <w:rsid w:val="001A200F"/>
    <w:rsid w:val="0020144B"/>
    <w:rsid w:val="002A3E69"/>
    <w:rsid w:val="003A73A9"/>
    <w:rsid w:val="003B4A67"/>
    <w:rsid w:val="00451AF8"/>
    <w:rsid w:val="00484B45"/>
    <w:rsid w:val="0049257B"/>
    <w:rsid w:val="005156A6"/>
    <w:rsid w:val="005950F9"/>
    <w:rsid w:val="005A3373"/>
    <w:rsid w:val="00671BDC"/>
    <w:rsid w:val="006A2F43"/>
    <w:rsid w:val="00786E8C"/>
    <w:rsid w:val="007F086A"/>
    <w:rsid w:val="007F6DC4"/>
    <w:rsid w:val="008A0F43"/>
    <w:rsid w:val="00942CF9"/>
    <w:rsid w:val="0097720C"/>
    <w:rsid w:val="00B0307B"/>
    <w:rsid w:val="00B16BED"/>
    <w:rsid w:val="00B82C7D"/>
    <w:rsid w:val="00BD1F2C"/>
    <w:rsid w:val="00BF0001"/>
    <w:rsid w:val="00C32A88"/>
    <w:rsid w:val="00C35155"/>
    <w:rsid w:val="00CD653C"/>
    <w:rsid w:val="00F15002"/>
    <w:rsid w:val="00FA2BE9"/>
    <w:rsid w:val="00FB13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50F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uiPriority w:val="99"/>
    <w:rsid w:val="00CD653C"/>
    <w:pPr>
      <w:spacing w:before="100" w:beforeAutospacing="1" w:after="100" w:afterAutospacing="1"/>
    </w:pPr>
    <w:rPr>
      <w:rFonts w:ascii="Times New Roman" w:eastAsia="Times New Roman" w:hAnsi="Times New Roman" w:cs="Times New Roman"/>
      <w:color w:val="000000"/>
      <w:sz w:val="24"/>
      <w:szCs w:val="24"/>
    </w:rPr>
  </w:style>
  <w:style w:type="character" w:customStyle="1" w:styleId="NormalWebChar">
    <w:name w:val="Normal (Web) Char"/>
    <w:basedOn w:val="DefaultParagraphFont"/>
    <w:link w:val="NormalWeb"/>
    <w:uiPriority w:val="99"/>
    <w:rsid w:val="00CD653C"/>
    <w:rPr>
      <w:rFonts w:ascii="Times New Roman" w:eastAsia="Times New Roman" w:hAnsi="Times New Roman" w:cs="Times New Roman"/>
      <w:color w:val="000000"/>
      <w:sz w:val="24"/>
      <w:szCs w:val="24"/>
    </w:rPr>
  </w:style>
  <w:style w:type="character" w:styleId="Hyperlink">
    <w:name w:val="Hyperlink"/>
    <w:basedOn w:val="DefaultParagraphFont"/>
    <w:uiPriority w:val="99"/>
    <w:unhideWhenUsed/>
    <w:rsid w:val="000F215B"/>
    <w:rPr>
      <w:color w:val="0000FF" w:themeColor="hyperlink"/>
      <w:u w:val="single"/>
    </w:rPr>
  </w:style>
  <w:style w:type="paragraph" w:styleId="ListParagraph">
    <w:name w:val="List Paragraph"/>
    <w:basedOn w:val="Normal"/>
    <w:uiPriority w:val="34"/>
    <w:qFormat/>
    <w:rsid w:val="006A2F43"/>
    <w:pPr>
      <w:ind w:left="720"/>
      <w:contextualSpacing/>
    </w:pPr>
  </w:style>
  <w:style w:type="character" w:customStyle="1" w:styleId="h41">
    <w:name w:val="h41"/>
    <w:basedOn w:val="DefaultParagraphFont"/>
    <w:rsid w:val="00C35155"/>
    <w:rPr>
      <w:rFonts w:ascii="Arial" w:hAnsi="Arial" w:cs="Arial" w:hint="default"/>
      <w:b/>
      <w:bCs/>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50F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uiPriority w:val="99"/>
    <w:rsid w:val="00CD653C"/>
    <w:pPr>
      <w:spacing w:before="100" w:beforeAutospacing="1" w:after="100" w:afterAutospacing="1"/>
    </w:pPr>
    <w:rPr>
      <w:rFonts w:ascii="Times New Roman" w:eastAsia="Times New Roman" w:hAnsi="Times New Roman" w:cs="Times New Roman"/>
      <w:color w:val="000000"/>
      <w:sz w:val="24"/>
      <w:szCs w:val="24"/>
    </w:rPr>
  </w:style>
  <w:style w:type="character" w:customStyle="1" w:styleId="NormalWebChar">
    <w:name w:val="Normal (Web) Char"/>
    <w:basedOn w:val="DefaultParagraphFont"/>
    <w:link w:val="NormalWeb"/>
    <w:uiPriority w:val="99"/>
    <w:rsid w:val="00CD653C"/>
    <w:rPr>
      <w:rFonts w:ascii="Times New Roman" w:eastAsia="Times New Roman" w:hAnsi="Times New Roman" w:cs="Times New Roman"/>
      <w:color w:val="000000"/>
      <w:sz w:val="24"/>
      <w:szCs w:val="24"/>
    </w:rPr>
  </w:style>
  <w:style w:type="character" w:styleId="Hyperlink">
    <w:name w:val="Hyperlink"/>
    <w:basedOn w:val="DefaultParagraphFont"/>
    <w:uiPriority w:val="99"/>
    <w:unhideWhenUsed/>
    <w:rsid w:val="000F215B"/>
    <w:rPr>
      <w:color w:val="0000FF" w:themeColor="hyperlink"/>
      <w:u w:val="single"/>
    </w:rPr>
  </w:style>
  <w:style w:type="paragraph" w:styleId="ListParagraph">
    <w:name w:val="List Paragraph"/>
    <w:basedOn w:val="Normal"/>
    <w:uiPriority w:val="34"/>
    <w:qFormat/>
    <w:rsid w:val="006A2F43"/>
    <w:pPr>
      <w:ind w:left="720"/>
      <w:contextualSpacing/>
    </w:pPr>
  </w:style>
  <w:style w:type="character" w:customStyle="1" w:styleId="h41">
    <w:name w:val="h41"/>
    <w:basedOn w:val="DefaultParagraphFont"/>
    <w:rsid w:val="00C35155"/>
    <w:rPr>
      <w:rFonts w:ascii="Arial" w:hAnsi="Arial" w:cs="Arial" w:hint="default"/>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mailto:bentonmc@jmu.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alibeh@jmu.edu"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3</Pages>
  <Words>617</Words>
  <Characters>3523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Twintowers</cp:lastModifiedBy>
  <cp:revision>6</cp:revision>
  <cp:lastPrinted>2011-12-06T21:15:00Z</cp:lastPrinted>
  <dcterms:created xsi:type="dcterms:W3CDTF">2012-03-02T11:03:00Z</dcterms:created>
  <dcterms:modified xsi:type="dcterms:W3CDTF">2012-03-02T11:20:00Z</dcterms:modified>
</cp:coreProperties>
</file>