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2B6487">
        <w:t>300</w:t>
      </w:r>
      <w:r>
        <w:t xml:space="preserve"> Syllabus: May 201</w:t>
      </w:r>
      <w:r w:rsidR="003E196B"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9C6E8C" w:rsidP="00DB168C">
      <w:r w:rsidRPr="009C6E8C">
        <w:t>Intensive training in grammatical structures and their application to oral and written communication. Instruction is in Japanese. Fulfills the College of Arts and Letters writing-intensive requirements for possible international affairs majors and/or IBUS majors. Prerequisite: JAPN 232 or permission of the instructor.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:rsidR="00DB168C" w:rsidRDefault="00DB168C" w:rsidP="00074686">
      <w:pPr>
        <w:ind w:left="720" w:hanging="720"/>
      </w:pPr>
      <w:r>
        <w:t xml:space="preserve">Heisig,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:rsidR="00B444DB" w:rsidRDefault="00B444DB" w:rsidP="00074686">
      <w:pPr>
        <w:ind w:left="720" w:hanging="720"/>
      </w:pPr>
      <w:r>
        <w:t xml:space="preserve">Heisig,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C47D1A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3E196B" w:rsidRDefault="003E196B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</w:t>
      </w:r>
      <w:r w:rsidR="003A2ACC">
        <w:t>approach passing</w:t>
      </w:r>
      <w:r w:rsidR="00DB4B81">
        <w:t xml:space="preserve"> the Level </w:t>
      </w:r>
      <w:r w:rsidR="003E196B">
        <w:t>3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26C31"/>
    <w:rsid w:val="003A2ACC"/>
    <w:rsid w:val="003E196B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E407C"/>
    <w:rsid w:val="00717D24"/>
    <w:rsid w:val="0080196C"/>
    <w:rsid w:val="00845DEF"/>
    <w:rsid w:val="00853B48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684</Words>
  <Characters>3901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2012-10-01T17:14:00Z</dcterms:created>
  <dcterms:modified xsi:type="dcterms:W3CDTF">2012-10-01T17:17:00Z</dcterms:modified>
</cp:coreProperties>
</file>