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25FC0" w14:textId="77777777" w:rsidR="004F768F" w:rsidRPr="002745DC" w:rsidRDefault="00000000">
      <w:pPr>
        <w:pStyle w:val="Figureimage"/>
        <w:rPr>
          <w:rFonts w:asciiTheme="majorHAnsi" w:hAnsiTheme="majorHAnsi" w:cstheme="majorHAnsi"/>
          <w:sz w:val="22"/>
        </w:rPr>
      </w:pPr>
      <w:r w:rsidRPr="002745DC">
        <w:rPr>
          <w:rFonts w:asciiTheme="majorHAnsi" w:hAnsiTheme="majorHAnsi" w:cstheme="majorHAnsi"/>
          <w:noProof/>
          <w:sz w:val="22"/>
        </w:rPr>
        <w:drawing>
          <wp:inline distT="0" distB="0" distL="0" distR="0" wp14:anchorId="0F7DADD7" wp14:editId="5634D25B">
            <wp:extent cx="6591090" cy="4959118"/>
            <wp:effectExtent l="0" t="0" r="635" b="0"/>
            <wp:docPr id="1" name="Picture 1" descr="Panel A: separate upregulated and downregulated DE enrichment for the 48-hour top 500 and top 1,500 ChIP targets. Panels B and C: cell-fate GSEA before and after removing the 48-hour top 1,500 targets. Columns are perturb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hip48_and_cell_fate_single_degron.png"/>
                    <pic:cNvPicPr/>
                  </pic:nvPicPr>
                  <pic:blipFill>
                    <a:blip r:embed="rId6"/>
                    <a:stretch>
                      <a:fillRect/>
                    </a:stretch>
                  </pic:blipFill>
                  <pic:spPr>
                    <a:xfrm>
                      <a:off x="0" y="0"/>
                      <a:ext cx="6610985" cy="4974087"/>
                    </a:xfrm>
                    <a:prstGeom prst="rect">
                      <a:avLst/>
                    </a:prstGeom>
                  </pic:spPr>
                </pic:pic>
              </a:graphicData>
            </a:graphic>
          </wp:inline>
        </w:drawing>
      </w:r>
    </w:p>
    <w:p w14:paraId="4E301507" w14:textId="77777777" w:rsidR="004F768F" w:rsidRPr="002745DC" w:rsidRDefault="00000000">
      <w:pPr>
        <w:pStyle w:val="Caption"/>
        <w:rPr>
          <w:rFonts w:asciiTheme="majorHAnsi" w:hAnsiTheme="majorHAnsi" w:cstheme="majorHAnsi"/>
          <w:sz w:val="22"/>
          <w:szCs w:val="22"/>
        </w:rPr>
      </w:pPr>
      <w:r w:rsidRPr="002745DC">
        <w:rPr>
          <w:rFonts w:asciiTheme="majorHAnsi" w:hAnsiTheme="majorHAnsi" w:cstheme="majorHAnsi"/>
          <w:b/>
          <w:sz w:val="22"/>
          <w:szCs w:val="22"/>
        </w:rPr>
        <w:t xml:space="preserve">Figure 1. 48-hour EOMES ChIP targets and cell-fate programs after EOMES perturbation. </w:t>
      </w:r>
      <w:r w:rsidRPr="002745DC">
        <w:rPr>
          <w:rFonts w:asciiTheme="majorHAnsi" w:hAnsiTheme="majorHAnsi" w:cstheme="majorHAnsi"/>
          <w:sz w:val="22"/>
          <w:szCs w:val="22"/>
        </w:rPr>
        <w:t>(A) Enrichment of upregulated and downregulated DE genes among the fixed top 500 (left) and top 1,500 (right) 48-hour ChIP targets. Values are observed/expected overlaps; * one-sided Fisher BH q &lt; 0.05 across 20 tests. (B, C) Unweighted GSEA of cell-type signatures using all expression-eligible genes (B) or excluding the 48-hour top 1,500 targets (C). Values are normalized enrichment scores (NES); red indicates higher and blue lower expression after perturbation. * BH q &lt; 0.05 across all tested signatures and five contrasts, separately per panel. References: [Tyser et al. 2021], human gastrula; [Cao et al. 2020], human fetal atlas. DE2 denotes anterior-enriched definitive endoderm. Whole-gene and knock-in KO share WT samples; Degron denotes the comparison with matched uninduced controls. The parental-control degron comparison is omitted from this display. Reference similarity does not assign a cell fate; genes outside the target list are not proven indirect targets. Enrichment values and adjusted p-values are retained from the original five-contrast analysis.</w:t>
      </w:r>
    </w:p>
    <w:p w14:paraId="25A383F0" w14:textId="77777777" w:rsidR="004F768F" w:rsidRPr="002745DC" w:rsidRDefault="004F768F">
      <w:pPr>
        <w:rPr>
          <w:rFonts w:asciiTheme="majorHAnsi" w:hAnsiTheme="majorHAnsi" w:cstheme="majorHAnsi"/>
        </w:rPr>
        <w:sectPr w:rsidR="004F768F" w:rsidRPr="002745DC" w:rsidSect="00C42263">
          <w:pgSz w:w="12220" w:h="15840"/>
          <w:pgMar w:top="720" w:right="720" w:bottom="720" w:left="720" w:header="432" w:footer="432" w:gutter="0"/>
          <w:cols w:space="720"/>
          <w:docGrid w:linePitch="360"/>
        </w:sectPr>
      </w:pPr>
    </w:p>
    <w:p w14:paraId="6F9E3D96" w14:textId="77777777" w:rsidR="002745DC" w:rsidRPr="002745DC" w:rsidRDefault="002745DC" w:rsidP="002745DC">
      <w:pPr>
        <w:pStyle w:val="Methodsbody"/>
        <w:keepLines/>
        <w:spacing w:after="180"/>
        <w:rPr>
          <w:rFonts w:asciiTheme="majorHAnsi" w:hAnsiTheme="majorHAnsi" w:cstheme="majorHAnsi"/>
          <w:b/>
          <w:sz w:val="22"/>
        </w:rPr>
      </w:pPr>
      <w:proofErr w:type="spellStart"/>
      <w:r w:rsidRPr="002745DC">
        <w:rPr>
          <w:rFonts w:asciiTheme="majorHAnsi" w:hAnsiTheme="majorHAnsi" w:cstheme="majorHAnsi"/>
          <w:b/>
          <w:sz w:val="22"/>
        </w:rPr>
        <w:lastRenderedPageBreak/>
        <w:t>ChIP</w:t>
      </w:r>
      <w:proofErr w:type="spellEnd"/>
      <w:r w:rsidRPr="002745DC">
        <w:rPr>
          <w:rFonts w:asciiTheme="majorHAnsi" w:hAnsiTheme="majorHAnsi" w:cstheme="majorHAnsi"/>
          <w:b/>
          <w:sz w:val="22"/>
        </w:rPr>
        <w:t>-seq sources</w:t>
      </w:r>
    </w:p>
    <w:p w14:paraId="5C54006F" w14:textId="16FC6E68"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The 48-hour EOMES </w:t>
      </w:r>
      <w:proofErr w:type="spellStart"/>
      <w:r w:rsidRPr="002745DC">
        <w:rPr>
          <w:rFonts w:asciiTheme="majorHAnsi" w:hAnsiTheme="majorHAnsi" w:cstheme="majorHAnsi"/>
          <w:bCs/>
          <w:sz w:val="22"/>
        </w:rPr>
        <w:t>ChIP</w:t>
      </w:r>
      <w:proofErr w:type="spellEnd"/>
      <w:r w:rsidRPr="002745DC">
        <w:rPr>
          <w:rFonts w:asciiTheme="majorHAnsi" w:hAnsiTheme="majorHAnsi" w:cstheme="majorHAnsi"/>
          <w:bCs/>
          <w:sz w:val="22"/>
        </w:rPr>
        <w:t>-seq data (paired-end) come from HUES8 human embryonic stem cells differentiating toward definitive endoderm [Luo et al. 2023], GEO GSE213394: replicate 1 is GSM6585561 (SRR21586161) and replicate 2 is GSM6585562 (SRR21586115). Raw reads were downloaded from the ENA run pages for these SRA accessions. The input control is a single-end library, GSM3381961 (SRR7814534), from [Li et al. 2019].</w:t>
      </w:r>
    </w:p>
    <w:p w14:paraId="5AABC052" w14:textId="6D2444B9" w:rsidR="002745DC" w:rsidRPr="002745DC"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
          <w:sz w:val="22"/>
        </w:rPr>
        <w:t>Read processing and reproducible peaks</w:t>
      </w:r>
    </w:p>
    <w:p w14:paraId="6D8DD816" w14:textId="236D6F3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Reads were aligned to GRCh38 (no-alt analysis set) with Bowtie2 2.5.5 [Langmead and Salzberg 2012] at default settings. Alignments were name-sorted, mate-repaired, coordinate-sorted and deduplicated with </w:t>
      </w:r>
      <w:proofErr w:type="spellStart"/>
      <w:r w:rsidRPr="002745DC">
        <w:rPr>
          <w:rFonts w:asciiTheme="majorHAnsi" w:hAnsiTheme="majorHAnsi" w:cstheme="majorHAnsi"/>
          <w:bCs/>
          <w:sz w:val="22"/>
        </w:rPr>
        <w:t>SAMtools</w:t>
      </w:r>
      <w:proofErr w:type="spellEnd"/>
      <w:r w:rsidRPr="002745DC">
        <w:rPr>
          <w:rFonts w:asciiTheme="majorHAnsi" w:hAnsiTheme="majorHAnsi" w:cstheme="majorHAnsi"/>
          <w:bCs/>
          <w:sz w:val="22"/>
        </w:rPr>
        <w:t xml:space="preserve"> 1.24 [Danecek et al. 2021], then filtered to MAPQ ≥ 30, chromosomes 1–22, X and Y, and no overlap with the hg38 blacklist v2. MACS2 2.2.9.1 [Zhang et al. 2008] called peaks for each replicate and for the pooled </w:t>
      </w:r>
      <w:proofErr w:type="spellStart"/>
      <w:r w:rsidRPr="002745DC">
        <w:rPr>
          <w:rFonts w:asciiTheme="majorHAnsi" w:hAnsiTheme="majorHAnsi" w:cstheme="majorHAnsi"/>
          <w:bCs/>
          <w:sz w:val="22"/>
        </w:rPr>
        <w:t>ChIP</w:t>
      </w:r>
      <w:proofErr w:type="spellEnd"/>
      <w:r w:rsidRPr="002745DC">
        <w:rPr>
          <w:rFonts w:asciiTheme="majorHAnsi" w:hAnsiTheme="majorHAnsi" w:cstheme="majorHAnsi"/>
          <w:bCs/>
          <w:sz w:val="22"/>
        </w:rPr>
        <w:t>, each against the input, with -f BAM --</w:t>
      </w:r>
      <w:proofErr w:type="spellStart"/>
      <w:r w:rsidRPr="002745DC">
        <w:rPr>
          <w:rFonts w:asciiTheme="majorHAnsi" w:hAnsiTheme="majorHAnsi" w:cstheme="majorHAnsi"/>
          <w:bCs/>
          <w:sz w:val="22"/>
        </w:rPr>
        <w:t>nomodel</w:t>
      </w:r>
      <w:proofErr w:type="spellEnd"/>
      <w:r w:rsidRPr="002745DC">
        <w:rPr>
          <w:rFonts w:asciiTheme="majorHAnsi" w:hAnsiTheme="majorHAnsi" w:cstheme="majorHAnsi"/>
          <w:bCs/>
          <w:sz w:val="22"/>
        </w:rPr>
        <w:t xml:space="preserve"> --</w:t>
      </w:r>
      <w:proofErr w:type="spellStart"/>
      <w:r w:rsidRPr="002745DC">
        <w:rPr>
          <w:rFonts w:asciiTheme="majorHAnsi" w:hAnsiTheme="majorHAnsi" w:cstheme="majorHAnsi"/>
          <w:bCs/>
          <w:sz w:val="22"/>
        </w:rPr>
        <w:t>extsize</w:t>
      </w:r>
      <w:proofErr w:type="spellEnd"/>
      <w:r w:rsidRPr="002745DC">
        <w:rPr>
          <w:rFonts w:asciiTheme="majorHAnsi" w:hAnsiTheme="majorHAnsi" w:cstheme="majorHAnsi"/>
          <w:bCs/>
          <w:sz w:val="22"/>
        </w:rPr>
        <w:t xml:space="preserve"> 200 --shift 0 --keep-dup all -g </w:t>
      </w:r>
      <w:proofErr w:type="spellStart"/>
      <w:r w:rsidRPr="002745DC">
        <w:rPr>
          <w:rFonts w:asciiTheme="majorHAnsi" w:hAnsiTheme="majorHAnsi" w:cstheme="majorHAnsi"/>
          <w:bCs/>
          <w:sz w:val="22"/>
        </w:rPr>
        <w:t>hs</w:t>
      </w:r>
      <w:proofErr w:type="spellEnd"/>
      <w:r w:rsidRPr="002745DC">
        <w:rPr>
          <w:rFonts w:asciiTheme="majorHAnsi" w:hAnsiTheme="majorHAnsi" w:cstheme="majorHAnsi"/>
          <w:bCs/>
          <w:sz w:val="22"/>
        </w:rPr>
        <w:t xml:space="preserve"> -p 0.001. Under -f BAM, paired-end </w:t>
      </w:r>
      <w:proofErr w:type="spellStart"/>
      <w:r w:rsidRPr="002745DC">
        <w:rPr>
          <w:rFonts w:asciiTheme="majorHAnsi" w:hAnsiTheme="majorHAnsi" w:cstheme="majorHAnsi"/>
          <w:bCs/>
          <w:sz w:val="22"/>
        </w:rPr>
        <w:t>ChIP</w:t>
      </w:r>
      <w:proofErr w:type="spellEnd"/>
      <w:r w:rsidRPr="002745DC">
        <w:rPr>
          <w:rFonts w:asciiTheme="majorHAnsi" w:hAnsiTheme="majorHAnsi" w:cstheme="majorHAnsi"/>
          <w:bCs/>
          <w:sz w:val="22"/>
        </w:rPr>
        <w:t xml:space="preserve"> reads were treated as single-end read-1 tags with a fixed 200-bp extension, matching how the single-end input was processed. Peaks overlapping the blacklist were removed, and irreproducible discovery rate (IDR) 2.0.4.2 [Li et al. 2011] compared the two replicates, ranked by MACS2 p-value, using the pooled peaks as the oracle set. Peaks with global IDR ≤ 0.05 and pooled-sample q ≤ 0.05 were retained (43,700 peaks).</w:t>
      </w:r>
    </w:p>
    <w:p w14:paraId="75A7BCD9" w14:textId="77777777" w:rsidR="002745DC" w:rsidRPr="002745DC"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
          <w:sz w:val="22"/>
        </w:rPr>
        <w:t>EOMES target definition</w:t>
      </w:r>
    </w:p>
    <w:p w14:paraId="6C03B677" w14:textId="7579C68F"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Each retained peak summit was linked to every gene-level TSS within 50 kb, using GENCODE v44 basic protein-coding and lncRNA genes. A gene’s score is the sum, over its linked peaks, of peak fold enrichment × (1 − |summit − TSS| / 50,000), so genes with several nearby peaks accumulate score. When a symbol maps to more than one locus, the highest-scoring locus is kept; ties are broken alphabetically by symbol. The top 500 and top 1,500 unique uppercase symbols form two fixed target sets. Targets missing from the RNA data, or failing the expression filter below, are dropped rather than replaced from further down the ranking. These sets are candidate targets defined by proximity alone.</w:t>
      </w:r>
    </w:p>
    <w:p w14:paraId="5C84DA1C" w14:textId="385023CA" w:rsidR="002745DC" w:rsidRPr="002745DC" w:rsidRDefault="002745DC" w:rsidP="002745DC">
      <w:pPr>
        <w:pStyle w:val="Methodsbody"/>
        <w:keepLines/>
        <w:spacing w:after="180"/>
        <w:rPr>
          <w:rFonts w:asciiTheme="majorHAnsi" w:hAnsiTheme="majorHAnsi" w:cstheme="majorHAnsi"/>
          <w:b/>
          <w:sz w:val="22"/>
        </w:rPr>
      </w:pPr>
      <w:proofErr w:type="spellStart"/>
      <w:r w:rsidRPr="002745DC">
        <w:rPr>
          <w:rFonts w:asciiTheme="majorHAnsi" w:hAnsiTheme="majorHAnsi" w:cstheme="majorHAnsi"/>
          <w:b/>
          <w:sz w:val="22"/>
        </w:rPr>
        <w:t>MorPhiC</w:t>
      </w:r>
      <w:proofErr w:type="spellEnd"/>
      <w:r w:rsidRPr="002745DC">
        <w:rPr>
          <w:rFonts w:asciiTheme="majorHAnsi" w:hAnsiTheme="majorHAnsi" w:cstheme="majorHAnsi"/>
          <w:b/>
          <w:sz w:val="22"/>
        </w:rPr>
        <w:t xml:space="preserve"> DE inputs</w:t>
      </w:r>
    </w:p>
    <w:p w14:paraId="56FFEDFE" w14:textId="5BC35568"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Gene-level differential expression (DE) results were taken from the </w:t>
      </w:r>
      <w:proofErr w:type="spellStart"/>
      <w:r w:rsidRPr="002745DC">
        <w:rPr>
          <w:rFonts w:asciiTheme="majorHAnsi" w:hAnsiTheme="majorHAnsi" w:cstheme="majorHAnsi"/>
          <w:bCs/>
          <w:sz w:val="22"/>
        </w:rPr>
        <w:t>MorPhiC</w:t>
      </w:r>
      <w:proofErr w:type="spellEnd"/>
      <w:r w:rsidRPr="002745DC">
        <w:rPr>
          <w:rFonts w:asciiTheme="majorHAnsi" w:hAnsiTheme="majorHAnsi" w:cstheme="majorHAnsi"/>
          <w:bCs/>
          <w:sz w:val="22"/>
        </w:rPr>
        <w:t xml:space="preserve"> analysis and reused without refitting. That analysis used TMM normalization, </w:t>
      </w:r>
      <w:proofErr w:type="spellStart"/>
      <w:r w:rsidRPr="002745DC">
        <w:rPr>
          <w:rFonts w:asciiTheme="majorHAnsi" w:hAnsiTheme="majorHAnsi" w:cstheme="majorHAnsi"/>
          <w:bCs/>
          <w:sz w:val="22"/>
        </w:rPr>
        <w:t>limma-voom</w:t>
      </w:r>
      <w:proofErr w:type="spellEnd"/>
      <w:r w:rsidRPr="002745DC">
        <w:rPr>
          <w:rFonts w:asciiTheme="majorHAnsi" w:hAnsiTheme="majorHAnsi" w:cstheme="majorHAnsi"/>
          <w:bCs/>
          <w:sz w:val="22"/>
        </w:rPr>
        <w:t xml:space="preserve"> with group-mean models, empirical-Bayes moderated contrasts and, where applicable, </w:t>
      </w:r>
      <w:proofErr w:type="spellStart"/>
      <w:r w:rsidRPr="002745DC">
        <w:rPr>
          <w:rFonts w:asciiTheme="majorHAnsi" w:hAnsiTheme="majorHAnsi" w:cstheme="majorHAnsi"/>
          <w:bCs/>
          <w:sz w:val="22"/>
        </w:rPr>
        <w:t>duplicateCorrelation</w:t>
      </w:r>
      <w:proofErr w:type="spellEnd"/>
      <w:r w:rsidRPr="002745DC">
        <w:rPr>
          <w:rFonts w:asciiTheme="majorHAnsi" w:hAnsiTheme="majorHAnsi" w:cstheme="majorHAnsi"/>
          <w:bCs/>
          <w:sz w:val="22"/>
        </w:rPr>
        <w:t xml:space="preserve"> with clone as the blocking factor. A gene was expression-eligible if the 75th percentile of its counts across all samples in the original count matrix was positive (q75_pass) and its maximum group-mean TMM-normalized CPM was ≥ 1. A gene was called DE at </w:t>
      </w:r>
      <w:proofErr w:type="spellStart"/>
      <w:r w:rsidRPr="002745DC">
        <w:rPr>
          <w:rFonts w:asciiTheme="majorHAnsi" w:hAnsiTheme="majorHAnsi" w:cstheme="majorHAnsi"/>
          <w:bCs/>
          <w:sz w:val="22"/>
        </w:rPr>
        <w:t>Storey</w:t>
      </w:r>
      <w:proofErr w:type="spellEnd"/>
      <w:r w:rsidRPr="002745DC">
        <w:rPr>
          <w:rFonts w:asciiTheme="majorHAnsi" w:hAnsiTheme="majorHAnsi" w:cstheme="majorHAnsi"/>
          <w:bCs/>
          <w:sz w:val="22"/>
        </w:rPr>
        <w:t xml:space="preserve"> q &lt; 0.05 and |log2 FC| &gt; 1, with log FC defined as perturbation over control. Degron contrasts compare IAA-treated tagged clones with their matched DMSO controls; </w:t>
      </w:r>
      <w:proofErr w:type="spellStart"/>
      <w:r w:rsidRPr="002745DC">
        <w:rPr>
          <w:rFonts w:asciiTheme="majorHAnsi" w:hAnsiTheme="majorHAnsi" w:cstheme="majorHAnsi"/>
          <w:bCs/>
          <w:sz w:val="22"/>
        </w:rPr>
        <w:t>CRISPRi</w:t>
      </w:r>
      <w:proofErr w:type="spellEnd"/>
      <w:r w:rsidRPr="002745DC">
        <w:rPr>
          <w:rFonts w:asciiTheme="majorHAnsi" w:hAnsiTheme="majorHAnsi" w:cstheme="majorHAnsi"/>
          <w:bCs/>
          <w:sz w:val="22"/>
        </w:rPr>
        <w:t xml:space="preserve"> contrasts compare doxycycline-induced with uninduced cells; the two KO methods share wild-type controls.</w:t>
      </w:r>
    </w:p>
    <w:p w14:paraId="2318D476" w14:textId="6FB0618D" w:rsidR="002745DC" w:rsidRPr="002745DC"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
          <w:sz w:val="22"/>
        </w:rPr>
        <w:t>Enrichment of EOMES targets among DE genes</w:t>
      </w:r>
    </w:p>
    <w:p w14:paraId="0B695954" w14:textId="2A961432"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Within each contrast, the background was all expression-eligible genes from the RNA data, matched to targets by exact uppercase symbol; genes without a symbol were represented by their </w:t>
      </w:r>
      <w:proofErr w:type="spellStart"/>
      <w:r w:rsidRPr="002745DC">
        <w:rPr>
          <w:rFonts w:asciiTheme="majorHAnsi" w:hAnsiTheme="majorHAnsi" w:cstheme="majorHAnsi"/>
          <w:bCs/>
          <w:sz w:val="22"/>
        </w:rPr>
        <w:t>Ensembl</w:t>
      </w:r>
      <w:proofErr w:type="spellEnd"/>
      <w:r w:rsidRPr="002745DC">
        <w:rPr>
          <w:rFonts w:asciiTheme="majorHAnsi" w:hAnsiTheme="majorHAnsi" w:cstheme="majorHAnsi"/>
          <w:bCs/>
          <w:sz w:val="22"/>
        </w:rPr>
        <w:t xml:space="preserve"> ID. For each target-set size and DE direction, a one-sided (enrichment) Fisher exact test compared target membership with DE status. Fold enrichment is the observed overlap divided by the expected overlap, (eligible targets × directional DE genes) / background size. P-values were BH-adjusted across all perturbation strategies, target-set sizes and DE directions.</w:t>
      </w:r>
    </w:p>
    <w:p w14:paraId="6225CA2B" w14:textId="68E72542" w:rsidR="00546EFD" w:rsidRDefault="002745DC" w:rsidP="002745DC">
      <w:pPr>
        <w:pStyle w:val="Methodsbody"/>
        <w:keepLines/>
        <w:spacing w:after="180"/>
        <w:rPr>
          <w:rFonts w:asciiTheme="majorHAnsi" w:hAnsiTheme="majorHAnsi" w:cstheme="majorHAnsi"/>
          <w:b/>
          <w:sz w:val="22"/>
        </w:rPr>
      </w:pPr>
      <w:r w:rsidRPr="00546EFD">
        <w:rPr>
          <w:rFonts w:asciiTheme="majorHAnsi" w:hAnsiTheme="majorHAnsi" w:cstheme="majorHAnsi"/>
          <w:b/>
          <w:sz w:val="22"/>
        </w:rPr>
        <w:t>Cell-type program enrichment</w:t>
      </w:r>
      <w:r w:rsidR="00A1784F">
        <w:rPr>
          <w:rFonts w:asciiTheme="majorHAnsi" w:hAnsiTheme="majorHAnsi" w:cstheme="majorHAnsi"/>
          <w:b/>
          <w:sz w:val="22"/>
        </w:rPr>
        <w:t xml:space="preserve"> by DE signals</w:t>
      </w:r>
    </w:p>
    <w:p w14:paraId="7DF8192D" w14:textId="4B11B205" w:rsidR="002745DC" w:rsidRPr="003A1E51" w:rsidRDefault="002745DC" w:rsidP="002745DC">
      <w:pPr>
        <w:pStyle w:val="Methodsbody"/>
        <w:keepLines/>
        <w:spacing w:after="180"/>
        <w:rPr>
          <w:rFonts w:asciiTheme="majorHAnsi" w:hAnsiTheme="majorHAnsi" w:cstheme="majorHAnsi"/>
          <w:b/>
          <w:sz w:val="22"/>
        </w:rPr>
      </w:pPr>
      <w:r w:rsidRPr="002745DC">
        <w:rPr>
          <w:rFonts w:asciiTheme="majorHAnsi" w:hAnsiTheme="majorHAnsi" w:cstheme="majorHAnsi"/>
          <w:bCs/>
          <w:sz w:val="22"/>
        </w:rPr>
        <w:lastRenderedPageBreak/>
        <w:t xml:space="preserve">The signature library is fixed at 96 gene sets: 21 human gastrula signatures, each the first 50 published markers from supplementary tables 1, 8, 11 and 13 of [Tyser et al. 2021], and 75 main fetal cell-type signatures from [Cao et al. 2020] as distributed in </w:t>
      </w:r>
      <w:proofErr w:type="spellStart"/>
      <w:r w:rsidRPr="002745DC">
        <w:rPr>
          <w:rFonts w:asciiTheme="majorHAnsi" w:hAnsiTheme="majorHAnsi" w:cstheme="majorHAnsi"/>
          <w:bCs/>
          <w:sz w:val="22"/>
        </w:rPr>
        <w:t>MSigDB</w:t>
      </w:r>
      <w:proofErr w:type="spellEnd"/>
      <w:r w:rsidRPr="002745DC">
        <w:rPr>
          <w:rFonts w:asciiTheme="majorHAnsi" w:hAnsiTheme="majorHAnsi" w:cstheme="majorHAnsi"/>
          <w:bCs/>
          <w:sz w:val="22"/>
        </w:rPr>
        <w:t xml:space="preserve"> C8 v2025.1.Hs.</w:t>
      </w:r>
    </w:p>
    <w:p w14:paraId="31AD310A" w14:textId="31EAC7B6" w:rsidR="002745DC" w:rsidRPr="002745DC" w:rsidRDefault="002745DC" w:rsidP="002745DC">
      <w:pPr>
        <w:pStyle w:val="Methodsbody"/>
        <w:keepLines/>
        <w:spacing w:after="180"/>
        <w:rPr>
          <w:rFonts w:asciiTheme="majorHAnsi" w:hAnsiTheme="majorHAnsi" w:cstheme="majorHAnsi"/>
          <w:bCs/>
          <w:sz w:val="22"/>
        </w:rPr>
      </w:pPr>
      <w:r w:rsidRPr="002745DC">
        <w:rPr>
          <w:rFonts w:asciiTheme="majorHAnsi" w:hAnsiTheme="majorHAnsi" w:cstheme="majorHAnsi"/>
          <w:bCs/>
          <w:sz w:val="22"/>
        </w:rPr>
        <w:t xml:space="preserve">For each contrast, all expression-eligible genes were ranked by signed log FC in decreasing order. When a symbol had several eligible loci, the locus with the highest </w:t>
      </w:r>
      <w:proofErr w:type="spellStart"/>
      <w:r w:rsidRPr="002745DC">
        <w:rPr>
          <w:rFonts w:asciiTheme="majorHAnsi" w:hAnsiTheme="majorHAnsi" w:cstheme="majorHAnsi"/>
          <w:bCs/>
          <w:sz w:val="22"/>
        </w:rPr>
        <w:t>AveExpr</w:t>
      </w:r>
      <w:proofErr w:type="spellEnd"/>
      <w:r w:rsidRPr="002745DC">
        <w:rPr>
          <w:rFonts w:asciiTheme="majorHAnsi" w:hAnsiTheme="majorHAnsi" w:cstheme="majorHAnsi"/>
          <w:bCs/>
          <w:sz w:val="22"/>
        </w:rPr>
        <w:t xml:space="preserve"> was used, with </w:t>
      </w:r>
      <w:proofErr w:type="spellStart"/>
      <w:r w:rsidRPr="002745DC">
        <w:rPr>
          <w:rFonts w:asciiTheme="majorHAnsi" w:hAnsiTheme="majorHAnsi" w:cstheme="majorHAnsi"/>
          <w:bCs/>
          <w:sz w:val="22"/>
        </w:rPr>
        <w:t>Ensembl</w:t>
      </w:r>
      <w:proofErr w:type="spellEnd"/>
      <w:r w:rsidRPr="002745DC">
        <w:rPr>
          <w:rFonts w:asciiTheme="majorHAnsi" w:hAnsiTheme="majorHAnsi" w:cstheme="majorHAnsi"/>
          <w:bCs/>
          <w:sz w:val="22"/>
        </w:rPr>
        <w:t xml:space="preserve"> ID breaking ties. GSEA was run with </w:t>
      </w:r>
      <w:proofErr w:type="spellStart"/>
      <w:r w:rsidRPr="002745DC">
        <w:rPr>
          <w:rFonts w:asciiTheme="majorHAnsi" w:hAnsiTheme="majorHAnsi" w:cstheme="majorHAnsi"/>
          <w:bCs/>
          <w:sz w:val="22"/>
        </w:rPr>
        <w:t>fgseaMultilevel</w:t>
      </w:r>
      <w:proofErr w:type="spellEnd"/>
      <w:r w:rsidRPr="002745DC">
        <w:rPr>
          <w:rFonts w:asciiTheme="majorHAnsi" w:hAnsiTheme="majorHAnsi" w:cstheme="majorHAnsi"/>
          <w:bCs/>
          <w:sz w:val="22"/>
        </w:rPr>
        <w:t xml:space="preserve"> (</w:t>
      </w:r>
      <w:proofErr w:type="spellStart"/>
      <w:r w:rsidRPr="002745DC">
        <w:rPr>
          <w:rFonts w:asciiTheme="majorHAnsi" w:hAnsiTheme="majorHAnsi" w:cstheme="majorHAnsi"/>
          <w:bCs/>
          <w:sz w:val="22"/>
        </w:rPr>
        <w:t>fgsea</w:t>
      </w:r>
      <w:proofErr w:type="spellEnd"/>
      <w:r w:rsidRPr="002745DC">
        <w:rPr>
          <w:rFonts w:asciiTheme="majorHAnsi" w:hAnsiTheme="majorHAnsi" w:cstheme="majorHAnsi"/>
          <w:bCs/>
          <w:sz w:val="22"/>
        </w:rPr>
        <w:t xml:space="preserve"> 1.38.0), unweighted (</w:t>
      </w:r>
      <w:proofErr w:type="spellStart"/>
      <w:r w:rsidRPr="002745DC">
        <w:rPr>
          <w:rFonts w:asciiTheme="majorHAnsi" w:hAnsiTheme="majorHAnsi" w:cstheme="majorHAnsi"/>
          <w:bCs/>
          <w:sz w:val="22"/>
        </w:rPr>
        <w:t>gseaParam</w:t>
      </w:r>
      <w:proofErr w:type="spellEnd"/>
      <w:r w:rsidRPr="002745DC">
        <w:rPr>
          <w:rFonts w:asciiTheme="majorHAnsi" w:hAnsiTheme="majorHAnsi" w:cstheme="majorHAnsi"/>
          <w:bCs/>
          <w:sz w:val="22"/>
        </w:rPr>
        <w:t xml:space="preserve"> = 0), with </w:t>
      </w:r>
      <w:proofErr w:type="spellStart"/>
      <w:r w:rsidRPr="002745DC">
        <w:rPr>
          <w:rFonts w:asciiTheme="majorHAnsi" w:hAnsiTheme="majorHAnsi" w:cstheme="majorHAnsi"/>
          <w:bCs/>
          <w:sz w:val="22"/>
        </w:rPr>
        <w:t>minSize</w:t>
      </w:r>
      <w:proofErr w:type="spellEnd"/>
      <w:r w:rsidRPr="002745DC">
        <w:rPr>
          <w:rFonts w:asciiTheme="majorHAnsi" w:hAnsiTheme="majorHAnsi" w:cstheme="majorHAnsi"/>
          <w:bCs/>
          <w:sz w:val="22"/>
        </w:rPr>
        <w:t xml:space="preserve"> = 10, </w:t>
      </w:r>
      <w:proofErr w:type="spellStart"/>
      <w:r w:rsidRPr="002745DC">
        <w:rPr>
          <w:rFonts w:asciiTheme="majorHAnsi" w:hAnsiTheme="majorHAnsi" w:cstheme="majorHAnsi"/>
          <w:bCs/>
          <w:sz w:val="22"/>
        </w:rPr>
        <w:t>maxSize</w:t>
      </w:r>
      <w:proofErr w:type="spellEnd"/>
      <w:r w:rsidRPr="002745DC">
        <w:rPr>
          <w:rFonts w:asciiTheme="majorHAnsi" w:hAnsiTheme="majorHAnsi" w:cstheme="majorHAnsi"/>
          <w:bCs/>
          <w:sz w:val="22"/>
        </w:rPr>
        <w:t xml:space="preserve"> = 1000, </w:t>
      </w:r>
      <w:proofErr w:type="spellStart"/>
      <w:r w:rsidRPr="002745DC">
        <w:rPr>
          <w:rFonts w:asciiTheme="majorHAnsi" w:hAnsiTheme="majorHAnsi" w:cstheme="majorHAnsi"/>
          <w:bCs/>
          <w:sz w:val="22"/>
        </w:rPr>
        <w:t>nPermSimple</w:t>
      </w:r>
      <w:proofErr w:type="spellEnd"/>
      <w:r w:rsidRPr="002745DC">
        <w:rPr>
          <w:rFonts w:asciiTheme="majorHAnsi" w:hAnsiTheme="majorHAnsi" w:cstheme="majorHAnsi"/>
          <w:bCs/>
          <w:sz w:val="22"/>
        </w:rPr>
        <w:t xml:space="preserve"> = 1000, eps = 1e-7, seed 20261024 and </w:t>
      </w:r>
      <w:proofErr w:type="spellStart"/>
      <w:r w:rsidRPr="002745DC">
        <w:rPr>
          <w:rFonts w:asciiTheme="majorHAnsi" w:hAnsiTheme="majorHAnsi" w:cstheme="majorHAnsi"/>
          <w:bCs/>
          <w:sz w:val="22"/>
        </w:rPr>
        <w:t>SerialParam</w:t>
      </w:r>
      <w:proofErr w:type="spellEnd"/>
      <w:r w:rsidRPr="002745DC">
        <w:rPr>
          <w:rFonts w:asciiTheme="majorHAnsi" w:hAnsiTheme="majorHAnsi" w:cstheme="majorHAnsi"/>
          <w:bCs/>
          <w:sz w:val="22"/>
        </w:rPr>
        <w:t>. The normalized enrichment score (NES) scales the running-sum enrichment score against a null matched on gene-set size; positive NES indicates enrichment among genes with increased expression after perturbation, negative NES among genes with decreased expression. GSEA was then rerun with the top-1,500 48-hour EOMES targets removed from the ranked list, and therefore from every signature’s intersection with it. P-values were BH-adjusted.</w:t>
      </w:r>
    </w:p>
    <w:p w14:paraId="33C56A05" w14:textId="061012C8" w:rsidR="00292924" w:rsidRPr="002745DC" w:rsidRDefault="00292924">
      <w:pPr>
        <w:pStyle w:val="Methodsbody"/>
        <w:keepLines/>
        <w:spacing w:after="180"/>
        <w:rPr>
          <w:rFonts w:asciiTheme="majorHAnsi" w:hAnsiTheme="majorHAnsi" w:cstheme="majorHAnsi"/>
          <w:b/>
          <w:sz w:val="22"/>
        </w:rPr>
      </w:pPr>
      <w:r w:rsidRPr="002745DC">
        <w:rPr>
          <w:rFonts w:asciiTheme="majorHAnsi" w:hAnsiTheme="majorHAnsi" w:cstheme="majorHAnsi"/>
          <w:b/>
          <w:sz w:val="22"/>
        </w:rPr>
        <w:t>Reference</w:t>
      </w:r>
    </w:p>
    <w:p w14:paraId="66C67781" w14:textId="2990D19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[Cao et al. 2020] </w:t>
      </w:r>
      <w:r w:rsidRPr="002745DC">
        <w:rPr>
          <w:rFonts w:asciiTheme="majorHAnsi" w:hAnsiTheme="majorHAnsi" w:cstheme="majorHAnsi"/>
          <w:sz w:val="22"/>
        </w:rPr>
        <w:t xml:space="preserve">Cao, J., O’Day, D. R., Pliner, H. A., et al. (2020). A human cell atlas of fetal gene expression. Science, 370(6518), eaba7721. </w:t>
      </w:r>
      <w:r w:rsidRPr="002745DC">
        <w:rPr>
          <w:rFonts w:asciiTheme="majorHAnsi" w:hAnsiTheme="majorHAnsi" w:cstheme="majorHAnsi"/>
          <w:sz w:val="22"/>
        </w:rPr>
        <w:br/>
      </w:r>
      <w:hyperlink r:id="rId7">
        <w:r w:rsidR="00524CDC" w:rsidRPr="002745DC">
          <w:rPr>
            <w:rFonts w:asciiTheme="majorHAnsi" w:hAnsiTheme="majorHAnsi" w:cstheme="majorHAnsi"/>
            <w:sz w:val="22"/>
          </w:rPr>
          <w:t>https://doi.org/10.1126/science.aba7721</w:t>
        </w:r>
      </w:hyperlink>
    </w:p>
    <w:p w14:paraId="66E36E32"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[Danecek et al. 2021] </w:t>
      </w:r>
      <w:r w:rsidRPr="002745DC">
        <w:rPr>
          <w:rFonts w:asciiTheme="majorHAnsi" w:hAnsiTheme="majorHAnsi" w:cstheme="majorHAnsi"/>
          <w:sz w:val="22"/>
        </w:rPr>
        <w:t xml:space="preserve">Danecek, P., Bonfield, J. K., Liddle, J., et al. (2021). Twelve years of SAMtools and BCFtools. GigaScience, 10(2), giab008. </w:t>
      </w:r>
      <w:r w:rsidRPr="002745DC">
        <w:rPr>
          <w:rFonts w:asciiTheme="majorHAnsi" w:hAnsiTheme="majorHAnsi" w:cstheme="majorHAnsi"/>
          <w:sz w:val="22"/>
        </w:rPr>
        <w:br/>
      </w:r>
      <w:hyperlink r:id="rId8">
        <w:r w:rsidR="00524CDC" w:rsidRPr="002745DC">
          <w:rPr>
            <w:rFonts w:asciiTheme="majorHAnsi" w:hAnsiTheme="majorHAnsi" w:cstheme="majorHAnsi"/>
            <w:sz w:val="22"/>
          </w:rPr>
          <w:t>https://doi.org/10.1093/gigascience/giab008</w:t>
        </w:r>
      </w:hyperlink>
    </w:p>
    <w:p w14:paraId="3E07684E"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[Langmead and Salzberg 2012] </w:t>
      </w:r>
      <w:r w:rsidRPr="002745DC">
        <w:rPr>
          <w:rFonts w:asciiTheme="majorHAnsi" w:hAnsiTheme="majorHAnsi" w:cstheme="majorHAnsi"/>
          <w:sz w:val="22"/>
        </w:rPr>
        <w:t xml:space="preserve">Langmead, B., and Salzberg, S. L. (2012). Fast gapped-read alignment with Bowtie 2. Nature Methods, 9, 357–359. </w:t>
      </w:r>
      <w:r w:rsidRPr="002745DC">
        <w:rPr>
          <w:rFonts w:asciiTheme="majorHAnsi" w:hAnsiTheme="majorHAnsi" w:cstheme="majorHAnsi"/>
          <w:sz w:val="22"/>
        </w:rPr>
        <w:br/>
      </w:r>
      <w:hyperlink r:id="rId9">
        <w:r w:rsidR="00524CDC" w:rsidRPr="002745DC">
          <w:rPr>
            <w:rFonts w:asciiTheme="majorHAnsi" w:hAnsiTheme="majorHAnsi" w:cstheme="majorHAnsi"/>
            <w:sz w:val="22"/>
          </w:rPr>
          <w:t>https://doi.org/10.1038/nmeth.1923</w:t>
        </w:r>
      </w:hyperlink>
    </w:p>
    <w:p w14:paraId="3D3940A4"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[Li et al. 2011] </w:t>
      </w:r>
      <w:r w:rsidRPr="002745DC">
        <w:rPr>
          <w:rFonts w:asciiTheme="majorHAnsi" w:hAnsiTheme="majorHAnsi" w:cstheme="majorHAnsi"/>
          <w:sz w:val="22"/>
        </w:rPr>
        <w:t xml:space="preserve">Li, Q., Brown, J. B., Huang, H., and Bickel, P. J. (2011). Measuring reproducibility of high-throughput experiments. The Annals of Applied Statistics, 5(3), 1752–1779. </w:t>
      </w:r>
      <w:r w:rsidRPr="002745DC">
        <w:rPr>
          <w:rFonts w:asciiTheme="majorHAnsi" w:hAnsiTheme="majorHAnsi" w:cstheme="majorHAnsi"/>
          <w:sz w:val="22"/>
        </w:rPr>
        <w:br/>
      </w:r>
      <w:hyperlink r:id="rId10">
        <w:r w:rsidR="00524CDC" w:rsidRPr="002745DC">
          <w:rPr>
            <w:rFonts w:asciiTheme="majorHAnsi" w:hAnsiTheme="majorHAnsi" w:cstheme="majorHAnsi"/>
            <w:sz w:val="22"/>
          </w:rPr>
          <w:t>https://doi.org/10.1214/11-AOAS466</w:t>
        </w:r>
      </w:hyperlink>
    </w:p>
    <w:p w14:paraId="5871B848"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[Li et al. 2019] </w:t>
      </w:r>
      <w:r w:rsidRPr="002745DC">
        <w:rPr>
          <w:rFonts w:asciiTheme="majorHAnsi" w:hAnsiTheme="majorHAnsi" w:cstheme="majorHAnsi"/>
          <w:sz w:val="22"/>
        </w:rPr>
        <w:t xml:space="preserve">Li, Q. V., Dixon, G., Verma, N., et al. (2019). Genome-scale screens identify JNK–JUN signaling as a barrier for pluripotency exit and endoderm differentiation. Nature Genetics, 51, 999–1010. </w:t>
      </w:r>
      <w:r w:rsidRPr="002745DC">
        <w:rPr>
          <w:rFonts w:asciiTheme="majorHAnsi" w:hAnsiTheme="majorHAnsi" w:cstheme="majorHAnsi"/>
          <w:sz w:val="22"/>
        </w:rPr>
        <w:br/>
      </w:r>
      <w:hyperlink r:id="rId11">
        <w:r w:rsidR="00524CDC" w:rsidRPr="002745DC">
          <w:rPr>
            <w:rFonts w:asciiTheme="majorHAnsi" w:hAnsiTheme="majorHAnsi" w:cstheme="majorHAnsi"/>
            <w:sz w:val="22"/>
          </w:rPr>
          <w:t>https://doi.org/10.1038/s41588-019-0408-9</w:t>
        </w:r>
      </w:hyperlink>
    </w:p>
    <w:p w14:paraId="1DB780CB"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[Luo et al. 2023] </w:t>
      </w:r>
      <w:r w:rsidRPr="002745DC">
        <w:rPr>
          <w:rFonts w:asciiTheme="majorHAnsi" w:hAnsiTheme="majorHAnsi" w:cstheme="majorHAnsi"/>
          <w:sz w:val="22"/>
        </w:rPr>
        <w:t xml:space="preserve">Luo, R., Yan, J., Oh, J. W., et al. (2023). Dynamic network-guided CRISPRi screen identifies CTCF-loop-constrained nonlinear enhancer gene regulatory activity during cell state transitions. Nature Genetics, 55, 1336–1346. </w:t>
      </w:r>
      <w:r w:rsidRPr="002745DC">
        <w:rPr>
          <w:rFonts w:asciiTheme="majorHAnsi" w:hAnsiTheme="majorHAnsi" w:cstheme="majorHAnsi"/>
          <w:sz w:val="22"/>
        </w:rPr>
        <w:br/>
      </w:r>
      <w:hyperlink r:id="rId12">
        <w:r w:rsidR="00524CDC" w:rsidRPr="002745DC">
          <w:rPr>
            <w:rFonts w:asciiTheme="majorHAnsi" w:hAnsiTheme="majorHAnsi" w:cstheme="majorHAnsi"/>
            <w:sz w:val="22"/>
          </w:rPr>
          <w:t>https://doi.org/10.1038/s41588-023-01450-7</w:t>
        </w:r>
      </w:hyperlink>
    </w:p>
    <w:p w14:paraId="23D4AF09"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[Tyser et al. 2021] </w:t>
      </w:r>
      <w:r w:rsidRPr="002745DC">
        <w:rPr>
          <w:rFonts w:asciiTheme="majorHAnsi" w:hAnsiTheme="majorHAnsi" w:cstheme="majorHAnsi"/>
          <w:sz w:val="22"/>
        </w:rPr>
        <w:t xml:space="preserve">Tyser, R. C. V., Mahammadov, E., Nakanoh, S., et al. (2021). Single-cell transcriptomic characterization of a gastrulating human embryo. Nature, 600, 285–289. </w:t>
      </w:r>
      <w:r w:rsidRPr="002745DC">
        <w:rPr>
          <w:rFonts w:asciiTheme="majorHAnsi" w:hAnsiTheme="majorHAnsi" w:cstheme="majorHAnsi"/>
          <w:sz w:val="22"/>
        </w:rPr>
        <w:br/>
      </w:r>
      <w:hyperlink r:id="rId13">
        <w:r w:rsidR="00524CDC" w:rsidRPr="002745DC">
          <w:rPr>
            <w:rFonts w:asciiTheme="majorHAnsi" w:hAnsiTheme="majorHAnsi" w:cstheme="majorHAnsi"/>
            <w:sz w:val="22"/>
          </w:rPr>
          <w:t>https://doi.org/10.1038/s41586-021-04158-y</w:t>
        </w:r>
      </w:hyperlink>
    </w:p>
    <w:p w14:paraId="314BA418" w14:textId="77777777" w:rsidR="00524CDC" w:rsidRPr="002745DC" w:rsidRDefault="00000000">
      <w:pPr>
        <w:pStyle w:val="Methodsbody"/>
        <w:keepLines/>
        <w:spacing w:after="180"/>
        <w:rPr>
          <w:rFonts w:asciiTheme="majorHAnsi" w:hAnsiTheme="majorHAnsi" w:cstheme="majorHAnsi"/>
          <w:sz w:val="22"/>
        </w:rPr>
      </w:pPr>
      <w:r w:rsidRPr="002745DC">
        <w:rPr>
          <w:rFonts w:asciiTheme="majorHAnsi" w:hAnsiTheme="majorHAnsi" w:cstheme="majorHAnsi"/>
          <w:b/>
          <w:sz w:val="22"/>
        </w:rPr>
        <w:t xml:space="preserve">[Zhang et al. 2008] </w:t>
      </w:r>
      <w:r w:rsidRPr="002745DC">
        <w:rPr>
          <w:rFonts w:asciiTheme="majorHAnsi" w:hAnsiTheme="majorHAnsi" w:cstheme="majorHAnsi"/>
          <w:sz w:val="22"/>
        </w:rPr>
        <w:t xml:space="preserve">Zhang, Y., Liu, T., Meyer, C. A., et al. (2008). Model-based Analysis of ChIP-Seq (MACS). Genome Biology, 9, R137. </w:t>
      </w:r>
      <w:r w:rsidRPr="002745DC">
        <w:rPr>
          <w:rFonts w:asciiTheme="majorHAnsi" w:hAnsiTheme="majorHAnsi" w:cstheme="majorHAnsi"/>
          <w:sz w:val="22"/>
        </w:rPr>
        <w:br/>
      </w:r>
      <w:hyperlink r:id="rId14">
        <w:r w:rsidR="00524CDC" w:rsidRPr="002745DC">
          <w:rPr>
            <w:rFonts w:asciiTheme="majorHAnsi" w:hAnsiTheme="majorHAnsi" w:cstheme="majorHAnsi"/>
            <w:sz w:val="22"/>
          </w:rPr>
          <w:t>https://doi.org/10.1186/gb-2008-9-9-r137</w:t>
        </w:r>
      </w:hyperlink>
    </w:p>
    <w:sectPr w:rsidR="00524CDC" w:rsidRPr="002745DC" w:rsidSect="00034616">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326967">
    <w:abstractNumId w:val="8"/>
  </w:num>
  <w:num w:numId="2" w16cid:durableId="1817336264">
    <w:abstractNumId w:val="6"/>
  </w:num>
  <w:num w:numId="3" w16cid:durableId="1101604567">
    <w:abstractNumId w:val="5"/>
  </w:num>
  <w:num w:numId="4" w16cid:durableId="1690526088">
    <w:abstractNumId w:val="4"/>
  </w:num>
  <w:num w:numId="5" w16cid:durableId="1075516347">
    <w:abstractNumId w:val="7"/>
  </w:num>
  <w:num w:numId="6" w16cid:durableId="957032359">
    <w:abstractNumId w:val="3"/>
  </w:num>
  <w:num w:numId="7" w16cid:durableId="1831604712">
    <w:abstractNumId w:val="2"/>
  </w:num>
  <w:num w:numId="8" w16cid:durableId="2123839681">
    <w:abstractNumId w:val="1"/>
  </w:num>
  <w:num w:numId="9" w16cid:durableId="13429707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CA"/>
    <w:rsid w:val="00034616"/>
    <w:rsid w:val="0006063C"/>
    <w:rsid w:val="000D6EC4"/>
    <w:rsid w:val="0015074B"/>
    <w:rsid w:val="002745DC"/>
    <w:rsid w:val="00292924"/>
    <w:rsid w:val="0029639D"/>
    <w:rsid w:val="00315F49"/>
    <w:rsid w:val="00326F90"/>
    <w:rsid w:val="003A1E51"/>
    <w:rsid w:val="004F768F"/>
    <w:rsid w:val="00524CDC"/>
    <w:rsid w:val="00546EFD"/>
    <w:rsid w:val="007157CC"/>
    <w:rsid w:val="00764523"/>
    <w:rsid w:val="00807963"/>
    <w:rsid w:val="00824C1F"/>
    <w:rsid w:val="00A1784F"/>
    <w:rsid w:val="00AA1D8D"/>
    <w:rsid w:val="00B4250D"/>
    <w:rsid w:val="00B47730"/>
    <w:rsid w:val="00C157EC"/>
    <w:rsid w:val="00C422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F5ADC"/>
  <w14:defaultImageDpi w14:val="300"/>
  <w15:docId w15:val="{9AF3D890-5586-7C48-BBBA-83A474CC9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160" w:after="0"/>
    </w:pPr>
    <w:rPr>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image">
    <w:name w:val="Figure image"/>
    <w:pPr>
      <w:keepNext/>
      <w:spacing w:after="0" w:line="240" w:lineRule="auto"/>
      <w:jc w:val="center"/>
    </w:pPr>
    <w:rPr>
      <w:rFonts w:ascii="Calibri" w:hAnsi="Calibri"/>
      <w:color w:val="000000"/>
      <w:sz w:val="2"/>
    </w:rPr>
  </w:style>
  <w:style w:type="paragraph" w:customStyle="1" w:styleId="Methodsbody">
    <w:name w:val="Methods body"/>
    <w:basedOn w:val="Normal"/>
    <w:pPr>
      <w:spacing w:line="259" w:lineRule="auto"/>
    </w:pPr>
    <w:rPr>
      <w:sz w:val="21"/>
    </w:rPr>
  </w:style>
  <w:style w:type="paragraph" w:customStyle="1" w:styleId="Methodsheading">
    <w:name w:val="Methods heading"/>
    <w:basedOn w:val="Normal"/>
    <w:pPr>
      <w:keepNext/>
      <w:spacing w:before="200" w:after="100" w:line="259" w:lineRule="auto"/>
    </w:pPr>
    <w:rPr>
      <w:b/>
      <w:sz w:val="24"/>
    </w:rPr>
  </w:style>
  <w:style w:type="paragraph" w:customStyle="1" w:styleId="Methodstitle">
    <w:name w:val="Methods title"/>
    <w:basedOn w:val="Normal"/>
    <w:pPr>
      <w:keepNext/>
      <w:spacing w:after="200" w:line="259" w:lineRule="auto"/>
    </w:pPr>
    <w:rPr>
      <w:b/>
      <w:sz w:val="32"/>
    </w:rPr>
  </w:style>
  <w:style w:type="paragraph" w:customStyle="1" w:styleId="Methodscode">
    <w:name w:val="Methods code"/>
    <w:basedOn w:val="Normal"/>
    <w:pPr>
      <w:spacing w:after="100" w:line="259"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gigascience/giab008" TargetMode="External"/><Relationship Id="rId13" Type="http://schemas.openxmlformats.org/officeDocument/2006/relationships/hyperlink" Target="https://doi.org/10.1038/s41586-021-04158-y" TargetMode="External"/><Relationship Id="rId3" Type="http://schemas.openxmlformats.org/officeDocument/2006/relationships/styles" Target="styles.xml"/><Relationship Id="rId7" Type="http://schemas.openxmlformats.org/officeDocument/2006/relationships/hyperlink" Target="https://doi.org/10.1126/science.aba7721" TargetMode="External"/><Relationship Id="rId12" Type="http://schemas.openxmlformats.org/officeDocument/2006/relationships/hyperlink" Target="https://doi.org/10.1038/s41588-023-01450-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38/s41588-019-040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214/11-AOAS466" TargetMode="External"/><Relationship Id="rId4" Type="http://schemas.openxmlformats.org/officeDocument/2006/relationships/settings" Target="settings.xml"/><Relationship Id="rId9" Type="http://schemas.openxmlformats.org/officeDocument/2006/relationships/hyperlink" Target="https://doi.org/10.1038/nmeth.1923" TargetMode="External"/><Relationship Id="rId14" Type="http://schemas.openxmlformats.org/officeDocument/2006/relationships/hyperlink" Target="https://doi.org/10.1186/gb-2008-9-9-r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1138</Words>
  <Characters>6844</Characters>
  <Application>Microsoft Office Word</Application>
  <DocSecurity>0</DocSecurity>
  <Lines>88</Lines>
  <Paragraphs>31</Paragraphs>
  <ScaleCrop>false</ScaleCrop>
  <HeadingPairs>
    <vt:vector size="2" baseType="variant">
      <vt:variant>
        <vt:lpstr>Title</vt:lpstr>
      </vt:variant>
      <vt:variant>
        <vt:i4>1</vt:i4>
      </vt:variant>
    </vt:vector>
  </HeadingPairs>
  <TitlesOfParts>
    <vt:vector size="1" baseType="lpstr">
      <vt:lpstr>48-hour EOMES targets and cell-fate programs</vt:lpstr>
    </vt:vector>
  </TitlesOfParts>
  <Manager/>
  <Company/>
  <LinksUpToDate>false</LinksUpToDate>
  <CharactersWithSpaces>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48-hour EOMES targets and cell-fate programs</dc:title>
  <dc:subject/>
  <dc:creator/>
  <cp:keywords/>
  <dc:description>generated by python-docx</dc:description>
  <cp:lastModifiedBy>Sun, Wei</cp:lastModifiedBy>
  <cp:revision>16</cp:revision>
  <dcterms:created xsi:type="dcterms:W3CDTF">2013-12-23T23:15:00Z</dcterms:created>
  <dcterms:modified xsi:type="dcterms:W3CDTF">2026-10-25T06:04:00Z</dcterms:modified>
  <cp:category/>
</cp:coreProperties>
</file>