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8321040" cy="5703815"/>
            <wp:docPr id="1" name="Picture 1" descr="Panel A: separate upregulated and downregulated DE enrichment for the 48-hour top 500 and top 1,500 ChIP targets. Panels B and C: cell-fate GSEA before and after removing the 48-hour top 1,500 targets. Columns are perturbation metho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hip48_and_cell_f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5703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1. 48-hour EOMES ChIP targets and cell-fate programs after EOMES perturbation. </w:t>
      </w:r>
      <w:r>
        <w:t>(A) Enrichment of upregulated and downregulated DE genes among the fixed top 500 (left) and top 1,500 (right) 48-hour ChIP targets. Values are observed/expected overlaps; * one-sided Fisher BH q &lt; 0.05 across 20 tests. (B, C) Unweighted GSEA of cell-type signatures using all expression-eligible genes (B) or excluding the 48-hour top 1,500 targets (C). Values are normalized enrichment scores (NES); red indicates higher and blue lower expression after perturbation. * BH q &lt; 0.05 across all tested signatures and five contrasts, separately per panel. References: Tyser et al. (2021), human gastrula; Cao et al. (2020), human fetal atlas. DE2 denotes anterior-enriched definitive endoderm. Whole-gene and knock-in KO share WT samples; both degron comparisons share perturbed samples, with matched uninduced or auxin-treated parental controls. Reference similarity does not assign a cell fate; genes outside the target list are not proven indirect targets.</w:t>
      </w:r>
    </w:p>
    <w:sectPr w:rsidR="00FC693F" w:rsidRPr="0006063C" w:rsidSect="00034616">
      <w:pgSz w:w="15840" w:h="12240" w:orient="landscape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 w:before="0"/>
      <w:jc w:val="left"/>
    </w:pPr>
    <w:rPr>
      <w:rFonts w:ascii="Calibri" w:hAnsi="Calibr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 w:before="0"/>
      <w:jc w:val="left"/>
    </w:pPr>
    <w:rPr>
      <w:rFonts w:ascii="Calibri" w:hAnsi="Calibr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  <w:jc w:val="left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64" w:lineRule="auto" w:before="160" w:after="0"/>
      <w:jc w:val="left"/>
    </w:pPr>
    <w:rPr>
      <w:rFonts w:ascii="Calibri" w:hAnsi="Calibri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image">
    <w:name w:val="Figure image"/>
    <w:pPr>
      <w:keepNext/>
      <w:spacing w:before="0" w:after="0" w:line="240" w:lineRule="auto"/>
      <w:jc w:val="center"/>
    </w:pPr>
    <w:rPr>
      <w:rFonts w:ascii="Calibri" w:hAnsi="Calibri"/>
      <w:b w:val="0"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48-hour EOMES targets and cell-fate programs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