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SOC Incident Investigation Report</w:t>
      </w:r>
    </w:p>
    <w:p>
      <w:pPr>
        <w:pStyle w:val="Heading1"/>
      </w:pPr>
      <w:r>
        <w:t>1. Executive Summary</w:t>
      </w:r>
    </w:p>
    <w:p>
      <w:r>
        <w:t>Provide a brief overview of the incident, affected systems, and overall impact.</w:t>
      </w:r>
    </w:p>
    <w:p>
      <w:pPr>
        <w:pStyle w:val="Heading1"/>
      </w:pPr>
      <w:r>
        <w:t>2. Incident Overview</w:t>
      </w:r>
    </w:p>
    <w:p>
      <w:r>
        <w:t>Date Detected:</w:t>
      </w:r>
    </w:p>
    <w:p>
      <w:r>
        <w:t>Reported By:</w:t>
      </w:r>
    </w:p>
    <w:p>
      <w:r>
        <w:t>Severity Level:</w:t>
      </w:r>
    </w:p>
    <w:p>
      <w:r>
        <w:t>Affected Systems:</w:t>
      </w:r>
    </w:p>
    <w:p>
      <w:r>
        <w:t>Attack Type:</w:t>
      </w:r>
    </w:p>
    <w:p>
      <w:pPr>
        <w:pStyle w:val="Heading1"/>
      </w:pPr>
      <w:r>
        <w:t>3. Attack Timeline</w:t>
      </w:r>
    </w:p>
    <w:p>
      <w:r>
        <w:t>List chronological events observed during the investigation (include timestamps, event IDs, and descriptions).</w:t>
      </w:r>
    </w:p>
    <w:p>
      <w:pPr>
        <w:pStyle w:val="Heading1"/>
      </w:pPr>
      <w:r>
        <w:t>4. Indicators of Compromise (IOCs)</w:t>
      </w:r>
    </w:p>
    <w:p>
      <w:r>
        <w:t>IP Addresses:</w:t>
      </w:r>
    </w:p>
    <w:p>
      <w:r>
        <w:t>Usernames:</w:t>
      </w:r>
    </w:p>
    <w:p>
      <w:r>
        <w:t>File Paths:</w:t>
      </w:r>
    </w:p>
    <w:p>
      <w:r>
        <w:t>Registry Keys:</w:t>
      </w:r>
    </w:p>
    <w:p>
      <w:r>
        <w:t>Scheduled Tasks:</w:t>
      </w:r>
    </w:p>
    <w:p>
      <w:pPr>
        <w:pStyle w:val="Heading1"/>
      </w:pPr>
      <w:r>
        <w:t>5. Log Analysis</w:t>
      </w:r>
    </w:p>
    <w:p>
      <w:r>
        <w:t>Describe key log evidence discovered from:</w:t>
      </w:r>
    </w:p>
    <w:p>
      <w:r>
        <w:t>- Windows Security Logs</w:t>
      </w:r>
    </w:p>
    <w:p>
      <w:r>
        <w:t>- Sysmon Logs</w:t>
      </w:r>
    </w:p>
    <w:p>
      <w:r>
        <w:t>- Wazuh SIEM Alerts</w:t>
      </w:r>
    </w:p>
    <w:p>
      <w:pPr>
        <w:pStyle w:val="Heading1"/>
      </w:pPr>
      <w:r>
        <w:t>6. MITRE ATT&amp;CK Mapping</w:t>
      </w:r>
    </w:p>
    <w:p>
      <w:r>
        <w:t>Document attacker techniques mapped to MITRE ATT&amp;CK (e.g., Brute Force T1110, Privilege Escalation T1068, Scheduled Task T1053).</w:t>
      </w:r>
    </w:p>
    <w:p>
      <w:pPr>
        <w:pStyle w:val="Heading1"/>
      </w:pPr>
      <w:r>
        <w:t>7. Root Cause Analysis</w:t>
      </w:r>
    </w:p>
    <w:p>
      <w:r>
        <w:t>Explain how the attacker gained access and why the attack succeeded.</w:t>
      </w:r>
    </w:p>
    <w:p>
      <w:pPr>
        <w:pStyle w:val="Heading1"/>
      </w:pPr>
      <w:r>
        <w:t>8. Impact Assessment</w:t>
      </w:r>
    </w:p>
    <w:p>
      <w:r>
        <w:t>Describe potential business or system impact of the attack.</w:t>
      </w:r>
    </w:p>
    <w:p>
      <w:pPr>
        <w:pStyle w:val="Heading1"/>
      </w:pPr>
      <w:r>
        <w:t>9. Remediation &amp; Mitigation</w:t>
      </w:r>
    </w:p>
    <w:p>
      <w:r>
        <w:t>Recommended defensive improvements (password policies, monitoring rules, access control).</w:t>
      </w:r>
    </w:p>
    <w:p>
      <w:pPr>
        <w:pStyle w:val="Heading1"/>
      </w:pPr>
      <w:r>
        <w:t>10. Lessons Learned</w:t>
      </w:r>
    </w:p>
    <w:p>
      <w:r>
        <w:t>Key security insights gained from the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