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0"/>
          <w:szCs w:val="30"/>
        </w:rPr>
        <w:t xml:space="preserve">修正例：アブストラクト・イントロダクション</w:t>
      </w:r>
    </w:p>
    <w:p>
      <w:pPr>
        <w:spacing w:after="240"/>
        <w:jc w:val="center"/>
      </w:pPr>
      <w:r>
        <w:rPr>
          <w:rFonts w:ascii="Yu Gothic" w:cs="Yu Gothic" w:eastAsia="Yu Gothic" w:hAnsi="Yu Gothic"/>
          <w:color w:val="595959"/>
          <w:sz w:val="19"/>
          <w:szCs w:val="19"/>
        </w:rPr>
        <w:t xml:space="preserve">Shimizu et al., “Effects of Observing a Robot Expressing Approach-Avoidance Conflict …”／赤字＝修正・追記部分</w:t>
      </w:r>
    </w:p>
    <w:p>
      <w:pPr>
        <w:pStyle w:val="Heading1"/>
        <w:spacing w:after="160" w:before="360"/>
      </w:pPr>
      <w:r>
        <w:rPr>
          <w:rFonts w:ascii="Yu Gothic" w:cs="Yu Gothic" w:eastAsia="Yu Gothic" w:hAnsi="Yu Gothic"/>
          <w:b/>
          <w:bCs/>
          <w:color w:val="1F3864"/>
          <w:sz w:val="28"/>
          <w:szCs w:val="28"/>
        </w:rPr>
        <w:t xml:space="preserve">修正例①　アブストラクト冒頭（唐突さの解消）</w:t>
      </w:r>
    </w:p>
    <w:p>
      <w:pPr>
        <w:spacing w:after="120"/>
      </w:pPr>
      <w:r>
        <w:rPr>
          <w:rFonts w:ascii="Yu Gothic" w:cs="Yu Gothic" w:eastAsia="Yu Gothic" w:hAnsi="Yu Gothic"/>
          <w:color w:val="595959"/>
          <w:sz w:val="19"/>
          <w:szCs w:val="19"/>
        </w:rPr>
        <w:t xml:space="preserve">コメント：「Robots can externalize…」からの書き出しは唐突。①勇気ある態度の観察が観察者自身の勇気に影響しうること、②しかし内部状態の観察は人間同士では難しいこと、③それに対してロボットは内的状態を外在化できること、の順で導入する。</w:t>
      </w:r>
    </w:p>
    <w:p>
      <w:pPr>
        <w:spacing w:after="100" w:before="240"/>
      </w:pPr>
      <w:r>
        <w:rPr>
          <w:rFonts w:ascii="Yu Gothic" w:cs="Yu Gothic" w:eastAsia="Yu Gothic" w:hAnsi="Yu Gothic"/>
          <w:b/>
          <w:bCs/>
          <w:sz w:val="22"/>
          <w:szCs w:val="22"/>
        </w:rPr>
        <w:t xml:space="preserve">元の文章</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sz w:val="22"/>
          <w:szCs w:val="22"/>
        </w:rPr>
        <w:t xml:space="preserve">Robots can externalize pre-action internal states in a controlled and reproducible form, but it remains unclear whether observing such states influences how people evaluate their own capacity to act despite fear.</w:t>
      </w:r>
    </w:p>
    <w:p>
      <w:pPr>
        <w:spacing w:after="100" w:before="240"/>
      </w:pPr>
      <w:r>
        <w:rPr>
          <w:rFonts w:ascii="Yu Gothic" w:cs="Yu Gothic" w:eastAsia="Yu Gothic" w:hAnsi="Yu Gothic"/>
          <w:b/>
          <w:bCs/>
          <w:sz w:val="22"/>
          <w:szCs w:val="22"/>
        </w:rPr>
        <w:t xml:space="preserve">修正例</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color w:val="C00000"/>
          <w:sz w:val="22"/>
          <w:szCs w:val="22"/>
        </w:rPr>
        <w:t xml:space="preserve">Observing another agent overcome internal conflict and act despite fear may strengthen observers’ evaluations of their own courage. However, attitudes such as courage are defined not only by overt behavior but also by covert pre-action states—fear, hesitation, and competing motives—that are difficult to observe and standardize when the model is another human. Robots, by contrast, can externalize such internal states through various expressive channels in a controlled and reproducible form. </w:t>
      </w:r>
      <w:r>
        <w:rPr>
          <w:rFonts w:ascii="Times New Roman" w:cs="Times New Roman" w:eastAsia="Times New Roman" w:hAnsi="Times New Roman"/>
          <w:sz w:val="22"/>
          <w:szCs w:val="22"/>
        </w:rPr>
        <w:t xml:space="preserve">Yet it remains unclear whether observing such robot-expressed states influences how people evaluate their own capacity to act despite fear.</w:t>
      </w:r>
    </w:p>
    <w:p>
      <w:pPr>
        <w:spacing w:after="120"/>
      </w:pPr>
      <w:r>
        <w:rPr>
          <w:rFonts w:ascii="Yu Gothic" w:cs="Yu Gothic" w:eastAsia="Yu Gothic" w:hAnsi="Yu Gothic"/>
          <w:color w:val="595959"/>
          <w:sz w:val="19"/>
          <w:szCs w:val="19"/>
        </w:rPr>
        <w:t xml:space="preserve">ポイント：観察学習→内部状態の観察困難性→ロボットによる外在化、という三段の論理で、既存の第2文（We examined whether…）に自然につながるようにしています。</w:t>
      </w:r>
    </w:p>
    <w:p>
      <w:pPr>
        <w:pStyle w:val="Heading1"/>
        <w:spacing w:after="160" w:before="360"/>
      </w:pPr>
      <w:r>
        <w:rPr>
          <w:rFonts w:ascii="Yu Gothic" w:cs="Yu Gothic" w:eastAsia="Yu Gothic" w:hAnsi="Yu Gothic"/>
          <w:b/>
          <w:bCs/>
          <w:color w:val="1F3864"/>
          <w:sz w:val="28"/>
          <w:szCs w:val="28"/>
        </w:rPr>
        <w:t xml:space="preserve">修正例②　研究の位置づけの明確化</w:t>
      </w:r>
    </w:p>
    <w:p>
      <w:pPr>
        <w:spacing w:after="120"/>
      </w:pPr>
      <w:r>
        <w:rPr>
          <w:rFonts w:ascii="Yu Gothic" w:cs="Yu Gothic" w:eastAsia="Yu Gothic" w:hAnsi="Yu Gothic"/>
          <w:color w:val="595959"/>
          <w:sz w:val="19"/>
          <w:szCs w:val="19"/>
        </w:rPr>
        <w:t xml:space="preserve">コメント：本研究が (A)「勇気ある振る舞いの観察が観察者の勇気を高めるか」を検討する人間の心理学研究なのか、(B)「周囲に勇気を抱かせるロボット」の開発研究なのかを明確にする。投稿誌を考えると (B) の方が通りやすい。イントロ最終段落（“We conducted two studies.” の段落）の末尾に、どちらかの一文を追加する想定です。</w:t>
      </w:r>
    </w:p>
    <w:p>
      <w:pPr>
        <w:spacing w:after="100" w:before="240"/>
      </w:pPr>
      <w:r>
        <w:rPr>
          <w:rFonts w:ascii="Yu Gothic" w:cs="Yu Gothic" w:eastAsia="Yu Gothic" w:hAnsi="Yu Gothic"/>
          <w:b/>
          <w:bCs/>
          <w:sz w:val="22"/>
          <w:szCs w:val="22"/>
        </w:rPr>
        <w:t xml:space="preserve">案A：ロボット設計研究として位置づける場合（投稿誌との相性がよい）</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color w:val="C00000"/>
          <w:sz w:val="22"/>
          <w:szCs w:val="22"/>
        </w:rPr>
        <w:t xml:space="preserve">The primary aim of this research is thus to inform the design of expressive social robots: we examine whether, and for whom, a robot’s externalization of pre-action conflict functions as an effective social model that supports users’ self-evaluations of personal courage.</w:t>
      </w:r>
    </w:p>
    <w:p>
      <w:pPr>
        <w:spacing w:after="100" w:before="240"/>
      </w:pPr>
      <w:r>
        <w:rPr>
          <w:rFonts w:ascii="Yu Gothic" w:cs="Yu Gothic" w:eastAsia="Yu Gothic" w:hAnsi="Yu Gothic"/>
          <w:b/>
          <w:bCs/>
          <w:sz w:val="22"/>
          <w:szCs w:val="22"/>
        </w:rPr>
        <w:t xml:space="preserve">案B：人間の心理学研究として位置づける場合</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color w:val="C00000"/>
          <w:sz w:val="22"/>
          <w:szCs w:val="22"/>
        </w:rPr>
        <w:t xml:space="preserve">The primary aim of this research is to advance the psychology of personal courage by testing whether observing a model’s pre-action conflict changes observers’ self-evaluations; the robot serves as a methodological tool that makes such covert states observable and controllable across conditions.</w:t>
      </w:r>
    </w:p>
    <w:p>
      <w:pPr>
        <w:spacing w:after="120"/>
      </w:pPr>
      <w:r>
        <w:rPr>
          <w:rFonts w:ascii="Yu Gothic" w:cs="Yu Gothic" w:eastAsia="Yu Gothic" w:hAnsi="Yu Gothic"/>
          <w:color w:val="595959"/>
          <w:sz w:val="19"/>
          <w:szCs w:val="19"/>
        </w:rPr>
        <w:t xml:space="preserve">案Bを採る場合は、ロボットを用いる意義（統制可能性・内部表現の可視化）をイントロで厚く述べる必要があります（→修正例③がその役割を果たします）。</w:t>
      </w:r>
    </w:p>
    <w:p>
      <w:pPr>
        <w:pStyle w:val="Heading1"/>
        <w:spacing w:after="160" w:before="360"/>
      </w:pPr>
      <w:r>
        <w:rPr>
          <w:rFonts w:ascii="Yu Gothic" w:cs="Yu Gothic" w:eastAsia="Yu Gothic" w:hAnsi="Yu Gothic"/>
          <w:b/>
          <w:bCs/>
          <w:color w:val="1F3864"/>
          <w:sz w:val="28"/>
          <w:szCs w:val="28"/>
        </w:rPr>
        <w:t xml:space="preserve">修正例③　イントロへの追記（ロボットを用いる意義＋近年の知見）</w:t>
      </w:r>
    </w:p>
    <w:p>
      <w:pPr>
        <w:spacing w:after="120"/>
      </w:pPr>
      <w:r>
        <w:rPr>
          <w:rFonts w:ascii="Yu Gothic" w:cs="Yu Gothic" w:eastAsia="Yu Gothic" w:hAnsi="Yu Gothic"/>
          <w:color w:val="595959"/>
          <w:sz w:val="19"/>
          <w:szCs w:val="19"/>
        </w:rPr>
        <w:t xml:space="preserve">コメント：ロボットは人間に比べ (1) 振る舞いを統制しやすい、(2) 内部表現の提示が可能、という心理学研究上のメリットがあること、また近年の研究からロボットの態度・振る舞いが人間に大きな影響を与えることが示されていることを書く。イントロ第5段落（“However, fear and hesitation are covert states…”）を以下のように拡張する例です。</w:t>
      </w:r>
    </w:p>
    <w:p>
      <w:pPr>
        <w:spacing w:after="100" w:before="240"/>
      </w:pPr>
      <w:r>
        <w:rPr>
          <w:rFonts w:ascii="Yu Gothic" w:cs="Yu Gothic" w:eastAsia="Yu Gothic" w:hAnsi="Yu Gothic"/>
          <w:b/>
          <w:bCs/>
          <w:sz w:val="22"/>
          <w:szCs w:val="22"/>
        </w:rPr>
        <w:t xml:space="preserve">元の文章</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sz w:val="22"/>
          <w:szCs w:val="22"/>
        </w:rPr>
        <w:t xml:space="preserve">However, fear and hesitation are covert states that are difficult to present in a standardized form using human models. Robots can explicitly externalize such pre-action states while keeping their appearance and overt behavior relatively consistent across conditions, thereby providing a controlled social model for examining how expressed conflict relates to observers’ self-evaluations.</w:t>
      </w:r>
    </w:p>
    <w:p>
      <w:pPr>
        <w:spacing w:after="100" w:before="240"/>
      </w:pPr>
      <w:r>
        <w:rPr>
          <w:rFonts w:ascii="Yu Gothic" w:cs="Yu Gothic" w:eastAsia="Yu Gothic" w:hAnsi="Yu Gothic"/>
          <w:b/>
          <w:bCs/>
          <w:sz w:val="22"/>
          <w:szCs w:val="22"/>
        </w:rPr>
        <w:t xml:space="preserve">修正例</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sz w:val="22"/>
          <w:szCs w:val="22"/>
        </w:rPr>
        <w:t xml:space="preserve">However, fear and hesitation are covert states that are difficult to present in a standardized form using human models. </w:t>
      </w:r>
      <w:r>
        <w:rPr>
          <w:rFonts w:ascii="Times New Roman" w:cs="Times New Roman" w:eastAsia="Times New Roman" w:hAnsi="Times New Roman"/>
          <w:color w:val="C00000"/>
          <w:sz w:val="22"/>
          <w:szCs w:val="22"/>
        </w:rPr>
        <w:t xml:space="preserve">Robots offer at least two methodological advantages over human models for psychological research on such states. First, a robot’s appearance, behavior, and timing can be tightly controlled and identically reproduced across conditions, eliminating the uncontrolled variability inherent in human actors. Second, a robot’s internal states can be explicitly externalized through visual or verbal channels, allowing pre-action states such as competing motives to be presented in a directly observable form. Importantly, robots are not merely controllable stimuli: recent evidence indicates that people are substantially influenced by robots’ attitudes and behaviors, in some cases as strongly as by those of humans. For example, verbal feedback from a social robot facilitated young children’s persistence in a challenging task as effectively as the same feedback from a human adult (Ishikawa et al., 2026). </w:t>
      </w:r>
      <w:r>
        <w:rPr>
          <w:rFonts w:ascii="Times New Roman" w:cs="Times New Roman" w:eastAsia="Times New Roman" w:hAnsi="Times New Roman"/>
          <w:sz w:val="22"/>
          <w:szCs w:val="22"/>
        </w:rPr>
        <w:t xml:space="preserve">Robots can therefore serve as a controlled social model for examining how expressed conflict relates to observers’ self-evaluations.</w:t>
      </w:r>
    </w:p>
    <w:p>
      <w:pPr>
        <w:pStyle w:val="Heading1"/>
        <w:spacing w:after="160" w:before="360"/>
      </w:pPr>
      <w:r>
        <w:rPr>
          <w:rFonts w:ascii="Yu Gothic" w:cs="Yu Gothic" w:eastAsia="Yu Gothic" w:hAnsi="Yu Gothic"/>
          <w:b/>
          <w:bCs/>
          <w:color w:val="1F3864"/>
          <w:sz w:val="28"/>
          <w:szCs w:val="28"/>
        </w:rPr>
        <w:t xml:space="preserve">修正例④　仮説の整理（イントロ末尾に追加）</w:t>
      </w:r>
    </w:p>
    <w:p>
      <w:pPr>
        <w:spacing w:after="120"/>
      </w:pPr>
      <w:r>
        <w:rPr>
          <w:rFonts w:ascii="Yu Gothic" w:cs="Yu Gothic" w:eastAsia="Yu Gothic" w:hAnsi="Yu Gothic"/>
          <w:color w:val="595959"/>
          <w:sz w:val="19"/>
          <w:szCs w:val="19"/>
        </w:rPr>
        <w:t xml:space="preserve">コメント：イントロ冒頭〜末尾で「本研究の仮説はH1〜H3で、実験1ではこの仮説を、実験2ではこの仮説を検討する」と論文の全体像を整理する。“We conducted two studies.” の段落を以下のように書き換える例です。</w:t>
      </w:r>
    </w:p>
    <w:p>
      <w:pPr>
        <w:spacing w:after="100" w:before="240"/>
      </w:pPr>
      <w:r>
        <w:rPr>
          <w:rFonts w:ascii="Yu Gothic" w:cs="Yu Gothic" w:eastAsia="Yu Gothic" w:hAnsi="Yu Gothic"/>
          <w:b/>
          <w:bCs/>
          <w:sz w:val="22"/>
          <w:szCs w:val="22"/>
        </w:rPr>
        <w:t xml:space="preserve">元の文章</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sz w:val="22"/>
          <w:szCs w:val="22"/>
        </w:rPr>
        <w:t xml:space="preserve">We conducted two studies. Study 1 examined whether a robot expressing approach-avoidance conflict was perceived as more courageous than a robot expressing motives in a single direction and selected the presentation format for Study 2. Study 2 crossed motivational structure (univalent vs. conflicted) with behavioral outcome (admonition vs. no admonition) and examined whether the resulting self-evaluation patterns differed according to observers’ preexisting courage tendency.</w:t>
      </w:r>
    </w:p>
    <w:p>
      <w:pPr>
        <w:spacing w:after="100" w:before="240"/>
      </w:pPr>
      <w:r>
        <w:rPr>
          <w:rFonts w:ascii="Yu Gothic" w:cs="Yu Gothic" w:eastAsia="Yu Gothic" w:hAnsi="Yu Gothic"/>
          <w:b/>
          <w:bCs/>
          <w:sz w:val="22"/>
          <w:szCs w:val="22"/>
        </w:rPr>
        <w:t xml:space="preserve">修正例</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sz w:val="22"/>
          <w:szCs w:val="22"/>
        </w:rPr>
        <w:t xml:space="preserve">We conducted two studies</w:t>
      </w:r>
      <w:r>
        <w:rPr>
          <w:rFonts w:ascii="Times New Roman" w:cs="Times New Roman" w:eastAsia="Times New Roman" w:hAnsi="Times New Roman"/>
          <w:color w:val="C00000"/>
          <w:sz w:val="22"/>
          <w:szCs w:val="22"/>
        </w:rPr>
        <w:t xml:space="preserve"> to test the following hypotheses. H1: A robot expressing approach-avoidance conflict before action is perceived as more courageous than a robot expressing motives in a single direction. H2: The presented coexistence of approach and avoidance motives is perceived by observers as approach-avoidance conflict (manipulation check). H3: The effects of robot-expressed conflict and final action on observers’ self-evaluations of personal courage depend on observers’ preexisting courage tendency; in particular, among observers with a low preexisting courage tendency, self-evaluations are highest after observing a robot that expresses conflict and nevertheless acts. Study 1 tested H1 and H2 and additionally compared sequential and simultaneous presentation methods in an exploratory manner to select the presentation format for Study 2. Study 2 tested H3 by crossing motivational structure (univalent vs. conflicted) with behavioral outcome (admonition vs. no admonition) in observers grouped by preexisting courage tendency.</w:t>
      </w:r>
    </w:p>
    <w:p>
      <w:pPr>
        <w:spacing w:after="120"/>
      </w:pPr>
      <w:r>
        <w:rPr>
          <w:rFonts w:ascii="Yu Gothic" w:cs="Yu Gothic" w:eastAsia="Yu Gothic" w:hAnsi="Yu Gothic"/>
          <w:color w:val="595959"/>
          <w:sz w:val="19"/>
          <w:szCs w:val="19"/>
        </w:rPr>
        <w:t xml:space="preserve">ポイント：仮説番号を付けると、Study 1・2 のPurpose・Discussionでも “H1 was supported / H3 was not supported” と対応づけて書けるため、論文全体の見通しがよくなります（本文側の該当箇所も合わせて修正が必要です）。</w:t>
      </w:r>
    </w:p>
    <w:p>
      <w:pPr>
        <w:pStyle w:val="Heading1"/>
        <w:spacing w:after="160" w:before="360"/>
      </w:pPr>
      <w:r>
        <w:rPr>
          <w:rFonts w:ascii="Yu Gothic" w:cs="Yu Gothic" w:eastAsia="Yu Gothic" w:hAnsi="Yu Gothic"/>
          <w:b/>
          <w:bCs/>
          <w:color w:val="1F3864"/>
          <w:sz w:val="28"/>
          <w:szCs w:val="28"/>
        </w:rPr>
        <w:t xml:space="preserve">追加文献（References に追加）</w:t>
      </w:r>
    </w:p>
    <w:p>
      <w:pPr>
        <w:pBdr>
          <w:top w:val="single" w:color="BFBFBF" w:sz="4" w:space="6"/>
          <w:bottom w:val="single" w:color="BFBFBF" w:sz="4" w:space="6"/>
          <w:left w:val="single" w:color="BFBFBF" w:sz="4" w:space="6"/>
          <w:right w:val="single" w:color="BFBFBF" w:sz="4" w:space="6"/>
        </w:pBdr>
        <w:spacing w:after="120" w:line="300"/>
        <w:ind w:left="240" w:right="240"/>
      </w:pPr>
      <w:r>
        <w:rPr>
          <w:rFonts w:ascii="Times New Roman" w:cs="Times New Roman" w:eastAsia="Times New Roman" w:hAnsi="Times New Roman"/>
          <w:color w:val="C00000"/>
          <w:sz w:val="22"/>
          <w:szCs w:val="22"/>
        </w:rPr>
        <w:t xml:space="preserve">Ishikawa, M., Matsumura, S., Mahzoon, H., Yoshikawa, Y., and Kanakogi, Y. (2026). Social robots’ verbal time updates facilitate children’s persistence in challenging tasks: a comparison with humans. Child Dev. aacag125. doi: 10.1093/chidev/aacag125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2026-08-10T15:11:52.837Z</dcterms:created>
  <dcterms:modified xsi:type="dcterms:W3CDTF">2026-08-10T15:11:52.850Z</dcterms:modified>
</cp:coreProperties>
</file>

<file path=docProps/custom.xml><?xml version="1.0" encoding="utf-8"?>
<Properties xmlns="http://schemas.openxmlformats.org/officeDocument/2006/custom-properties" xmlns:vt="http://schemas.openxmlformats.org/officeDocument/2006/docPropsVTypes"/>
</file>