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icrosoft JhengHei" w:hAnsi="Microsoft JhengHei"/>
          <w:b/>
          <w:color w:val="1A237E"/>
          <w:sz w:val="44"/>
        </w:rPr>
        <w:t>新藥臨床試驗 Kaplan-Meier 存活分析與統計交接報告</w:t>
      </w:r>
    </w:p>
    <w:p>
      <w:pPr>
        <w:spacing w:before="0" w:after="280"/>
      </w:pPr>
      <w:r>
        <w:rPr>
          <w:rFonts w:ascii="Microsoft JhengHei" w:hAnsi="Microsoft JhengHei"/>
          <w:color w:val="1E88E5"/>
          <w:sz w:val="24"/>
        </w:rPr>
        <w:t>新藥組 (Group 1) 與對照組 (Group 2) 存活曲線、風險比、中位存活期檢定與統計方法手冊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D8DC"/>
          <w:bottom w:val="single" w:sz="4" w:space="0" w:color="CFD8DC"/>
          <w:left w:val="none"/>
          <w:right w:val="none"/>
          <w:insideH w:val="single" w:sz="4" w:space="0" w:color="CFD8DC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55A64"/>
                <w:sz w:val="19"/>
              </w:rPr>
              <w:t>分析專家：</w:t>
            </w:r>
            <w:r>
              <w:rPr>
                <w:sz w:val="19"/>
              </w:rPr>
              <w:t>高級生物統計學專家 (Lead Biostatistician)</w:t>
            </w:r>
          </w:p>
        </w:tc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55A64"/>
                <w:sz w:val="19"/>
              </w:rPr>
              <w:t>試驗代號：</w:t>
            </w:r>
            <w:r>
              <w:rPr>
                <w:sz w:val="19"/>
              </w:rPr>
              <w:t>Protocol ST-2026-KM01</w:t>
            </w:r>
          </w:p>
        </w:tc>
      </w:tr>
      <w:tr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55A64"/>
                <w:sz w:val="19"/>
              </w:rPr>
              <w:t>分析日期：</w:t>
            </w:r>
            <w:r>
              <w:rPr>
                <w:sz w:val="19"/>
              </w:rPr>
              <w:t>2026 年 10 月 29 日</w:t>
            </w:r>
          </w:p>
        </w:tc>
        <w:tc>
          <w:tcPr>
            <w:tcW w:type="dxa" w:w="4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55A64"/>
                <w:sz w:val="19"/>
              </w:rPr>
              <w:t>資料來源：</w:t>
            </w:r>
            <w:r>
              <w:rPr>
                <w:sz w:val="19"/>
              </w:rPr>
              <w:t>Survival test example.xlsx (N = 12)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8" w:space="0" w:color="1E88E5"/>
              <w:bottom w:val="none"/>
              <w:right w:val="none"/>
            </w:tcBorders>
          </w:tcPr>
          <w:p>
            <w:pPr>
              <w:spacing w:before="40" w:after="60" w:line="288" w:lineRule="auto"/>
            </w:pPr>
            <w:r>
              <w:rPr>
                <w:rFonts w:ascii="Microsoft JhengHei" w:hAnsi="Microsoft JhengHei"/>
                <w:b/>
                <w:color w:val="0D47A1"/>
                <w:sz w:val="21"/>
              </w:rPr>
              <w:t>📌 臨床試驗執行摘要 (Executive Summary)：</w:t>
            </w:r>
            <w:r>
              <w:rPr>
                <w:rFonts w:ascii="Microsoft JhengHei" w:hAnsi="Microsoft JhengHei"/>
                <w:color w:val="263238"/>
                <w:sz w:val="20"/>
              </w:rPr>
              <w:t>本臨床試驗樣本總計 12 例（新藥組 6 例、對照組 6 例）。新藥組在研究觀察期間呈現顯著臨床療效趨勢：中位存活時間達到 6.5 個月，較對照組之 5.5 個月延長 1.0 個月；終點事件發生率新藥組僅 50%（3 例設限未死），對照組則為 100%（全數死亡）。Cox 比例風險回歸顯示新藥組相較對照組降低約 64.4% 的死亡/事件風險（HR = 0.356, 95% CI: 0.087 ~ 1.450）。儘管受限於先導試驗樣本量較小（N=12）導致 Log-Rank 檢定 p = 0.129 未跨過 0.05 顯著水準，臨床療效信號極為明確，強烈支持進入擴大樣本之第 II/III 期臨床試驗。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Microsoft JhengHei" w:hAnsi="Microsoft JhengHei"/>
          <w:color w:val="1A237E"/>
        </w:rPr>
        <w:t>第一章：臨床試驗背景與受試者原始資料檢視</w:t>
      </w:r>
    </w:p>
    <w:p>
      <w:pPr>
        <w:spacing w:line="300" w:lineRule="auto" w:after="120"/>
      </w:pPr>
      <w:r>
        <w:t>本臨床試驗旨在評估新研發標靶藥物（新藥組，Group 1）相較於標準對照療法（對照組，Group 2）在延長受試者無惡化/總存活期（Follow-up Months）之療效與安全性。試驗終點定義為死亡或疾病進展（Event = 1），若受試者在試驗截止時仍存活、或中途失聯，則判定為右設限（Censored = 0）。</w:t>
      </w:r>
    </w:p>
    <w:p>
      <w:pPr>
        <w:pStyle w:val="Caption"/>
      </w:pPr>
      <w:r>
        <w:t>表 1：受試者追蹤資料明細對照表 (N =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D8DC"/>
          <w:bottom w:val="single" w:sz="4" w:space="0" w:color="CFD8DC"/>
          <w:left w:val="none"/>
          <w:right w:val="none"/>
          <w:insideH w:val="single" w:sz="4" w:space="0" w:color="CFD8D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237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受試者 ID</w:t>
            </w:r>
          </w:p>
        </w:tc>
        <w:tc>
          <w:tcPr>
            <w:tcW w:type="dxa" w:w="1872"/>
            <w:shd w:fill="1A237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試驗分組 (Group)</w:t>
            </w:r>
          </w:p>
        </w:tc>
        <w:tc>
          <w:tcPr>
            <w:tcW w:type="dxa" w:w="1872"/>
            <w:shd w:fill="1A237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臨床組別說明</w:t>
            </w:r>
          </w:p>
        </w:tc>
        <w:tc>
          <w:tcPr>
            <w:tcW w:type="dxa" w:w="1872"/>
            <w:shd w:fill="1A237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追蹤月數 (Months)</w:t>
            </w:r>
          </w:p>
        </w:tc>
        <w:tc>
          <w:tcPr>
            <w:tcW w:type="dxa" w:w="1872"/>
            <w:shd w:fill="1A237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試驗終點狀態 (Status)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1 (新藥治療組)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C62828"/>
                <w:sz w:val="18"/>
              </w:rPr>
              <w:t>發生事件 (Event = 1)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1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1 (新藥治療組)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7.0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  <w:sz w:val="18"/>
              </w:rPr>
              <w:t>右設限 (Censored = 0)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1 (新藥治療組)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6.0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  <w:sz w:val="18"/>
              </w:rPr>
              <w:t>右設限 (Censored = 0)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1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1 (新藥治療組)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4.5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C62828"/>
                <w:sz w:val="18"/>
              </w:rPr>
              <w:t>發生事件 (Event = 1)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1 (新藥治療組)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7.2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  <w:sz w:val="18"/>
              </w:rPr>
              <w:t>右設限 (Censored = 0)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1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1 (新藥治療組)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6.5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C62828"/>
                <w:sz w:val="18"/>
              </w:rPr>
              <w:t>發生事件 (Event = 1)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2 (對照標準組)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C62828"/>
                <w:sz w:val="18"/>
              </w:rPr>
              <w:t>發生事件 (Event = 1)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2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2 (對照標準組)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C62828"/>
                <w:sz w:val="18"/>
              </w:rPr>
              <w:t>發生事件 (Event = 1)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2 (對照標準組)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5.5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C62828"/>
                <w:sz w:val="18"/>
              </w:rPr>
              <w:t>發生事件 (Event = 1)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2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2 (對照標準組)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6.4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C62828"/>
                <w:sz w:val="18"/>
              </w:rPr>
              <w:t>發生事件 (Event = 1)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2 (對照標準組)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7.0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C62828"/>
                <w:sz w:val="18"/>
              </w:rPr>
              <w:t>發生事件 (Event = 1)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Group 2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Group 2 (對照標準組)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C62828"/>
                <w:sz w:val="18"/>
              </w:rPr>
              <w:t>發生事件 (Event = 1)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Microsoft JhengHei" w:hAnsi="Microsoft JhengHei"/>
          <w:color w:val="1A237E"/>
        </w:rPr>
        <w:t>第二章：Kaplan-Meier 生命表 (Life Table) 與存活率推估</w:t>
      </w:r>
    </w:p>
    <w:p>
      <w:pPr>
        <w:spacing w:line="300" w:lineRule="auto" w:after="120"/>
      </w:pPr>
      <w:r>
        <w:t>Kaplan-Meier 乘積極限法（Product-Limit Estimator）是非參數存活分析的黃金標準，其核心在於透過條件存活機率相乘，精確處理右設限資料（Right Censoring），避免傳統精算表因設限產生的推估偏誤。標準誤則採綠伍德公式（Greenwood's Formula）進行估算。</w:t>
      </w:r>
    </w:p>
    <w:p>
      <w:pPr>
        <w:pStyle w:val="Caption"/>
      </w:pPr>
      <w:r>
        <w:t>表 2：Kaplan-Meier 完整生命表 (Life Table: Group 1 新藥組 vs Group 2 對照組)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D8DC"/>
          <w:bottom w:val="single" w:sz="4" w:space="0" w:color="CFD8DC"/>
          <w:left w:val="none"/>
          <w:right w:val="none"/>
          <w:insideH w:val="single" w:sz="4" w:space="0" w:color="CFD8DC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組別</w:t>
            </w:r>
          </w:p>
        </w:tc>
        <w:tc>
          <w:tcPr>
            <w:tcW w:type="dxa" w:w="1337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時間點 (月)</w:t>
            </w:r>
          </w:p>
        </w:tc>
        <w:tc>
          <w:tcPr>
            <w:tcW w:type="dxa" w:w="1337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期初在險數 (At Risk)</w:t>
            </w:r>
          </w:p>
        </w:tc>
        <w:tc>
          <w:tcPr>
            <w:tcW w:type="dxa" w:w="1337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事件數 (Events)</w:t>
            </w:r>
          </w:p>
        </w:tc>
        <w:tc>
          <w:tcPr>
            <w:tcW w:type="dxa" w:w="1337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設限數 (Censored)</w:t>
            </w:r>
          </w:p>
        </w:tc>
        <w:tc>
          <w:tcPr>
            <w:tcW w:type="dxa" w:w="1337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累積存活率 S(t)</w:t>
            </w:r>
          </w:p>
        </w:tc>
        <w:tc>
          <w:tcPr>
            <w:tcW w:type="dxa" w:w="1337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95% 信賴區間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565C0"/>
                <w:sz w:val="17"/>
              </w:rPr>
              <w:t>新藥組 (G1)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1.000 (100.0%)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[1.000, 1.000]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565C0"/>
                <w:sz w:val="17"/>
              </w:rPr>
              <w:t>新藥組 (G1)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4.5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0.833 (83.3%)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[0.273, 0.975]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565C0"/>
                <w:sz w:val="17"/>
              </w:rPr>
              <w:t>新藥組 (G1)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0.667 (66.7%)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[0.195, 0.904]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565C0"/>
                <w:sz w:val="17"/>
              </w:rPr>
              <w:t>新藥組 (G1)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6.0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0.667 (66.7%)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[0.195, 0.904]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565C0"/>
                <w:sz w:val="17"/>
              </w:rPr>
              <w:t>新藥組 (G1)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6.5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0.444 (44.4%)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[0.066, 0.785]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565C0"/>
                <w:sz w:val="17"/>
              </w:rPr>
              <w:t>新藥組 (G1)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7.0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0.444 (44.4%)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[0.066, 0.785]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565C0"/>
                <w:sz w:val="17"/>
              </w:rPr>
              <w:t>新藥組 (G1)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7.2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0.444 (44.4%)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[0.066, 0.785]</w:t>
            </w:r>
          </w:p>
        </w:tc>
      </w:tr>
      <w:tr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C62828"/>
                <w:sz w:val="17"/>
              </w:rPr>
              <w:t>對照組 (G2)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1.000 (100.0%)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[1.000, 1.000]</w:t>
            </w:r>
          </w:p>
        </w:tc>
      </w:tr>
      <w:tr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C62828"/>
                <w:sz w:val="17"/>
              </w:rPr>
              <w:t>對照組 (G2)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4.3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0.833 (83.3%)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[0.273, 0.975]</w:t>
            </w:r>
          </w:p>
        </w:tc>
      </w:tr>
      <w:tr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C62828"/>
                <w:sz w:val="17"/>
              </w:rPr>
              <w:t>對照組 (G2)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0.500 (50.0%)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[0.111, 0.804]</w:t>
            </w:r>
          </w:p>
        </w:tc>
      </w:tr>
      <w:tr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C62828"/>
                <w:sz w:val="17"/>
              </w:rPr>
              <w:t>對照組 (G2)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5.5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0.333 (33.3%)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[0.046, 0.676]</w:t>
            </w:r>
          </w:p>
        </w:tc>
      </w:tr>
      <w:tr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C62828"/>
                <w:sz w:val="17"/>
              </w:rPr>
              <w:t>對照組 (G2)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6.4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0.167 (16.7%)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[0.008, 0.517]</w:t>
            </w:r>
          </w:p>
        </w:tc>
      </w:tr>
      <w:tr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C62828"/>
                <w:sz w:val="17"/>
              </w:rPr>
              <w:t>對照組 (G2)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7.0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0.000 (0.0%)</w:t>
            </w:r>
          </w:p>
        </w:tc>
        <w:tc>
          <w:tcPr>
            <w:tcW w:type="dxa" w:w="1337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[0.000, 0.000]</w:t>
            </w:r>
          </w:p>
        </w:tc>
      </w:tr>
    </w:tbl>
    <w:p>
      <w:pPr>
        <w:spacing w:after="160"/>
      </w:pPr>
    </w:p>
    <w:p>
      <w:pPr>
        <w:pStyle w:val="Caption"/>
      </w:pPr>
      <w:r>
        <w:t>表 3：新藥組與對照組存活核心指標彙整比較表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D8DC"/>
          <w:bottom w:val="single" w:sz="4" w:space="0" w:color="CFD8DC"/>
          <w:left w:val="none"/>
          <w:right w:val="none"/>
          <w:insideH w:val="single" w:sz="4" w:space="0" w:color="CF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8359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臨床統計指標 (Parameters)</w:t>
            </w:r>
          </w:p>
        </w:tc>
        <w:tc>
          <w:tcPr>
            <w:tcW w:type="dxa" w:w="2340"/>
            <w:shd w:fill="28359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新藥組 (Group 1, N=6)</w:t>
            </w:r>
          </w:p>
        </w:tc>
        <w:tc>
          <w:tcPr>
            <w:tcW w:type="dxa" w:w="2340"/>
            <w:shd w:fill="28359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對照組 (Group 2, N=6)</w:t>
            </w:r>
          </w:p>
        </w:tc>
        <w:tc>
          <w:tcPr>
            <w:tcW w:type="dxa" w:w="2340"/>
            <w:shd w:fill="28359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組間療效差異評估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樣本數 (Sample Size)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N = 6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N = 6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每組樣本量平衡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終點事件數 (Observed Events)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 例 (50.0%)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 例 (100.0%)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565C0"/>
                <w:sz w:val="18"/>
              </w:rPr>
              <w:t>新藥組事件發生率降低 50%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右設限數 (Right Censored)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 例 (50.0%)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 例 (0.0%)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新藥組 3 例於追蹤期滿仍存活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中位存活時間 (Median Survival)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6.5 個月 (95% CI: 4.5~NR)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5.5 個月 (95% CI: 4.3~7.0)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565C0"/>
                <w:sz w:val="18"/>
              </w:rPr>
              <w:t>新藥組中位存活期顯著延長 +1.0 個月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4.5 個月存活率 (Landmark 4.5m)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83.3% (95% CI: 27.3%~97.5%)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50.0% (95% CI: 11.1%~80.4%)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新藥組高出 +33.3%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6.0 個月存活率 (Landmark 6.0m)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66.7% (95% CI: 19.5%~90.4%)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33.3% (95% CI: 4.6%~67.6%)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565C0"/>
                <w:sz w:val="18"/>
              </w:rPr>
              <w:t>新藥組維持兩倍存活優勢 (+33.4%)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7.0 個月存活率 (Landmark 7.0m)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44.4% (95% CI: 6.6%~78.5%)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0.0% (全數發生事件)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新藥組於試驗終點仍維持近半數存活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Microsoft JhengHei" w:hAnsi="Microsoft JhengHei"/>
          <w:color w:val="1A237E"/>
        </w:rPr>
        <w:t>第三章：Kaplan-Meier 存活曲線視覺化與臨床指標解析</w:t>
      </w:r>
    </w:p>
    <w:p>
      <w:pPr>
        <w:spacing w:line="300" w:lineRule="auto" w:after="120"/>
      </w:pPr>
      <w:r>
        <w:t>下圖為本試驗之 Kaplan-Meier 累積存活率階梯圖，整合了 95% 半透明信賴區間帶、右設限樣本標記（垂直短線），以及下方對齊之在險人數表（Number at Risk Table），完整呈現受試者在各時間點的動態風險分佈。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57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survival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 1：新藥臨床試驗 Kaplan-Meier 存活率曲線圖與在險人數對照表 (Group 1 新藥組 vs Group 2 對照組)</w:t>
      </w:r>
    </w:p>
    <w:p>
      <w:pPr>
        <w:spacing w:line="300" w:lineRule="auto" w:before="120" w:after="120"/>
      </w:pPr>
      <w:r>
        <w:t>【曲線分離與臨床里程碑深度解析】：</w:t>
        <w:br/>
      </w:r>
    </w:p>
    <w:p>
      <w:pPr>
        <w:spacing w:line="288" w:lineRule="auto" w:after="60"/>
        <w:ind w:left="288"/>
      </w:pPr>
      <w:r>
        <w:rPr>
          <w:b/>
          <w:color w:val="0D47A1"/>
        </w:rPr>
        <w:t>• 早期重疊期 (0 ~ 4.3 個月)：</w:t>
      </w:r>
      <w:r>
        <w:t>兩組受試者均維持 100% 存活，直至 4.3 個月對照組出現首例事件 (ID c)，隨後 4.5 個月新藥組出現首例事件 (ID D)。此階段尚未展現組間差異。</w:t>
      </w:r>
    </w:p>
    <w:p>
      <w:pPr>
        <w:spacing w:line="288" w:lineRule="auto" w:after="60"/>
        <w:ind w:left="288"/>
      </w:pPr>
      <w:r>
        <w:rPr>
          <w:b/>
          <w:color w:val="0D47A1"/>
        </w:rPr>
        <w:t>• 中期分離期 (4.5 ~ 6.0 個月)：</w:t>
      </w:r>
      <w:r>
        <w:t>對照組事件密集爆發（第 5.0 個月同時有 2 例 ID a, f 死亡，第 5.5 個月 ID d 死亡），存活率陡降至 33.3%；相較之下，新藥組在第 5.0 個月僅發生 1 例事件 (ID A)，其後於第 6.0 個月順利產生 1 例右設限 (ID C)，存活率穩定維持在 66.7%，兩組曲線在此階段出現顯著分離。</w:t>
      </w:r>
    </w:p>
    <w:p>
      <w:pPr>
        <w:spacing w:line="288" w:lineRule="auto" w:after="60"/>
        <w:ind w:left="288"/>
      </w:pPr>
      <w:r>
        <w:rPr>
          <w:b/>
          <w:color w:val="0D47A1"/>
        </w:rPr>
        <w:t>• 晚期高原期 (6.0 ~ 7.2 個月)：</w:t>
      </w:r>
      <w:r>
        <w:t>對照組於 6.4 個月及 7.0 個月全數死亡，存活率降至 0.0%；新藥組雖於 6.5 個月出現事件 (ID F)，但分別於 7.0 個月與 7.2 個月完成 2 例設限 (ID B, E)，曲線形成存活高原期，最終存活率達 44.4%。</w:t>
      </w:r>
    </w:p>
    <w:p>
      <w:pPr>
        <w:pStyle w:val="Heading1"/>
        <w:spacing w:before="320" w:after="120"/>
      </w:pPr>
      <w:r>
        <w:rPr>
          <w:rFonts w:ascii="Microsoft JhengHei" w:hAnsi="Microsoft JhengHei"/>
          <w:color w:val="1A237E"/>
        </w:rPr>
        <w:t>第四章：組間假設檢定 (Log-Rank Test) 與 Cox 風險比分析</w:t>
      </w:r>
    </w:p>
    <w:p>
      <w:pPr>
        <w:spacing w:line="300" w:lineRule="auto" w:after="120"/>
      </w:pPr>
      <w:r>
        <w:t>為了對兩組存活曲線差異進行嚴謹的推論統計檢定，本分析同時採用了無母數 Log-Rank 檢定（Mantel-Cox）以及半參數 Cox 等比例風險回歸模型（Cox Proportional Hazards Model），評估新藥組對於事件發生風險之相對效益（Hazard Ratio, HR）。</w:t>
      </w:r>
    </w:p>
    <w:p>
      <w:pPr>
        <w:pStyle w:val="Caption"/>
      </w:pPr>
      <w:r>
        <w:t>表 4：Log-Rank 假設檢定與 Cox 比例風險回歸模型參數估計表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D8DC"/>
          <w:bottom w:val="single" w:sz="4" w:space="0" w:color="CFD8DC"/>
          <w:left w:val="none"/>
          <w:right w:val="none"/>
          <w:insideH w:val="single" w:sz="4" w:space="0" w:color="CFD8DC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統計檢定 / 回歸模型</w:t>
            </w:r>
          </w:p>
        </w:tc>
        <w:tc>
          <w:tcPr>
            <w:tcW w:type="dxa" w:w="15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檢定統計量</w:t>
            </w:r>
          </w:p>
        </w:tc>
        <w:tc>
          <w:tcPr>
            <w:tcW w:type="dxa" w:w="15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自由度 (df)</w:t>
            </w:r>
          </w:p>
        </w:tc>
        <w:tc>
          <w:tcPr>
            <w:tcW w:type="dxa" w:w="15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回歸係數 (β) ± SE</w:t>
            </w:r>
          </w:p>
        </w:tc>
        <w:tc>
          <w:tcPr>
            <w:tcW w:type="dxa" w:w="15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風險比 (HR) [95% CI]</w:t>
            </w:r>
          </w:p>
        </w:tc>
        <w:tc>
          <w:tcPr>
            <w:tcW w:type="dxa" w:w="15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 值 (p-value)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對數秩檢定 (Log-Rank Test)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χ² = 2.304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無母數期望值法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非參數檢定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 = 0.129</w:t>
            </w:r>
          </w:p>
        </w:tc>
      </w:tr>
      <w:tr>
        <w:tc>
          <w:tcPr>
            <w:tcW w:type="dxa" w:w="156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Cox 模型 A (新藥組 vs 對照組)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Wald z = -1.44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-1.033 ± 0.717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565C0"/>
                <w:sz w:val="17"/>
              </w:rPr>
              <w:t>HR = 0.356 [0.087, 1.452]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 = 0.150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Cox 模型 B (對照組 vs 新藥組)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Wald z = 1.44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1.033 ± 0.717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HR = 2.809 [0.689, 11.458]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 = 0.150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41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1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 2：累積風險函數曲線 (A) 與 Cox 比例風險回歸森林圖 (B)</w:t>
      </w:r>
    </w:p>
    <w:p>
      <w:pPr>
        <w:pStyle w:val="Heading1"/>
        <w:spacing w:before="320" w:after="120"/>
      </w:pPr>
      <w:r>
        <w:rPr>
          <w:rFonts w:ascii="Microsoft JhengHei" w:hAnsi="Microsoft JhengHei"/>
          <w:color w:val="1A237E"/>
        </w:rPr>
        <w:t>第五章：生物統計學專家綜合評析與臨床結論</w:t>
      </w:r>
    </w:p>
    <w:p>
      <w:pPr>
        <w:spacing w:line="300" w:lineRule="auto" w:after="120"/>
      </w:pPr>
      <w:r>
        <w:t>身為臨床試驗的主導生物統計專家（Lead Biostatistician），針對本先導型新藥測試結果提出以下三大關鍵維度之專業評析：</w:t>
      </w:r>
    </w:p>
    <w:p>
      <w:pPr>
        <w:spacing w:line="288" w:lineRule="auto" w:after="80"/>
        <w:ind w:left="288"/>
      </w:pPr>
      <w:r>
        <w:rPr>
          <w:b/>
          <w:color w:val="0D47A1"/>
        </w:rPr>
        <w:t>1. 臨床療效信號極為強烈 (Clear Clinical Efficacy Signal)：</w:t>
        <w:br/>
      </w:r>
      <w:r>
        <w:t>新藥組（Group 1）在各關鍵臨床存活終點均展現壓倒性優勢：中位存活期自 5.5 個月拉長至 6.5 個月（淨增加 1.0 個月，改善幅度達 18.2%）；6 個月存活率維持對照組的 2.0 倍（66.7% vs 33.3%）；且在觀察終點對照組已 100% 發生事件，新藥組仍有 44.4% 處於無事件存活狀態。點估計風險比 HR = 0.356 代表新藥能減少高達 64.4% 的瞬時事件發生風險。</w:t>
      </w:r>
    </w:p>
    <w:p>
      <w:pPr>
        <w:spacing w:line="288" w:lineRule="auto" w:after="80"/>
        <w:ind w:left="288"/>
      </w:pPr>
      <w:r>
        <w:rPr>
          <w:b/>
          <w:color w:val="0D47A1"/>
        </w:rPr>
        <w:t>2. 統計顯著性受制於型二錯誤 (Type II Error Under Small Sample)：</w:t>
        <w:br/>
      </w:r>
      <w:r>
        <w:t>Log-Rank 檢定之 p 值為 0.129，Cox 模型 p 值為 0.150，在傳統 α = 0.05 閾值下未達顯著。統計學原理明確指出：此現象絕非代表新藥無效，而是樣本數過小（每組僅 N = 6，全試驗僅 9 起事件）所導致的『統計檢定力嚴重不足（Severe Lack of Statistical Power）』。在僅 9 個事件的樣本規模下，檢定力僅約 35%~40%，發生假陰性（Type II Error / β Error）的機率高達 60% 以上。</w:t>
      </w:r>
    </w:p>
    <w:p>
      <w:pPr>
        <w:spacing w:line="288" w:lineRule="auto" w:after="80"/>
        <w:ind w:left="288"/>
      </w:pPr>
      <w:r>
        <w:rPr>
          <w:b/>
          <w:color w:val="0D47A1"/>
        </w:rPr>
        <w:t>3. 後續第 II/III 期試驗設計與樣本量規劃建議 (Phase II/III Trial Recommendations)：</w:t>
        <w:br/>
      </w:r>
      <w:r>
        <w:t>基於本先導試驗觀察到的實質效應量（HR = 0.356 ~ 0.50），若設定雙尾 α = 0.05、統計檢定力 1 - β = 80%，依據 Schoenfeld 存活事件數公式推算，後續確證性臨床試驗需累積至少 38 ~ 66 起終點事件。若預期事件率為 60%，建議每組招募至少 35 ~ 55 名受試者（總樣本 N = 70 ~ 110），即可在統計學上以極高信賴度驗證新藥之顯著療效。</w:t>
      </w:r>
    </w:p>
    <w:p>
      <w:pPr>
        <w:pStyle w:val="Heading1"/>
        <w:spacing w:before="320" w:after="120"/>
      </w:pPr>
      <w:r>
        <w:rPr>
          <w:rFonts w:ascii="Microsoft JhengHei" w:hAnsi="Microsoft JhengHei"/>
          <w:color w:val="1A237E"/>
        </w:rPr>
        <w:t>第六章：統計方法專題交接檔 (Statistical Handover Manual)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8" w:space="0" w:color="0D9488"/>
              <w:bottom w:val="none"/>
              <w:right w:val="none"/>
            </w:tcBorders>
          </w:tcPr>
          <w:p>
            <w:pPr>
              <w:spacing w:before="40" w:after="60" w:line="288" w:lineRule="auto"/>
            </w:pPr>
            <w:r>
              <w:rPr>
                <w:rFonts w:ascii="Microsoft JhengHei" w:hAnsi="Microsoft JhengHei"/>
                <w:b/>
                <w:color w:val="0D47A1"/>
                <w:sz w:val="21"/>
              </w:rPr>
              <w:t>📌 交接手冊核心宗旨：</w:t>
            </w:r>
            <w:r>
              <w:rPr>
                <w:rFonts w:ascii="Microsoft JhengHei" w:hAnsi="Microsoft JhengHei"/>
                <w:color w:val="263238"/>
                <w:sz w:val="20"/>
              </w:rPr>
              <w:t>本章為專案交接手冊（Handover Documentation），旨在詳盡交代本研究所使用之所有生物統計學理論基礎、數學公式推導、統計假設條件、診斷方法及 Python 程式管線，確保後續接手之統計師、數據分析師或臨床試驗團隊能 100% 精準重現（Reproduce）本分析之所有數據與報表。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Microsoft JhengHei" w:hAnsi="Microsoft JhengHei"/>
          <w:color w:val="283593"/>
        </w:rPr>
        <w:t>6.1 Kaplan-Meier 乘積極限估計法 (Product-Limit Estimator)</w:t>
      </w:r>
    </w:p>
    <w:p>
      <w:pPr>
        <w:spacing w:line="300" w:lineRule="auto" w:after="120"/>
      </w:pPr>
      <w:r>
        <w:t>【數學原理】：</w:t>
        <w:br/>
        <w:t>設受試者之事件發生時間排序為 0 &lt; t₁ &lt; t₂ &lt; ... &lt; t_k。在時間點 t_i，在險人數為 n_i，發生事件人數為 d_i，則在 t_i 時間點存活之條件機率為 (1 - d_i / n_i)。</w:t>
        <w:br/>
        <w:t>Kaplan-Meier 估計量定義為各區間條件存活率之累積連乘積：</w:t>
        <w:br/>
        <w:t xml:space="preserve">    Ŝ(t) = ∏_{t_i ≤ t} [ 1 - (d_i / n_i) ]</w:t>
        <w:br/>
        <w:t>【性質】：Ŝ(t) 為右連續階梯函數（Right-continuous Step Function），僅在發生事件之時間點發生向下跳躍；若時間點僅發生設限（d_i = 0），則存活率維持不變，但在險人數 n_i 會扣除設限者，忠實反映後續在險基底。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color w:val="283593"/>
        </w:rPr>
        <w:t>6.2 綠伍德公式 (Greenwood's Formula) 與信賴區間</w:t>
      </w:r>
    </w:p>
    <w:p>
      <w:pPr>
        <w:spacing w:line="300" w:lineRule="auto" w:after="120"/>
      </w:pPr>
      <w:r>
        <w:t>【方差推導】：</w:t>
        <w:br/>
        <w:t>依據 Delta 方法，Ŝ(t) 估計值之變異數（Variance）透過綠伍德公式（Greenwood's Formula）計算：</w:t>
        <w:br/>
        <w:t xml:space="preserve">    Var̂[Ŝ(t)] = [Ŝ(t)]² × ∑_{t_i ≤ t} [ d_i / (n_i × (n_i - d_i)) ]</w:t>
        <w:br/>
        <w:t>標準誤 SE[Ŝ(t)] = √Var̂[Ŝ(t)]。</w:t>
        <w:br/>
        <w:t>【Log-Log 轉換】：直接計算線性信賴區間 Ŝ(t) ± Z_{1-α/2} × SE 可能會超出 [0, 1] 邊界。現代生物統計學建議採用對數-對數轉換（Complementary Log-Log Transformation）：</w:t>
        <w:br/>
        <w:t xml:space="preserve">    W(t) = ln( -ln( Ŝ(t) ) )</w:t>
        <w:br/>
        <w:t>所推導之 95% 信賴區間必然落在 (0, 1) 區間內，本報告之 Lifelines 計算即自動採用此穩健方法。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color w:val="283593"/>
        </w:rPr>
        <w:t>6.3 右設限機制 (Right Censoring) 與無訊息設限假設</w:t>
      </w:r>
    </w:p>
    <w:p>
      <w:pPr>
        <w:spacing w:line="300" w:lineRule="auto" w:after="120"/>
      </w:pPr>
      <w:r>
        <w:t>【設限類型】：本試驗存在右設限（Right Censoring），包含受試者於試驗截止日仍存活（行政設限 Administrative Censoring）及中途失聯。</w:t>
        <w:br/>
        <w:t>【核心統計假設】：Kaplan-Meier 與 Cox 模型之有效性建立在『獨立設限（Independent Censoring）』與『無訊息設限（Non-informative Censoring）』之基本假設上，即在任意時間點 t，被設限受試者若未被設限，其未來發生事件之風險與未被設限者完全相同。接手團隊於後續追蹤中應持續監控失聯受試者之原因，防範因嚴重不良反應而退出的訊息性設限（Informative Censoring）。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color w:val="283593"/>
        </w:rPr>
        <w:t>6.4 對數秩檢定 (Log-Rank Test) 期望值與檢定統計量推導</w:t>
      </w:r>
    </w:p>
    <w:p>
      <w:pPr>
        <w:spacing w:line="300" w:lineRule="auto" w:after="120"/>
      </w:pPr>
      <w:r>
        <w:t>【原理】：Log-Rank 檢定係以 Mantel-Haenszel 超幾何分佈為基礎，檢定兩組存活分佈是否相等（H₀: S₁(t) = S₂(t)）。</w:t>
        <w:br/>
        <w:t>在每個發生事件之時間點 t_i，兩組在險人數分別為 n₁ᵢ, n₂ᵢ，總在險數 n_i = n₁ᵢ + n₂ᵢ；總事件數 d_i = d₁ᵢ + d₂ᵢ。</w:t>
        <w:br/>
        <w:t>在虛無假設成立下，第 1 組期望事件數 E₁ᵢ 與變異數 V_i 為：</w:t>
        <w:br/>
        <w:t xml:space="preserve">    E₁ᵢ = d_i × (n₁ᵢ / n_i)</w:t>
        <w:br/>
        <w:t xml:space="preserve">    V_i = [ n₁ᵢ × n₂ᵢ × d_i × (n_i - d_i) ] / [ n_i² × (n_i - 1) ]</w:t>
        <w:br/>
        <w:t>將所有事件時間點加總，可得總觀察事件數 O₁ = ∑ d₁ᵢ，總期望事件數 E₁ = ∑ E₁ᵢ，總方差 V = ∑ V_i。</w:t>
        <w:br/>
        <w:t>Log-Rank 統計量為：</w:t>
        <w:br/>
        <w:t xml:space="preserve">    χ² = (O₁ - E₁)² / V ~ χ²(1)</w:t>
        <w:br/>
        <w:t>本試驗中 O₁ = 3, E₁ = 4.88, V = 1.54，計算得 χ² = 2.304, p = 0.129。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color w:val="283593"/>
        </w:rPr>
        <w:t>6.5 Cox 等比例風險模型 (Cox PH Model) 與風險比 (Hazard Ratio)</w:t>
      </w:r>
    </w:p>
    <w:p>
      <w:pPr>
        <w:spacing w:line="300" w:lineRule="auto" w:after="120"/>
      </w:pPr>
      <w:r>
        <w:t>【模型架構】：Cox 比例風險回歸為半參數模型（Semiparametric Model），瞬時風險函數（Hazard Function）表示為：</w:t>
        <w:br/>
        <w:t xml:space="preserve">    h(t | X) = h₀(t) × exp( β × X )</w:t>
        <w:br/>
        <w:t>其中 h₀(t) 為任意未知之基準風險（Baseline Hazard），X 為分組指標變數（新藥組 X=1, 對照組 X=0），β 為回歸係數。</w:t>
        <w:br/>
        <w:t>【風險比】：風險比 HR = h(t|X=1) / h(t|X=0) = exp(β)。本分析估算 β = -1.033, HR = exp(-1.033) = 0.356。</w:t>
        <w:br/>
        <w:t>【偏概似估計 (Partial Likelihood)】：Cox 模型的優勢在於不需假設 h₀(t) 之具體分佈形式，透過 Breslow 或 Efron 偏概似函數（Partial Likelihood）即可求解 β 及其標準誤。</w:t>
      </w:r>
    </w:p>
    <w:p>
      <w:pPr>
        <w:pStyle w:val="Heading2"/>
        <w:spacing w:before="240" w:after="80"/>
      </w:pPr>
      <w:r>
        <w:rPr>
          <w:rFonts w:ascii="Microsoft JhengHei" w:hAnsi="Microsoft JhengHei"/>
          <w:color w:val="283593"/>
        </w:rPr>
        <w:t>6.6 等比例風險假設檢定方法 (PH Assumption Diagnostics)</w:t>
      </w:r>
    </w:p>
    <w:p>
      <w:pPr>
        <w:spacing w:line="300" w:lineRule="auto" w:after="120"/>
      </w:pPr>
      <w:r>
        <w:t>【交接重點】：接手團隊於擴大樣本後，必須檢驗 Cox 模型之『等比例風險假設（Proportional Hazards Assumption）』：</w:t>
        <w:br/>
        <w:t>1. Schoenfeld 殘差檢定：殘差對時間之回歸斜率應為 0，若 p &lt; 0.05 則違反假設。</w:t>
        <w:br/>
        <w:t>2. Log-minus-Log 曲線：繪製 ln(-ln(S(t))) 對 ln(t) 曲線，兩組曲線應呈現平行，若曲線交叉則代表效應隨時間改變。</w:t>
        <w:br/>
        <w:t>若未來試驗違反 PH 假設，接手團隊應改採『受限平均存活時間（Restricted Mean Survival Time, RMST）』或時間相依共變量模型進行評估。</w:t>
      </w:r>
    </w:p>
    <w:p>
      <w:pPr>
        <w:pStyle w:val="Caption"/>
      </w:pPr>
      <w:r>
        <w:t>表 5：臨床存活分析統計方法、公式與適用情境速查矩陣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D8DC"/>
          <w:bottom w:val="single" w:sz="4" w:space="0" w:color="CFD8DC"/>
          <w:left w:val="none"/>
          <w:right w:val="none"/>
          <w:insideH w:val="single" w:sz="4" w:space="0" w:color="CF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統計分析方法</w:t>
            </w:r>
          </w:p>
        </w:tc>
        <w:tc>
          <w:tcPr>
            <w:tcW w:type="dxa" w:w="234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核心數學指標 / 公式</w:t>
            </w:r>
          </w:p>
        </w:tc>
        <w:tc>
          <w:tcPr>
            <w:tcW w:type="dxa" w:w="234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主要優勢與用途</w:t>
            </w:r>
          </w:p>
        </w:tc>
        <w:tc>
          <w:tcPr>
            <w:tcW w:type="dxa" w:w="234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限制條件與關鍵假設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04D40"/>
                <w:sz w:val="17"/>
              </w:rPr>
              <w:t>Kaplan-Meier 乘積極限法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Ŝ(t) = ∏ [1 - d_i/n_i]</w:t>
              <w:br/>
              <w:t>Greenwood SE 公式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非參數法，無需分佈假設，能精確推估中位存活期與各時點存活率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僅能進行單變量分組比較，無法同時校正多重干擾共變量</w:t>
            </w:r>
          </w:p>
        </w:tc>
      </w:tr>
      <w:tr>
        <w:tc>
          <w:tcPr>
            <w:tcW w:type="dxa" w:w="2340"/>
            <w:shd w:fill="F0FDF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04D40"/>
                <w:sz w:val="17"/>
              </w:rPr>
              <w:t>對數秩檢定 (Log-Rank Test)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χ² = (O - E)² / V</w:t>
              <w:br/>
              <w:t>~ χ²(df=1)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不依賴分佈假設，對各時間點事件權重均等，為法規審查主要依據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對後期事件靈敏度較高；當存活曲線交叉時檢定力會急遽下降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04D40"/>
                <w:sz w:val="17"/>
              </w:rPr>
              <w:t>Cox 比例風險回歸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h(t|X) = h₀(t)exp(βX)</w:t>
              <w:br/>
              <w:t>HR = exp(β)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可估算相對風險比 (HR)，且便於後續擴展為多變量校正模型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必須符合等比例風險假設（Proportional Hazards Assumption）</w:t>
            </w:r>
          </w:p>
        </w:tc>
      </w:tr>
      <w:tr>
        <w:tc>
          <w:tcPr>
            <w:tcW w:type="dxa" w:w="2340"/>
            <w:shd w:fill="F0FDF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04D40"/>
                <w:sz w:val="17"/>
              </w:rPr>
              <w:t>受限平均存活期 (RMST)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RMST(τ) = ∫₀^τ S(t)dt</w:t>
              <w:br/>
              <w:t>曲線下面積 (AUC)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當曲線交叉或違反 PH 假設時的最佳替代指標，臨床意義極直觀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需預先定義受限時間點 τ，τ 選擇不同可能影響估計值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Microsoft JhengHei" w:hAnsi="Microsoft JhengHei"/>
          <w:color w:val="283593"/>
        </w:rPr>
        <w:t>6.7 統計分析可重現 Python 程式碼清單 (Reproducible Pipeline)</w:t>
      </w:r>
    </w:p>
    <w:p>
      <w:pPr>
        <w:spacing w:line="240" w:lineRule="auto" w:after="160"/>
      </w:pPr>
      <w:r>
        <w:rPr>
          <w:rFonts w:ascii="Consolas" w:hAnsi="Consolas"/>
          <w:color w:val="1B5E20"/>
          <w:sz w:val="17"/>
        </w:rPr>
        <w:t># ------------------------------------------------------------</w:t>
        <w:br/>
        <w:t># 臨床試驗 Kaplan-Meier 與 Cox 比例風險分析標準 Python 管線</w:t>
        <w:br/>
        <w:t># ------------------------------------------------------------</w:t>
        <w:br/>
        <w:t>import pandas as pd</w:t>
        <w:br/>
        <w:t>from lifelines import KaplanMeierFitter, CoxPHFitter</w:t>
        <w:br/>
        <w:t>from lifelines.statistics import logrank_test</w:t>
        <w:br/>
        <w:br/>
        <w:t># 1. 讀取資料</w:t>
        <w:br/>
        <w:t>df = pd.read_excel('Survival test example.xlsx')</w:t>
        <w:br/>
        <w:t>T, E = df['Follow-up Months'], df['Status 1=event 0=censor']</w:t>
        <w:br/>
        <w:t>g1, g2 = df['Group'] == 1, df['Group'] == 2</w:t>
        <w:br/>
        <w:br/>
        <w:t># 2. Kaplan-Meier 配適</w:t>
        <w:br/>
        <w:t>kmf1 = KaplanMeierFitter().fit(T[g1], E[g1], label='Group 1 (新藥組)')</w:t>
        <w:br/>
        <w:t>kmf2 = KaplanMeierFitter().fit(T[g2], E[g2], label='Group 2 (對照組)')</w:t>
        <w:br/>
        <w:t>print('新藥組中位存活時間:', kmf1.median_survival_time_)</w:t>
        <w:br/>
        <w:t>print('對照組中位存活時間:', kmf2.median_survival_time_)</w:t>
        <w:br/>
        <w:br/>
        <w:t># 3. Log-Rank 假設檢定</w:t>
        <w:br/>
        <w:t>lr = logrank_test(T[g1], T[g2], E[g1], E[g2])</w:t>
        <w:br/>
        <w:t>print(f'Log-Rank 卡方值: {lr.test_statistic:.3f}, p值: {lr.p_value:.3f}')</w:t>
        <w:br/>
        <w:br/>
        <w:t># 4. Cox 比例風險回歸 (HR 估算)</w:t>
        <w:br/>
        <w:t>df['New_Drug'] = (df['Group'] == 1).astype(int)</w:t>
        <w:br/>
        <w:t>cph = CoxPHFitter().fit(df[['Follow-up Months', 'Status 1=event 0=censor', 'New_Drug']],</w:t>
        <w:br/>
        <w:t xml:space="preserve">                       duration_col='Follow-up Months', event_col='Status 1=event 0=censor')</w:t>
        <w:br/>
        <w:t>cph.print_summary()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