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pStyle w:val="Heading1"/>
        <w:spacing w:line="240"/>
        <w:rPr>
          <w:color w:val="000000" w:themeColor="dk1"/>
        </w:rPr>
      </w:pPr>
      <w:r>
        <w:rPr>
          <w:color w:val="000000" w:themeColor="dk1"/>
          <w:rtl w:val="off"/>
        </w:rPr>
        <w:t>LCG Monte Carlo Assignment Handwritten Answers</w:t>
      </w:r>
    </w:p>
    <w:p w14:paraId="00000002">
      <w:pPr>
        <w:spacing w:line="240"/>
        <w:rPr>
          <w:color w:val="000000" w:themeColor="dk1"/>
        </w:rPr>
      </w:pP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Q1(a)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X1 = (1103515245 × 123 + 12345) mod 2147483647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= 135,732,387,480 mod 2,147,483,647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= 415,113,682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Q1(b)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Changing the seed changes the entire random number sequence. Therefore auditors cannot reproduce the same simulation results, making the previously approved compliance report invalid.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Q2(a)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32-bit signed integer limit = 2,147,483,647.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The value 135,732,387,480 is about 63 times larger than this limit.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Q2(b)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Excel uses 64-bit floating-point arithmetic and can store very large numbers safely.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Lower-level C/GPU implementations may overflow if 32-bit integers are used. Using int64 prevents this problem.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Q3(a)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100 iterations/run × 1000 production lines/day = 100,000 numbers/day.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2,147,483,647 ÷ 100,000 = 21,474.84 days ≈ 21,475 days ≈ 58.8 years.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Q3(b)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If the sequence repeats, rare-event estimates become biased and predictable.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This can lead to incorrect estimates of 6-Sigma defect probabilities.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Q4(a)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T = -λ ln(1-U1)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As U1 approaches 1, (1-U1) approaches 0 and ln(1-U1) becomes very negative.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Therefore T becomes very large, producing long simulated downtime durations.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Q4(b)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If sample variance is lower than 1/12, risk is underestimated and the safety buffer may be too small.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If sample variance is higher than 1/12, risk is overestimated and excess capital may be reserved.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Q5(a)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Formula in C8: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=B8/$B$5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Q5(b)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Bounds check: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=AND(MIN(C8:C107)&gt;=0,MAX(C8:C107)&lt;1)</w:t>
      </w:r>
      <w:r>
        <w:rPr>
          <w:color w:val="000000" w:themeColor="dk1"/>
          <w:rtl w:val="off"/>
        </w:rPr>
        <w:br w:type="textWrapping"/>
      </w:r>
      <w:r>
        <w:rPr>
          <w:color w:val="000000" w:themeColor="dk1"/>
          <w:rtl w:val="off"/>
        </w:rPr>
        <w:t>If TRUE, all values lie within [0,1).</w:t>
      </w:r>
      <w:r>
        <w:rPr>
          <w:color w:val="000000" w:themeColor="dk1"/>
          <w:rtl w:val="off"/>
        </w:rPr>
        <w:t>If FALSE, at least one value is outside the valid range.</w:t>
      </w:r>
      <w:r>
        <w:rPr>
          <w:color w:val="000000" w:themeColor="dk1"/>
          <w:rtl w:val="off"/>
        </w:rPr>
        <w:br w:type="textWrapping"/>
      </w:r>
    </w:p>
    <w:sectPr>
      <w:pgSz w:w="12240" w:h="15840" w:orient="portrait"/>
      <w:pgMar w:top="1440" w:right="1800" w:bottom="1440" w:left="1800" w:header="720" w:footer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/>
  <w:font w:name="Calibri"/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spacing w:before="480" w:after="0"/>
    </w:pPr>
    <w:rPr>
      <w:rFonts w:ascii="Calibri" w:cs="Calibri" w:eastAsia="Calibri" w:hAnsi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b/>
      <w:bCs/>
      <w:color w:val="4f81bd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spacing w:before="200" w:after="0"/>
    </w:pPr>
    <w:rPr>
      <w:rFonts w:ascii="Calibri" w:cs="Calibri" w:eastAsia="Calibri" w:hAnsi="Calibri"/>
      <w:i/>
      <w:iCs/>
      <w:color w:val="243f61"/>
    </w:rPr>
  </w:style>
  <w:style w:type="paragraph" w:styleId="Title">
    <w:name w:val="Title"/>
    <w:basedOn w:val="Normal"/>
    <w:next w:val="Normal"/>
    <w:uiPriority w:val="99"/>
    <w:pPr>
      <w:pBdr>
        <w:bottom w:val="single" w:color="4f81bd" w:sz="8" w:space="4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99"/>
    <w:pPr/>
    <w:rPr>
      <w:rFonts w:ascii="Calibri" w:cs="Calibri" w:eastAsia="Calibri" w:hAnsi="Calibri"/>
      <w:i/>
      <w:iCs/>
      <w:color w:val="4f81bd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