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Lottery Blocks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t xml:space="preserve">/</w:t>
            </w:r>
            <w:r w:rsidDel="00000000" w:rsidR="00000000" w:rsidRPr="00000000">
              <w:rPr>
                <w:b w:val="1"/>
                <w:rtl w:val="0"/>
              </w:rPr>
              <w:t xml:space="preserve">Tech Preview</w:t>
            </w:r>
            <w:r w:rsidDel="00000000" w:rsidR="00000000" w:rsidRPr="00000000">
              <w:rPr>
                <w:rtl w:val="0"/>
              </w:rPr>
              <w:t xml:space="preserve">/</w:t>
            </w:r>
            <w:r w:rsidDel="00000000" w:rsidR="00000000" w:rsidRPr="00000000">
              <w:rPr>
                <w:b w:val="1"/>
                <w:rtl w:val="0"/>
              </w:rPr>
              <w:t xml:space="preserve">Experimental</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mesh network</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Hypervisor, toolstack, guest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where applicable</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The lottery blocks concept is a new way to randomly reward participants that are using their resources to support the network. The Lottery Blocks system is designed to increase participation and security in the Divi network by making people want to keep their coins in the ecosystem and off exchanges.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1/2 coin designated from every block created (one per minute). • One big lottery block winner each week, awarding 2520 DIVI.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Ten smaller winners per week, awarded 252 DIVI.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be eligible to win, participants must be actively staking 100 or more coins, or have a masternode running.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Eligible to win unlimited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Owning multiple staked wallets or more than one masternode will increase your odds.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Whenever a new block is added to our blockchain, which is every 60 seconds, half a DIVI is placed into a wallet to fund our Lottery. Then, once per week, lucky winners are chosen at random, and the accumulated funds will be deposited directly into their </w:t>
      </w:r>
      <w:hyperlink r:id="rId6">
        <w:r w:rsidDel="00000000" w:rsidR="00000000" w:rsidRPr="00000000">
          <w:rPr>
            <w:color w:val="1155cc"/>
            <w:u w:val="single"/>
            <w:rtl w:val="0"/>
          </w:rPr>
          <w:t xml:space="preserve">smart wallets</w:t>
        </w:r>
      </w:hyperlink>
      <w:r w:rsidDel="00000000" w:rsidR="00000000" w:rsidRPr="00000000">
        <w:rPr>
          <w:rtl w:val="0"/>
        </w:rPr>
        <w:t xml:space="preserve">. This will include both </w:t>
      </w:r>
      <w:hyperlink r:id="rId7">
        <w:r w:rsidDel="00000000" w:rsidR="00000000" w:rsidRPr="00000000">
          <w:rPr>
            <w:color w:val="1155cc"/>
            <w:u w:val="single"/>
            <w:rtl w:val="0"/>
          </w:rPr>
          <w:t xml:space="preserve">masternodes</w:t>
        </w:r>
      </w:hyperlink>
      <w:r w:rsidDel="00000000" w:rsidR="00000000" w:rsidRPr="00000000">
        <w:rPr>
          <w:rtl w:val="0"/>
        </w:rPr>
        <w:t xml:space="preserve"> </w:t>
      </w:r>
      <w:r w:rsidDel="00000000" w:rsidR="00000000" w:rsidRPr="00000000">
        <w:rPr>
          <w:rtl w:val="0"/>
        </w:rPr>
        <w:t xml:space="preserve">and staked wallets, so only 100 DIVI is required to participate.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the value of DIVI grows, the lottery winning will also grow, making it quite a large amount to win. For example, when DIVI reaches $10 then the winnings can be over $50,000 worth of DIVI each week. For many people, this is a life-changing amount.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with this is not just to reward our stakers, but to try to get more people to keep their DIVI in the network and support it with more masternodes and staked wallets. Keeping DIVI staked and off the exchanges is better in many ways such as adding stability to our price, which is a major requirement for </w:t>
      </w:r>
      <w:hyperlink r:id="rId8">
        <w:r w:rsidDel="00000000" w:rsidR="00000000" w:rsidRPr="00000000">
          <w:rPr>
            <w:color w:val="1155cc"/>
            <w:u w:val="single"/>
            <w:rtl w:val="0"/>
          </w:rPr>
          <w:t xml:space="preserve">mass adoption</w:t>
        </w:r>
      </w:hyperlink>
      <w:r w:rsidDel="00000000" w:rsidR="00000000" w:rsidRPr="00000000">
        <w:rPr>
          <w:rtl w:val="0"/>
        </w:rPr>
        <w:t xml:space="preserve"> of a cryptocurrency.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Information for a developer or power user. Should include where to look in-tree for detailed documents and code.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Information concerning incompatibilities with other features or hardware combinations.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Information concerning how to properly test changes affecting this feature.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https://www.coindesk.com/blockchain-lottery-miners-rewarded/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https://medium.com/diviproject/divis-lottery-blocks-8c323e3b0b4b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diviproject/divis-lottery-blocks-8c323e3b0b4b" TargetMode="External"/><Relationship Id="rId9" Type="http://schemas.openxmlformats.org/officeDocument/2006/relationships/hyperlink" Target="https://www.coindesk.com/blockchain-lottery-miners-rewarded/" TargetMode="External"/><Relationship Id="rId5" Type="http://schemas.openxmlformats.org/officeDocument/2006/relationships/styles" Target="styles.xml"/><Relationship Id="rId6" Type="http://schemas.openxmlformats.org/officeDocument/2006/relationships/hyperlink" Target="https://medium.com/@DiviProject/divis-smart-wallet-features-e7ba69820b00" TargetMode="External"/><Relationship Id="rId7" Type="http://schemas.openxmlformats.org/officeDocument/2006/relationships/hyperlink" Target="https://medium.com/@DiviProject/divi-masternodes-explained-f1fe24d8dab5" TargetMode="External"/><Relationship Id="rId8" Type="http://schemas.openxmlformats.org/officeDocument/2006/relationships/hyperlink" Target="https://medium.com/@DiviProject/mass-adoption-5342b23cc9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