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PIN Transaction</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b w:val="1"/>
                <w:rtl w:val="0"/>
              </w:rPr>
              <w:t xml:space="preserve">Supported</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i w:val="1"/>
                <w:rtl w:val="0"/>
              </w:rPr>
              <w:t xml:space="preserve">n/a</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Overview</w:t>
      </w:r>
    </w:p>
    <w:p w:rsidR="00000000" w:rsidDel="00000000" w:rsidP="00000000" w:rsidRDefault="00000000" w:rsidRPr="00000000">
      <w:pPr>
        <w:contextualSpacing w:val="0"/>
        <w:rPr/>
      </w:pPr>
      <w:r w:rsidDel="00000000" w:rsidR="00000000" w:rsidRPr="00000000">
        <w:rPr>
          <w:rtl w:val="0"/>
        </w:rPr>
        <w:t xml:space="preserve">As an additional security measure, the user can require a </w:t>
      </w:r>
      <w:commentRangeStart w:id="0"/>
      <w:commentRangeStart w:id="1"/>
      <w:commentRangeStart w:id="2"/>
      <w:commentRangeStart w:id="3"/>
      <w:commentRangeStart w:id="4"/>
      <w:r w:rsidDel="00000000" w:rsidR="00000000" w:rsidRPr="00000000">
        <w:rPr>
          <w:rtl w:val="0"/>
        </w:rPr>
        <w:t xml:space="preserve">4-digit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PIN code to be entered to submit a transaction to the blockchain.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w:t>
      </w:r>
      <w:commentRangeStart w:id="5"/>
      <w:r w:rsidDel="00000000" w:rsidR="00000000" w:rsidRPr="00000000">
        <w:rPr>
          <w:b w:val="1"/>
          <w:sz w:val="46"/>
          <w:szCs w:val="46"/>
          <w:rtl w:val="0"/>
        </w:rPr>
        <w:t xml:space="preserve">User details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Enabled by default and setup upon wallet creation. This feature can be modified and turned off completely from the settings panel in the user’s console or smart wallet application. If the PIN is attempted more than (X) times, the account will lock until the user can recover with a mnemonic phase.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This 4-digit PIN will not be recoverable as it will be encrypted on the back end and not stored in a central server. It can, however, be reset if the previous PIN or mnemonic backup phrase is known by the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Simple backend password encryption should be implemented to mask the PIN from any unauthorized users.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5"/>
      <w:bookmarkEnd w:id="5"/>
      <w:r w:rsidDel="00000000" w:rsidR="00000000" w:rsidRPr="00000000">
        <w:rPr>
          <w:b w:val="1"/>
          <w:sz w:val="46"/>
          <w:szCs w:val="46"/>
          <w:rtl w:val="0"/>
        </w:rPr>
        <w:t xml:space="preserve">5 Limitations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6"/>
      <w:bookmarkEnd w:id="6"/>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This feature will fall under the umbrella of security testing, which should be a rigorous process done by a third party. For this feature specifically, testing will include attempts at decryption by an outside party.</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7"/>
      <w:bookmarkEnd w:id="7"/>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Additional recovery methods could be added to build more confidence in the user.</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8"/>
      <w:bookmarkEnd w:id="8"/>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List of known issues or bugs. For tech preview or experimental features, this section must contain the list of items needing fixing for its status to be upgraded.</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9"/>
      <w:bookmarkEnd w:id="9"/>
      <w:r w:rsidDel="00000000" w:rsidR="00000000" w:rsidRPr="00000000">
        <w:rPr>
          <w:b w:val="1"/>
          <w:sz w:val="46"/>
          <w:szCs w:val="46"/>
          <w:rtl w:val="0"/>
        </w:rPr>
        <w:t xml:space="preserve">9 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adhg Crowley" w:id="0" w:date="2017-12-31T20:26: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4 digit and not 6 for example?</w:t>
      </w:r>
    </w:p>
  </w:comment>
  <w:comment w:author="Nick Saponaro" w:id="1" w:date="2017-12-31T22:08: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6 or even 4-6 but went with what users are primarily familiar with in the end. Open to discussion.</w:t>
      </w:r>
    </w:p>
  </w:comment>
  <w:comment w:author="Tadhg Crowley" w:id="2" w:date="2017-12-31T23:57: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no worries. Just trying to understand rationale. But the open question is if the difference in security is worth increasing the count. e.g. how much more secure is 6 than 4 or 9 than 6. Its exponential as i understand it.</w:t>
      </w:r>
    </w:p>
  </w:comment>
  <w:comment w:author="Nick Saponaro" w:id="3" w:date="2018-01-01T00:06: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always have options for advanced users to increase the security of their account by increasing the index length of their pin, while still achieving ease of use by only requiring 4 digits at sign up.</w:t>
      </w:r>
    </w:p>
  </w:comment>
  <w:comment w:author="Tadhg Crowley" w:id="4" w:date="2018-01-01T19:26: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a good option, lets document it so we expose these for approval/elimination, thanks</w:t>
      </w:r>
    </w:p>
  </w:comment>
  <w:comment w:author="Tadhg Crowley" w:id="5" w:date="2017-12-31T20:35: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user scenario or use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