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276" w:lineRule="auto"/>
      </w:pPr>
      <w:r>
        <w:rPr>
          <w:rFonts w:ascii="Calibri" w:cs="Calibri" w:eastAsia="Calibri" w:hAnsi="Calibri"/>
          <w:b/>
          <w:bCs/>
          <w:sz w:val="46"/>
          <w:szCs w:val="46"/>
        </w:rPr>
        <w:t xml:space="preserve">Morris Wong</w:t>
      </w:r>
    </w:p>
    <w:tbl>
      <w:tblPr>
        <w:tblW w:type="dxa" w:w="10886"/>
        <w:tblBorders>
          <w:top w:val="none" w:color="FFFFFF" w:sz="0"/>
          <w:left w:val="none" w:color="FFFFFF" w:sz="0"/>
          <w:bottom w:val="none" w:color="FFFFFF" w:sz="0"/>
          <w:right w:val="none" w:color="FFFFFF" w:sz="0"/>
          <w:insideH w:val="single" w:color="auto" w:sz="4"/>
          <w:insideV w:val="single" w:color="auto" w:sz="4"/>
        </w:tblBorders>
      </w:tblPr>
      <w:tblGrid>
        <w:gridCol w:w="6532"/>
        <w:gridCol w:w="4354"/>
      </w:tblGrid>
      <w:tr>
        <w:tc>
          <w:tcPr>
            <w:tcW w:type="dxa" w:w="6532"/>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80" w:line="276" w:lineRule="auto"/>
            </w:pPr>
            <w:r>
              <w:rPr>
                <w:rFonts w:ascii="Calibri" w:cs="Calibri" w:eastAsia="Calibri" w:hAnsi="Calibri"/>
                <w:sz w:val="22"/>
                <w:szCs w:val="22"/>
              </w:rPr>
              <w:t xml:space="preserve">London, UK | morriswch@gmail.com | +44 777 510 3852</w:t>
            </w:r>
          </w:p>
        </w:tc>
        <w:tc>
          <w:tcPr>
            <w:tcW w:type="dxa" w:w="4354"/>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80" w:line="276" w:lineRule="auto"/>
              <w:jc w:val="right"/>
            </w:pPr>
            <w:hyperlink w:history="1" r:id="rId6-jw31_n2pdqlendohu2b">
              <w:r>
                <w:rPr>
                  <w:rStyle w:val="Hyperlink"/>
                  <w:rFonts w:ascii="Calibri" w:cs="Calibri" w:eastAsia="Calibri" w:hAnsi="Calibri"/>
                  <w:sz w:val="22"/>
                  <w:szCs w:val="22"/>
                </w:rPr>
                <w:t xml:space="preserve">Blogs</w:t>
              </w:r>
            </w:hyperlink>
            <w:r>
              <w:rPr>
                <w:rFonts w:ascii="Calibri" w:cs="Calibri" w:eastAsia="Calibri" w:hAnsi="Calibri"/>
                <w:sz w:val="22"/>
                <w:szCs w:val="22"/>
              </w:rPr>
              <w:t xml:space="preserve"> | </w:t>
            </w:r>
            <w:hyperlink w:history="1" r:id="rIdle04ujge9b2pfv8ajvlrn">
              <w:r>
                <w:rPr>
                  <w:rStyle w:val="Hyperlink"/>
                  <w:rFonts w:ascii="Calibri" w:cs="Calibri" w:eastAsia="Calibri" w:hAnsi="Calibri"/>
                  <w:sz w:val="22"/>
                  <w:szCs w:val="22"/>
                </w:rPr>
                <w:t xml:space="preserve">LinkedIn</w:t>
              </w:r>
            </w:hyperlink>
            <w:r>
              <w:rPr>
                <w:rFonts w:ascii="Calibri" w:cs="Calibri" w:eastAsia="Calibri" w:hAnsi="Calibri"/>
                <w:sz w:val="22"/>
                <w:szCs w:val="22"/>
              </w:rPr>
              <w:t xml:space="preserve"> | </w:t>
            </w:r>
            <w:hyperlink w:history="1" r:id="rIdwc7uvywvz8jbbeuwdpwmf">
              <w:r>
                <w:rPr>
                  <w:rStyle w:val="Hyperlink"/>
                  <w:rFonts w:ascii="Calibri" w:cs="Calibri" w:eastAsia="Calibri" w:hAnsi="Calibri"/>
                  <w:sz w:val="22"/>
                  <w:szCs w:val="22"/>
                </w:rPr>
                <w:t xml:space="preserve">Github</w:t>
              </w:r>
            </w:hyperlink>
          </w:p>
        </w:tc>
      </w:tr>
    </w:tbl>
    <w:p>
      <w:pPr>
        <w:spacing w:before="120" w:after="0" w:line="276" w:lineRule="auto"/>
      </w:pPr>
      <w:r>
        <w:rPr>
          <w:rFonts w:ascii="Calibri" w:cs="Calibri" w:eastAsia="Calibri" w:hAnsi="Calibri"/>
          <w:b/>
          <w:bCs/>
          <w:sz w:val="26"/>
          <w:szCs w:val="26"/>
        </w:rPr>
        <w:t xml:space="preserve">Professional Summary</w:t>
      </w:r>
    </w:p>
    <w:tbl>
      <w:tblPr>
        <w:tblW w:type="dxa" w:w="10886"/>
        <w:tblBorders>
          <w:top w:val="none" w:color="FFFFFF" w:sz="0"/>
          <w:left w:val="none" w:color="FFFFFF" w:sz="0"/>
          <w:bottom w:val="none" w:color="FFFFFF" w:sz="0"/>
          <w:right w:val="none" w:color="FFFFFF" w:sz="0"/>
          <w:insideH w:val="single" w:color="auto" w:sz="4"/>
          <w:insideV w:val="single" w:color="auto" w:sz="4"/>
        </w:tblBorders>
      </w:tblPr>
      <w:tblGrid>
        <w:gridCol w:w="10886"/>
      </w:tblGrid>
      <w:tr>
        <w:tc>
          <w:tcPr>
            <w:tcW w:type="dxa" w:w="10886"/>
            <w:tcBorders>
              <w:top w:val="none" w:color="FFFFFF" w:sz="0"/>
              <w:left w:val="none" w:color="FFFFFF" w:sz="0"/>
              <w:bottom w:val="single" w:color="000000" w:sz="6"/>
              <w:right w:val="none" w:color="FFFFFF" w:sz="0"/>
            </w:tcBorders>
            <w:tcMar>
              <w:top w:type="dxa" w:w="0"/>
              <w:left w:type="dxa" w:w="0"/>
              <w:bottom w:type="dxa" w:w="0"/>
              <w:right w:type="dxa" w:w="0"/>
            </w:tcMar>
          </w:tcPr>
          <w:p>
            <w:pPr>
              <w:spacing w:before="0" w:after="0" w:line="1" w:lineRule="exact"/>
            </w:pPr>
            <w:r>
              <w:rPr>
                <w:rFonts w:ascii="Calibri" w:cs="Calibri" w:eastAsia="Calibri" w:hAnsi="Calibri"/>
                <w:sz w:val="1"/>
                <w:szCs w:val="1"/>
              </w:rPr>
              <w:t xml:space="preserve"/>
            </w:r>
          </w:p>
        </w:tc>
      </w:tr>
    </w:tbl>
    <w:p>
      <w:pPr>
        <w:spacing w:before="0" w:after="0" w:line="276" w:lineRule="auto"/>
      </w:pPr>
      <w:r>
        <w:rPr>
          <w:rFonts w:ascii="Calibri" w:cs="Calibri" w:eastAsia="Calibri" w:hAnsi="Calibri"/>
          <w:sz w:val="22"/>
          <w:szCs w:val="22"/>
        </w:rPr>
        <w:t xml:space="preserve">Data scientist with seven years of experience in product analytics and Large Language Model applications. Experienced in building from Zero to One at both enterprise and startup environment. Interested in building various AI products like a </w:t>
      </w:r>
      <w:hyperlink w:history="1" r:id="rId3e9axziiunbyayscdtmo1">
        <w:r>
          <w:rPr>
            <w:rStyle w:val="Hyperlink"/>
            <w:rFonts w:ascii="Calibri" w:cs="Calibri" w:eastAsia="Calibri" w:hAnsi="Calibri"/>
            <w:sz w:val="22"/>
            <w:szCs w:val="22"/>
          </w:rPr>
          <w:t xml:space="preserve">Chatbot</w:t>
        </w:r>
      </w:hyperlink>
      <w:r>
        <w:rPr>
          <w:rFonts w:ascii="Calibri" w:cs="Calibri" w:eastAsia="Calibri" w:hAnsi="Calibri"/>
          <w:sz w:val="22"/>
          <w:szCs w:val="22"/>
        </w:rPr>
        <w:t xml:space="preserve"> that helps you chat with the 100+ pages long WEF Future of Jobs Report</w:t>
      </w:r>
    </w:p>
    <w:p>
      <w:pPr>
        <w:spacing w:before="120" w:after="0" w:line="276" w:lineRule="auto"/>
      </w:pPr>
      <w:r>
        <w:rPr>
          <w:rFonts w:ascii="Calibri" w:cs="Calibri" w:eastAsia="Calibri" w:hAnsi="Calibri"/>
          <w:b/>
          <w:bCs/>
          <w:sz w:val="26"/>
          <w:szCs w:val="26"/>
        </w:rPr>
        <w:t xml:space="preserve">Professional Experience</w:t>
      </w:r>
    </w:p>
    <w:tbl>
      <w:tblPr>
        <w:tblW w:type="dxa" w:w="10886"/>
        <w:tblBorders>
          <w:top w:val="none" w:color="FFFFFF" w:sz="0"/>
          <w:left w:val="none" w:color="FFFFFF" w:sz="0"/>
          <w:bottom w:val="none" w:color="FFFFFF" w:sz="0"/>
          <w:right w:val="none" w:color="FFFFFF" w:sz="0"/>
          <w:insideH w:val="single" w:color="auto" w:sz="4"/>
          <w:insideV w:val="single" w:color="auto" w:sz="4"/>
        </w:tblBorders>
      </w:tblPr>
      <w:tblGrid>
        <w:gridCol w:w="10886"/>
      </w:tblGrid>
      <w:tr>
        <w:tc>
          <w:tcPr>
            <w:tcW w:type="dxa" w:w="10886"/>
            <w:tcBorders>
              <w:top w:val="none" w:color="FFFFFF" w:sz="0"/>
              <w:left w:val="none" w:color="FFFFFF" w:sz="0"/>
              <w:bottom w:val="single" w:color="000000" w:sz="6"/>
              <w:right w:val="none" w:color="FFFFFF" w:sz="0"/>
            </w:tcBorders>
            <w:tcMar>
              <w:top w:type="dxa" w:w="0"/>
              <w:left w:type="dxa" w:w="0"/>
              <w:bottom w:type="dxa" w:w="0"/>
              <w:right w:type="dxa" w:w="0"/>
            </w:tcMar>
          </w:tcPr>
          <w:p>
            <w:pPr>
              <w:spacing w:before="0" w:after="0" w:line="1" w:lineRule="exact"/>
            </w:pPr>
            <w:r>
              <w:rPr>
                <w:rFonts w:ascii="Calibri" w:cs="Calibri" w:eastAsia="Calibri" w:hAnsi="Calibri"/>
                <w:sz w:val="1"/>
                <w:szCs w:val="1"/>
              </w:rPr>
              <w:t xml:space="preserve"/>
            </w:r>
          </w:p>
        </w:tc>
      </w:tr>
    </w:tbl>
    <w:tbl>
      <w:tblPr>
        <w:tblW w:type="dxa" w:w="10886"/>
        <w:tblBorders>
          <w:top w:val="none" w:color="FFFFFF" w:sz="0"/>
          <w:left w:val="none" w:color="FFFFFF" w:sz="0"/>
          <w:bottom w:val="none" w:color="FFFFFF" w:sz="0"/>
          <w:right w:val="none" w:color="FFFFFF" w:sz="0"/>
          <w:insideH w:val="single" w:color="auto" w:sz="4"/>
          <w:insideV w:val="single" w:color="auto" w:sz="4"/>
        </w:tblBorders>
      </w:tblPr>
      <w:tblGrid>
        <w:gridCol w:w="7947"/>
        <w:gridCol w:w="2939"/>
      </w:tblGrid>
      <w:tr>
        <w:tc>
          <w:tcPr>
            <w:tcW w:type="dxa" w:w="7947"/>
            <w:tcBorders>
              <w:top w:val="none" w:color="FFFFFF" w:sz="0"/>
              <w:left w:val="none" w:color="FFFFFF" w:sz="0"/>
              <w:bottom w:val="none" w:color="FFFFFF" w:sz="0"/>
              <w:right w:val="none" w:color="FFFFFF" w:sz="0"/>
            </w:tcBorders>
            <w:tcMar>
              <w:top w:type="dxa" w:w="0"/>
              <w:left w:type="dxa" w:w="0"/>
              <w:bottom w:type="dxa" w:w="0"/>
              <w:right w:type="dxa" w:w="0"/>
            </w:tcMar>
          </w:tcPr>
          <w:p>
            <w:pPr>
              <w:spacing w:before="80" w:after="0" w:line="276" w:lineRule="auto"/>
            </w:pPr>
            <w:r>
              <w:rPr>
                <w:rFonts w:ascii="Calibri" w:cs="Calibri" w:eastAsia="Calibri" w:hAnsi="Calibri"/>
                <w:b/>
                <w:bCs/>
                <w:sz w:val="22"/>
                <w:szCs w:val="22"/>
              </w:rPr>
              <w:t xml:space="preserve">Senior AI Engineer, Willis Towers Watson (NASDAQ:WTW)</w:t>
            </w:r>
          </w:p>
        </w:tc>
        <w:tc>
          <w:tcPr>
            <w:tcW w:type="dxa" w:w="2939"/>
            <w:tcBorders>
              <w:top w:val="none" w:color="FFFFFF" w:sz="0"/>
              <w:left w:val="none" w:color="FFFFFF" w:sz="0"/>
              <w:bottom w:val="none" w:color="FFFFFF" w:sz="0"/>
              <w:right w:val="none" w:color="FFFFFF" w:sz="0"/>
            </w:tcBorders>
            <w:tcMar>
              <w:top w:type="dxa" w:w="0"/>
              <w:left w:type="dxa" w:w="0"/>
              <w:bottom w:type="dxa" w:w="0"/>
              <w:right w:type="dxa" w:w="0"/>
            </w:tcMar>
          </w:tcPr>
          <w:p>
            <w:pPr>
              <w:spacing w:before="80" w:after="0" w:line="276" w:lineRule="auto"/>
              <w:jc w:val="right"/>
            </w:pPr>
            <w:r>
              <w:rPr>
                <w:rFonts w:ascii="Calibri" w:cs="Calibri" w:eastAsia="Calibri" w:hAnsi="Calibri"/>
                <w:sz w:val="22"/>
                <w:szCs w:val="22"/>
              </w:rPr>
              <w:t xml:space="preserve">Jun 2023 – Present</w:t>
            </w:r>
          </w:p>
        </w:tc>
      </w:tr>
    </w:tbl>
    <w:tbl>
      <w:tblPr>
        <w:tblW w:type="dxa" w:w="10886"/>
        <w:tblBorders>
          <w:top w:val="none" w:color="FFFFFF" w:sz="0"/>
          <w:left w:val="none" w:color="FFFFFF" w:sz="0"/>
          <w:bottom w:val="none" w:color="FFFFFF" w:sz="0"/>
          <w:right w:val="none" w:color="FFFFFF" w:sz="0"/>
          <w:insideH w:val="single" w:color="auto" w:sz="4"/>
          <w:insideV w:val="single" w:color="auto" w:sz="4"/>
        </w:tblBorders>
      </w:tblPr>
      <w:tblGrid>
        <w:gridCol w:w="7947"/>
        <w:gridCol w:w="2939"/>
      </w:tblGrid>
      <w:tr>
        <w:tc>
          <w:tcPr>
            <w:tcW w:type="dxa" w:w="7947"/>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line="276" w:lineRule="auto"/>
            </w:pPr>
            <w:r>
              <w:rPr>
                <w:rFonts w:ascii="Calibri" w:cs="Calibri" w:eastAsia="Calibri" w:hAnsi="Calibri"/>
                <w:sz w:val="22"/>
                <w:szCs w:val="22"/>
              </w:rPr>
              <w:t xml:space="preserve">Global Human Capital advisory firm, advising 90% of FTSE company in UK</w:t>
            </w:r>
          </w:p>
        </w:tc>
        <w:tc>
          <w:tcPr>
            <w:tcW w:type="dxa" w:w="2939"/>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line="276" w:lineRule="auto"/>
              <w:jc w:val="right"/>
            </w:pPr>
            <w:r>
              <w:rPr>
                <w:rFonts w:ascii="Calibri" w:cs="Calibri" w:eastAsia="Calibri" w:hAnsi="Calibri"/>
                <w:sz w:val="22"/>
                <w:szCs w:val="22"/>
              </w:rPr>
              <w:t xml:space="preserve">London, UK</w:t>
            </w:r>
          </w:p>
        </w:tc>
      </w:tr>
    </w:tbl>
    <w:p>
      <w:pPr>
        <w:pStyle w:val="ListParagraph"/>
        <w:numPr>
          <w:ilvl w:val="0"/>
          <w:numId w:val="2"/>
        </w:numPr>
        <w:spacing w:before="0" w:after="0" w:line="276" w:lineRule="auto"/>
      </w:pPr>
      <w:r>
        <w:rPr>
          <w:rFonts w:ascii="Calibri" w:cs="Calibri" w:eastAsia="Calibri" w:hAnsi="Calibri"/>
          <w:sz w:val="22"/>
          <w:szCs w:val="22"/>
        </w:rPr>
        <w:t xml:space="preserve">Architected HiAI agent using LangChain and FastAPI, replacing Microsoft Copilot for 3,000+ consultants.</w:t>
      </w:r>
    </w:p>
    <w:p>
      <w:pPr>
        <w:pStyle w:val="ListParagraph"/>
        <w:numPr>
          <w:ilvl w:val="0"/>
          <w:numId w:val="2"/>
        </w:numPr>
        <w:spacing w:before="0" w:after="0" w:line="276" w:lineRule="auto"/>
      </w:pPr>
      <w:r>
        <w:rPr>
          <w:rFonts w:ascii="Calibri" w:cs="Calibri" w:eastAsia="Calibri" w:hAnsi="Calibri"/>
          <w:sz w:val="22"/>
          <w:szCs w:val="22"/>
        </w:rPr>
        <w:t xml:space="preserve">Built multi-step reasoning agent with LangChain and Pydantic outputs, reducing research time by 80%.</w:t>
      </w:r>
    </w:p>
    <w:p>
      <w:pPr>
        <w:pStyle w:val="ListParagraph"/>
        <w:numPr>
          <w:ilvl w:val="0"/>
          <w:numId w:val="2"/>
        </w:numPr>
        <w:spacing w:before="0" w:after="0" w:line="276" w:lineRule="auto"/>
      </w:pPr>
      <w:r>
        <w:rPr>
          <w:rFonts w:ascii="Calibri" w:cs="Calibri" w:eastAsia="Calibri" w:hAnsi="Calibri"/>
          <w:sz w:val="22"/>
          <w:szCs w:val="22"/>
        </w:rPr>
        <w:t xml:space="preserve">Built MLflow evaluation measuring groundedness and factual consistency, improving satisfaction by 20%.</w:t>
      </w:r>
    </w:p>
    <w:p>
      <w:pPr>
        <w:pStyle w:val="ListParagraph"/>
        <w:numPr>
          <w:ilvl w:val="0"/>
          <w:numId w:val="2"/>
        </w:numPr>
        <w:spacing w:before="0" w:after="0" w:line="276" w:lineRule="auto"/>
      </w:pPr>
      <w:r>
        <w:rPr>
          <w:rFonts w:ascii="Calibri" w:cs="Calibri" w:eastAsia="Calibri" w:hAnsi="Calibri"/>
          <w:sz w:val="22"/>
          <w:szCs w:val="22"/>
        </w:rPr>
        <w:t xml:space="preserve">Designed semantic models bridging HR data to conversational interfaces for natural-language queries.</w:t>
      </w:r>
    </w:p>
    <w:p>
      <w:pPr>
        <w:pStyle w:val="ListParagraph"/>
        <w:numPr>
          <w:ilvl w:val="0"/>
          <w:numId w:val="2"/>
        </w:numPr>
        <w:spacing w:before="0" w:after="0" w:line="276" w:lineRule="auto"/>
      </w:pPr>
      <w:r>
        <w:rPr>
          <w:rFonts w:ascii="Calibri" w:cs="Calibri" w:eastAsia="Calibri" w:hAnsi="Calibri"/>
          <w:sz w:val="22"/>
          <w:szCs w:val="22"/>
        </w:rPr>
        <w:t xml:space="preserve">Mentored 2 junior data scientists on RAG, prompt engineering, and MLflow; both shipped to production.</w:t>
      </w:r>
    </w:p>
    <w:tbl>
      <w:tblPr>
        <w:tblW w:type="dxa" w:w="10886"/>
        <w:tblBorders>
          <w:top w:val="none" w:color="FFFFFF" w:sz="0"/>
          <w:left w:val="none" w:color="FFFFFF" w:sz="0"/>
          <w:bottom w:val="none" w:color="FFFFFF" w:sz="0"/>
          <w:right w:val="none" w:color="FFFFFF" w:sz="0"/>
          <w:insideH w:val="single" w:color="auto" w:sz="4"/>
          <w:insideV w:val="single" w:color="auto" w:sz="4"/>
        </w:tblBorders>
      </w:tblPr>
      <w:tblGrid>
        <w:gridCol w:w="7947"/>
        <w:gridCol w:w="2939"/>
      </w:tblGrid>
      <w:tr>
        <w:tc>
          <w:tcPr>
            <w:tcW w:type="dxa" w:w="7947"/>
            <w:tcBorders>
              <w:top w:val="none" w:color="FFFFFF" w:sz="0"/>
              <w:left w:val="none" w:color="FFFFFF" w:sz="0"/>
              <w:bottom w:val="none" w:color="FFFFFF" w:sz="0"/>
              <w:right w:val="none" w:color="FFFFFF" w:sz="0"/>
            </w:tcBorders>
            <w:tcMar>
              <w:top w:type="dxa" w:w="0"/>
              <w:left w:type="dxa" w:w="0"/>
              <w:bottom w:type="dxa" w:w="0"/>
              <w:right w:type="dxa" w:w="0"/>
            </w:tcMar>
          </w:tcPr>
          <w:p>
            <w:pPr>
              <w:spacing w:before="80" w:after="0" w:line="276" w:lineRule="auto"/>
            </w:pPr>
            <w:r>
              <w:rPr>
                <w:rFonts w:ascii="Calibri" w:cs="Calibri" w:eastAsia="Calibri" w:hAnsi="Calibri"/>
                <w:b/>
                <w:bCs/>
                <w:sz w:val="22"/>
                <w:szCs w:val="22"/>
              </w:rPr>
              <w:t xml:space="preserve">Senior Data Scientist, Mox Bank by Standard Chartered</w:t>
            </w:r>
          </w:p>
        </w:tc>
        <w:tc>
          <w:tcPr>
            <w:tcW w:type="dxa" w:w="2939"/>
            <w:tcBorders>
              <w:top w:val="none" w:color="FFFFFF" w:sz="0"/>
              <w:left w:val="none" w:color="FFFFFF" w:sz="0"/>
              <w:bottom w:val="none" w:color="FFFFFF" w:sz="0"/>
              <w:right w:val="none" w:color="FFFFFF" w:sz="0"/>
            </w:tcBorders>
            <w:tcMar>
              <w:top w:type="dxa" w:w="0"/>
              <w:left w:type="dxa" w:w="0"/>
              <w:bottom w:type="dxa" w:w="0"/>
              <w:right w:type="dxa" w:w="0"/>
            </w:tcMar>
          </w:tcPr>
          <w:p>
            <w:pPr>
              <w:spacing w:before="80" w:after="0" w:line="276" w:lineRule="auto"/>
              <w:jc w:val="right"/>
            </w:pPr>
            <w:r>
              <w:rPr>
                <w:rFonts w:ascii="Calibri" w:cs="Calibri" w:eastAsia="Calibri" w:hAnsi="Calibri"/>
                <w:sz w:val="22"/>
                <w:szCs w:val="22"/>
              </w:rPr>
              <w:t xml:space="preserve">Mar 2020 – Oct 2022</w:t>
            </w:r>
          </w:p>
        </w:tc>
      </w:tr>
    </w:tbl>
    <w:tbl>
      <w:tblPr>
        <w:tblW w:type="dxa" w:w="10886"/>
        <w:tblBorders>
          <w:top w:val="none" w:color="FFFFFF" w:sz="0"/>
          <w:left w:val="none" w:color="FFFFFF" w:sz="0"/>
          <w:bottom w:val="none" w:color="FFFFFF" w:sz="0"/>
          <w:right w:val="none" w:color="FFFFFF" w:sz="0"/>
          <w:insideH w:val="single" w:color="auto" w:sz="4"/>
          <w:insideV w:val="single" w:color="auto" w:sz="4"/>
        </w:tblBorders>
      </w:tblPr>
      <w:tblGrid>
        <w:gridCol w:w="7947"/>
        <w:gridCol w:w="2939"/>
      </w:tblGrid>
      <w:tr>
        <w:tc>
          <w:tcPr>
            <w:tcW w:type="dxa" w:w="7947"/>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line="276" w:lineRule="auto"/>
            </w:pPr>
            <w:r>
              <w:rPr>
                <w:rFonts w:ascii="Calibri" w:cs="Calibri" w:eastAsia="Calibri" w:hAnsi="Calibri"/>
                <w:sz w:val="22"/>
                <w:szCs w:val="22"/>
              </w:rPr>
              <w:t xml:space="preserve">Leading digital retail bank with over 600k users with the highest loan book in the market</w:t>
            </w:r>
          </w:p>
        </w:tc>
        <w:tc>
          <w:tcPr>
            <w:tcW w:type="dxa" w:w="2939"/>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line="276" w:lineRule="auto"/>
              <w:jc w:val="right"/>
            </w:pPr>
            <w:r>
              <w:rPr>
                <w:rFonts w:ascii="Calibri" w:cs="Calibri" w:eastAsia="Calibri" w:hAnsi="Calibri"/>
                <w:sz w:val="22"/>
                <w:szCs w:val="22"/>
              </w:rPr>
              <w:t xml:space="preserve">Hong Kong</w:t>
            </w:r>
          </w:p>
        </w:tc>
      </w:tr>
    </w:tbl>
    <w:p>
      <w:pPr>
        <w:pStyle w:val="ListParagraph"/>
        <w:numPr>
          <w:ilvl w:val="0"/>
          <w:numId w:val="2"/>
        </w:numPr>
        <w:spacing w:before="0" w:after="0" w:line="276" w:lineRule="auto"/>
      </w:pPr>
      <w:r>
        <w:rPr>
          <w:rFonts w:ascii="Calibri" w:cs="Calibri" w:eastAsia="Calibri" w:hAnsi="Calibri"/>
          <w:sz w:val="22"/>
          <w:szCs w:val="22"/>
        </w:rPr>
        <w:t xml:space="preserve">Defined bank-wide metrics across various products for C-suite stakeholders for their weekly review sessions.</w:t>
      </w:r>
    </w:p>
    <w:p>
      <w:pPr>
        <w:pStyle w:val="ListParagraph"/>
        <w:numPr>
          <w:ilvl w:val="0"/>
          <w:numId w:val="2"/>
        </w:numPr>
        <w:spacing w:before="0" w:after="0" w:line="276" w:lineRule="auto"/>
      </w:pPr>
      <w:r>
        <w:rPr>
          <w:rFonts w:ascii="Calibri" w:cs="Calibri" w:eastAsia="Calibri" w:hAnsi="Calibri"/>
          <w:sz w:val="22"/>
          <w:szCs w:val="22"/>
        </w:rPr>
        <w:t xml:space="preserve">Developed a K-Means segmentation model for credit product up-selling, boosting applications by 40%.</w:t>
      </w:r>
    </w:p>
    <w:p>
      <w:pPr>
        <w:pStyle w:val="ListParagraph"/>
        <w:numPr>
          <w:ilvl w:val="0"/>
          <w:numId w:val="2"/>
        </w:numPr>
        <w:spacing w:before="0" w:after="0" w:line="276" w:lineRule="auto"/>
      </w:pPr>
      <w:r>
        <w:rPr>
          <w:rFonts w:ascii="Calibri" w:cs="Calibri" w:eastAsia="Calibri" w:hAnsi="Calibri"/>
          <w:sz w:val="22"/>
          <w:szCs w:val="22"/>
        </w:rPr>
        <w:t xml:space="preserve">Analyzed optimal cashback rates and merchant strategies, driving a 10% MoM increase in card spending.</w:t>
      </w:r>
    </w:p>
    <w:p>
      <w:pPr>
        <w:pStyle w:val="ListParagraph"/>
        <w:numPr>
          <w:ilvl w:val="0"/>
          <w:numId w:val="2"/>
        </w:numPr>
        <w:spacing w:before="0" w:after="0" w:line="276" w:lineRule="auto"/>
      </w:pPr>
      <w:r>
        <w:rPr>
          <w:rFonts w:ascii="Calibri" w:cs="Calibri" w:eastAsia="Calibri" w:hAnsi="Calibri"/>
          <w:sz w:val="22"/>
          <w:szCs w:val="22"/>
        </w:rPr>
        <w:t xml:space="preserve">Maintained high data availability for 80+ users with Airflow, preventing business-critical pipeline failures.</w:t>
      </w:r>
    </w:p>
    <w:p>
      <w:pPr>
        <w:pStyle w:val="ListParagraph"/>
        <w:numPr>
          <w:ilvl w:val="0"/>
          <w:numId w:val="2"/>
        </w:numPr>
        <w:spacing w:before="0" w:after="0" w:line="276" w:lineRule="auto"/>
      </w:pPr>
      <w:r>
        <w:rPr>
          <w:rFonts w:ascii="Calibri" w:cs="Calibri" w:eastAsia="Calibri" w:hAnsi="Calibri"/>
          <w:sz w:val="22"/>
          <w:szCs w:val="22"/>
        </w:rPr>
        <w:t xml:space="preserve">Coached two mid-weight data analysts on technical skills and methodologies for various data analysis.</w:t>
      </w:r>
    </w:p>
    <w:tbl>
      <w:tblPr>
        <w:tblW w:type="dxa" w:w="10886"/>
        <w:tblBorders>
          <w:top w:val="none" w:color="FFFFFF" w:sz="0"/>
          <w:left w:val="none" w:color="FFFFFF" w:sz="0"/>
          <w:bottom w:val="none" w:color="FFFFFF" w:sz="0"/>
          <w:right w:val="none" w:color="FFFFFF" w:sz="0"/>
          <w:insideH w:val="single" w:color="auto" w:sz="4"/>
          <w:insideV w:val="single" w:color="auto" w:sz="4"/>
        </w:tblBorders>
      </w:tblPr>
      <w:tblGrid>
        <w:gridCol w:w="7947"/>
        <w:gridCol w:w="2939"/>
      </w:tblGrid>
      <w:tr>
        <w:tc>
          <w:tcPr>
            <w:tcW w:type="dxa" w:w="7947"/>
            <w:tcBorders>
              <w:top w:val="none" w:color="FFFFFF" w:sz="0"/>
              <w:left w:val="none" w:color="FFFFFF" w:sz="0"/>
              <w:bottom w:val="none" w:color="FFFFFF" w:sz="0"/>
              <w:right w:val="none" w:color="FFFFFF" w:sz="0"/>
            </w:tcBorders>
            <w:tcMar>
              <w:top w:type="dxa" w:w="0"/>
              <w:left w:type="dxa" w:w="0"/>
              <w:bottom w:type="dxa" w:w="0"/>
              <w:right w:type="dxa" w:w="0"/>
            </w:tcMar>
          </w:tcPr>
          <w:p>
            <w:pPr>
              <w:spacing w:before="80" w:after="0" w:line="276" w:lineRule="auto"/>
            </w:pPr>
            <w:r>
              <w:rPr>
                <w:rFonts w:ascii="Calibri" w:cs="Calibri" w:eastAsia="Calibri" w:hAnsi="Calibri"/>
                <w:b/>
                <w:bCs/>
                <w:sz w:val="22"/>
                <w:szCs w:val="22"/>
              </w:rPr>
              <w:t xml:space="preserve">Data Engineer, LF Logistics</w:t>
            </w:r>
          </w:p>
        </w:tc>
        <w:tc>
          <w:tcPr>
            <w:tcW w:type="dxa" w:w="2939"/>
            <w:tcBorders>
              <w:top w:val="none" w:color="FFFFFF" w:sz="0"/>
              <w:left w:val="none" w:color="FFFFFF" w:sz="0"/>
              <w:bottom w:val="none" w:color="FFFFFF" w:sz="0"/>
              <w:right w:val="none" w:color="FFFFFF" w:sz="0"/>
            </w:tcBorders>
            <w:tcMar>
              <w:top w:type="dxa" w:w="0"/>
              <w:left w:type="dxa" w:w="0"/>
              <w:bottom w:type="dxa" w:w="0"/>
              <w:right w:type="dxa" w:w="0"/>
            </w:tcMar>
          </w:tcPr>
          <w:p>
            <w:pPr>
              <w:spacing w:before="80" w:after="0" w:line="276" w:lineRule="auto"/>
              <w:jc w:val="right"/>
            </w:pPr>
            <w:r>
              <w:rPr>
                <w:rFonts w:ascii="Calibri" w:cs="Calibri" w:eastAsia="Calibri" w:hAnsi="Calibri"/>
                <w:sz w:val="22"/>
                <w:szCs w:val="22"/>
              </w:rPr>
              <w:t xml:space="preserve">Sep 2019 – Mar 2020</w:t>
            </w:r>
          </w:p>
        </w:tc>
      </w:tr>
    </w:tbl>
    <w:tbl>
      <w:tblPr>
        <w:tblW w:type="dxa" w:w="10886"/>
        <w:tblBorders>
          <w:top w:val="none" w:color="FFFFFF" w:sz="0"/>
          <w:left w:val="none" w:color="FFFFFF" w:sz="0"/>
          <w:bottom w:val="none" w:color="FFFFFF" w:sz="0"/>
          <w:right w:val="none" w:color="FFFFFF" w:sz="0"/>
          <w:insideH w:val="single" w:color="auto" w:sz="4"/>
          <w:insideV w:val="single" w:color="auto" w:sz="4"/>
        </w:tblBorders>
      </w:tblPr>
      <w:tblGrid>
        <w:gridCol w:w="7947"/>
        <w:gridCol w:w="2939"/>
      </w:tblGrid>
      <w:tr>
        <w:tc>
          <w:tcPr>
            <w:tcW w:type="dxa" w:w="7947"/>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line="276" w:lineRule="auto"/>
            </w:pPr>
            <w:r>
              <w:rPr>
                <w:rFonts w:ascii="Calibri" w:cs="Calibri" w:eastAsia="Calibri" w:hAnsi="Calibri"/>
                <w:sz w:val="22"/>
                <w:szCs w:val="22"/>
              </w:rPr>
              <w:t xml:space="preserve">Leading Asia Logistics company, with strong retail such as Nike, Lululemon and more</w:t>
            </w:r>
          </w:p>
        </w:tc>
        <w:tc>
          <w:tcPr>
            <w:tcW w:type="dxa" w:w="2939"/>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line="276" w:lineRule="auto"/>
              <w:jc w:val="right"/>
            </w:pPr>
            <w:r>
              <w:rPr>
                <w:rFonts w:ascii="Calibri" w:cs="Calibri" w:eastAsia="Calibri" w:hAnsi="Calibri"/>
                <w:sz w:val="22"/>
                <w:szCs w:val="22"/>
              </w:rPr>
              <w:t xml:space="preserve">Hong Kong</w:t>
            </w:r>
          </w:p>
        </w:tc>
      </w:tr>
    </w:tbl>
    <w:p>
      <w:pPr>
        <w:pStyle w:val="ListParagraph"/>
        <w:numPr>
          <w:ilvl w:val="0"/>
          <w:numId w:val="2"/>
        </w:numPr>
        <w:spacing w:before="0" w:after="0" w:line="276" w:lineRule="auto"/>
      </w:pPr>
      <w:r>
        <w:rPr>
          <w:rFonts w:ascii="Calibri" w:cs="Calibri" w:eastAsia="Calibri" w:hAnsi="Calibri"/>
          <w:sz w:val="22"/>
          <w:szCs w:val="22"/>
        </w:rPr>
        <w:t xml:space="preserve">Deployed and monitored trucking labor forecast models, increasing workforce utilization by 30%.</w:t>
      </w:r>
    </w:p>
    <w:p>
      <w:pPr>
        <w:pStyle w:val="ListParagraph"/>
        <w:numPr>
          <w:ilvl w:val="0"/>
          <w:numId w:val="2"/>
        </w:numPr>
        <w:spacing w:before="0" w:after="0" w:line="276" w:lineRule="auto"/>
      </w:pPr>
      <w:r>
        <w:rPr>
          <w:rFonts w:ascii="Calibri" w:cs="Calibri" w:eastAsia="Calibri" w:hAnsi="Calibri"/>
          <w:sz w:val="22"/>
          <w:szCs w:val="22"/>
        </w:rPr>
        <w:t xml:space="preserve">Developed a Plotly Dash dashboard prototype for denim sourcing cost analysis across different materials.</w:t>
      </w:r>
    </w:p>
    <w:tbl>
      <w:tblPr>
        <w:tblW w:type="dxa" w:w="10886"/>
        <w:tblBorders>
          <w:top w:val="none" w:color="FFFFFF" w:sz="0"/>
          <w:left w:val="none" w:color="FFFFFF" w:sz="0"/>
          <w:bottom w:val="none" w:color="FFFFFF" w:sz="0"/>
          <w:right w:val="none" w:color="FFFFFF" w:sz="0"/>
          <w:insideH w:val="single" w:color="auto" w:sz="4"/>
          <w:insideV w:val="single" w:color="auto" w:sz="4"/>
        </w:tblBorders>
      </w:tblPr>
      <w:tblGrid>
        <w:gridCol w:w="7947"/>
        <w:gridCol w:w="2939"/>
      </w:tblGrid>
      <w:tr>
        <w:tc>
          <w:tcPr>
            <w:tcW w:type="dxa" w:w="7947"/>
            <w:tcBorders>
              <w:top w:val="none" w:color="FFFFFF" w:sz="0"/>
              <w:left w:val="none" w:color="FFFFFF" w:sz="0"/>
              <w:bottom w:val="none" w:color="FFFFFF" w:sz="0"/>
              <w:right w:val="none" w:color="FFFFFF" w:sz="0"/>
            </w:tcBorders>
            <w:tcMar>
              <w:top w:type="dxa" w:w="0"/>
              <w:left w:type="dxa" w:w="0"/>
              <w:bottom w:type="dxa" w:w="0"/>
              <w:right w:type="dxa" w:w="0"/>
            </w:tcMar>
          </w:tcPr>
          <w:p>
            <w:pPr>
              <w:spacing w:before="80" w:after="0" w:line="276" w:lineRule="auto"/>
            </w:pPr>
            <w:r>
              <w:rPr>
                <w:rFonts w:ascii="Calibri" w:cs="Calibri" w:eastAsia="Calibri" w:hAnsi="Calibri"/>
                <w:b/>
                <w:bCs/>
                <w:sz w:val="22"/>
                <w:szCs w:val="22"/>
              </w:rPr>
              <w:t xml:space="preserve">Technical Specialist, Microsoft</w:t>
            </w:r>
          </w:p>
        </w:tc>
        <w:tc>
          <w:tcPr>
            <w:tcW w:type="dxa" w:w="2939"/>
            <w:tcBorders>
              <w:top w:val="none" w:color="FFFFFF" w:sz="0"/>
              <w:left w:val="none" w:color="FFFFFF" w:sz="0"/>
              <w:bottom w:val="none" w:color="FFFFFF" w:sz="0"/>
              <w:right w:val="none" w:color="FFFFFF" w:sz="0"/>
            </w:tcBorders>
            <w:tcMar>
              <w:top w:type="dxa" w:w="0"/>
              <w:left w:type="dxa" w:w="0"/>
              <w:bottom w:type="dxa" w:w="0"/>
              <w:right w:type="dxa" w:w="0"/>
            </w:tcMar>
          </w:tcPr>
          <w:p>
            <w:pPr>
              <w:spacing w:before="80" w:after="0" w:line="276" w:lineRule="auto"/>
              <w:jc w:val="right"/>
            </w:pPr>
            <w:r>
              <w:rPr>
                <w:rFonts w:ascii="Calibri" w:cs="Calibri" w:eastAsia="Calibri" w:hAnsi="Calibri"/>
                <w:sz w:val="22"/>
                <w:szCs w:val="22"/>
              </w:rPr>
              <w:t xml:space="preserve">Aug 2018 – Aug 2019</w:t>
            </w:r>
          </w:p>
        </w:tc>
      </w:tr>
    </w:tbl>
    <w:tbl>
      <w:tblPr>
        <w:tblW w:type="dxa" w:w="10886"/>
        <w:tblBorders>
          <w:top w:val="none" w:color="FFFFFF" w:sz="0"/>
          <w:left w:val="none" w:color="FFFFFF" w:sz="0"/>
          <w:bottom w:val="none" w:color="FFFFFF" w:sz="0"/>
          <w:right w:val="none" w:color="FFFFFF" w:sz="0"/>
          <w:insideH w:val="single" w:color="auto" w:sz="4"/>
          <w:insideV w:val="single" w:color="auto" w:sz="4"/>
        </w:tblBorders>
      </w:tblPr>
      <w:tblGrid>
        <w:gridCol w:w="7947"/>
        <w:gridCol w:w="2939"/>
      </w:tblGrid>
      <w:tr>
        <w:tc>
          <w:tcPr>
            <w:tcW w:type="dxa" w:w="7947"/>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line="276" w:lineRule="auto"/>
            </w:pPr>
            <w:r>
              <w:rPr>
                <w:rFonts w:ascii="Calibri" w:cs="Calibri" w:eastAsia="Calibri" w:hAnsi="Calibri"/>
                <w:sz w:val="22"/>
                <w:szCs w:val="22"/>
              </w:rPr>
              <w:t xml:space="preserve">Part of the world's top sales team in FY2018 globally</w:t>
            </w:r>
          </w:p>
        </w:tc>
        <w:tc>
          <w:tcPr>
            <w:tcW w:type="dxa" w:w="2939"/>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line="276" w:lineRule="auto"/>
              <w:jc w:val="right"/>
            </w:pPr>
            <w:r>
              <w:rPr>
                <w:rFonts w:ascii="Calibri" w:cs="Calibri" w:eastAsia="Calibri" w:hAnsi="Calibri"/>
                <w:sz w:val="22"/>
                <w:szCs w:val="22"/>
              </w:rPr>
              <w:t xml:space="preserve">Hong Kong</w:t>
            </w:r>
          </w:p>
        </w:tc>
      </w:tr>
    </w:tbl>
    <w:p>
      <w:pPr>
        <w:pStyle w:val="ListParagraph"/>
        <w:numPr>
          <w:ilvl w:val="0"/>
          <w:numId w:val="2"/>
        </w:numPr>
        <w:spacing w:before="0" w:after="0" w:line="276" w:lineRule="auto"/>
      </w:pPr>
      <w:r>
        <w:rPr>
          <w:rFonts w:ascii="Calibri" w:cs="Calibri" w:eastAsia="Calibri" w:hAnsi="Calibri"/>
          <w:sz w:val="22"/>
          <w:szCs w:val="22"/>
        </w:rPr>
        <w:t xml:space="preserve">Supported the world's top sales team in FY2018 by increasing Office and Azure adoption by 80%.</w:t>
      </w:r>
    </w:p>
    <w:p>
      <w:pPr>
        <w:pStyle w:val="ListParagraph"/>
        <w:numPr>
          <w:ilvl w:val="0"/>
          <w:numId w:val="2"/>
        </w:numPr>
        <w:spacing w:before="0" w:after="0" w:line="276" w:lineRule="auto"/>
      </w:pPr>
      <w:r>
        <w:rPr>
          <w:rFonts w:ascii="Calibri" w:cs="Calibri" w:eastAsia="Calibri" w:hAnsi="Calibri"/>
          <w:sz w:val="22"/>
          <w:szCs w:val="22"/>
        </w:rPr>
        <w:t xml:space="preserve">Improved offline marketing efficiency by analyzing Office 365 usage data to identify high-potential leads.</w:t>
      </w:r>
    </w:p>
    <w:p>
      <w:pPr>
        <w:spacing w:before="120" w:after="0" w:line="276" w:lineRule="auto"/>
      </w:pPr>
      <w:r>
        <w:rPr>
          <w:rFonts w:ascii="Calibri" w:cs="Calibri" w:eastAsia="Calibri" w:hAnsi="Calibri"/>
          <w:b/>
          <w:bCs/>
          <w:sz w:val="26"/>
          <w:szCs w:val="26"/>
        </w:rPr>
        <w:t xml:space="preserve">Projects</w:t>
      </w:r>
    </w:p>
    <w:tbl>
      <w:tblPr>
        <w:tblW w:type="dxa" w:w="10886"/>
        <w:tblBorders>
          <w:top w:val="none" w:color="FFFFFF" w:sz="0"/>
          <w:left w:val="none" w:color="FFFFFF" w:sz="0"/>
          <w:bottom w:val="none" w:color="FFFFFF" w:sz="0"/>
          <w:right w:val="none" w:color="FFFFFF" w:sz="0"/>
          <w:insideH w:val="single" w:color="auto" w:sz="4"/>
          <w:insideV w:val="single" w:color="auto" w:sz="4"/>
        </w:tblBorders>
      </w:tblPr>
      <w:tblGrid>
        <w:gridCol w:w="10886"/>
      </w:tblGrid>
      <w:tr>
        <w:tc>
          <w:tcPr>
            <w:tcW w:type="dxa" w:w="10886"/>
            <w:tcBorders>
              <w:top w:val="none" w:color="FFFFFF" w:sz="0"/>
              <w:left w:val="none" w:color="FFFFFF" w:sz="0"/>
              <w:bottom w:val="single" w:color="000000" w:sz="6"/>
              <w:right w:val="none" w:color="FFFFFF" w:sz="0"/>
            </w:tcBorders>
            <w:tcMar>
              <w:top w:type="dxa" w:w="0"/>
              <w:left w:type="dxa" w:w="0"/>
              <w:bottom w:type="dxa" w:w="0"/>
              <w:right w:type="dxa" w:w="0"/>
            </w:tcMar>
          </w:tcPr>
          <w:p>
            <w:pPr>
              <w:spacing w:before="0" w:after="0" w:line="1" w:lineRule="exact"/>
            </w:pPr>
            <w:r>
              <w:rPr>
                <w:rFonts w:ascii="Calibri" w:cs="Calibri" w:eastAsia="Calibri" w:hAnsi="Calibri"/>
                <w:sz w:val="1"/>
                <w:szCs w:val="1"/>
              </w:rPr>
              <w:t xml:space="preserve"/>
            </w:r>
          </w:p>
        </w:tc>
      </w:tr>
    </w:tbl>
    <w:tbl>
      <w:tblPr>
        <w:tblW w:type="dxa" w:w="10886"/>
        <w:tblBorders>
          <w:top w:val="none" w:color="FFFFFF" w:sz="0"/>
          <w:left w:val="none" w:color="FFFFFF" w:sz="0"/>
          <w:bottom w:val="none" w:color="FFFFFF" w:sz="0"/>
          <w:right w:val="none" w:color="FFFFFF" w:sz="0"/>
          <w:insideH w:val="single" w:color="auto" w:sz="4"/>
          <w:insideV w:val="single" w:color="auto" w:sz="4"/>
        </w:tblBorders>
      </w:tblPr>
      <w:tblGrid>
        <w:gridCol w:w="7947"/>
        <w:gridCol w:w="2939"/>
      </w:tblGrid>
      <w:tr>
        <w:tc>
          <w:tcPr>
            <w:tcW w:type="dxa" w:w="7947"/>
            <w:tcBorders>
              <w:top w:val="none" w:color="FFFFFF" w:sz="0"/>
              <w:left w:val="none" w:color="FFFFFF" w:sz="0"/>
              <w:bottom w:val="none" w:color="FFFFFF" w:sz="0"/>
              <w:right w:val="none" w:color="FFFFFF" w:sz="0"/>
            </w:tcBorders>
            <w:tcMar>
              <w:top w:type="dxa" w:w="0"/>
              <w:left w:type="dxa" w:w="0"/>
              <w:bottom w:type="dxa" w:w="0"/>
              <w:right w:type="dxa" w:w="0"/>
            </w:tcMar>
          </w:tcPr>
          <w:p>
            <w:pPr>
              <w:spacing w:before="80" w:after="0" w:line="276" w:lineRule="auto"/>
            </w:pPr>
            <w:r>
              <w:rPr>
                <w:rFonts w:ascii="Calibri" w:cs="Calibri" w:eastAsia="Calibri" w:hAnsi="Calibri"/>
                <w:b/>
                <w:bCs/>
                <w:sz w:val="22"/>
                <w:szCs w:val="22"/>
              </w:rPr>
              <w:t xml:space="preserve">BulletCV </w:t>
            </w:r>
            <w:hyperlink w:history="1" r:id="rIdsq2ttcklwxe6hv2iqdvrl">
              <w:r>
                <w:rPr>
                  <w:rStyle w:val="Hyperlink"/>
                  <w:rFonts w:ascii="Calibri" w:cs="Calibri" w:eastAsia="Calibri" w:hAnsi="Calibri"/>
                  <w:sz w:val="22"/>
                  <w:szCs w:val="22"/>
                </w:rPr>
                <w:t xml:space="preserve">(https://bulletcv.koyeb.app)</w:t>
              </w:r>
            </w:hyperlink>
          </w:p>
        </w:tc>
        <w:tc>
          <w:tcPr>
            <w:tcW w:type="dxa" w:w="2939"/>
            <w:tcBorders>
              <w:top w:val="none" w:color="FFFFFF" w:sz="0"/>
              <w:left w:val="none" w:color="FFFFFF" w:sz="0"/>
              <w:bottom w:val="none" w:color="FFFFFF" w:sz="0"/>
              <w:right w:val="none" w:color="FFFFFF" w:sz="0"/>
            </w:tcBorders>
            <w:tcMar>
              <w:top w:type="dxa" w:w="0"/>
              <w:left w:type="dxa" w:w="0"/>
              <w:bottom w:type="dxa" w:w="0"/>
              <w:right w:type="dxa" w:w="0"/>
            </w:tcMar>
          </w:tcPr>
          <w:p>
            <w:pPr>
              <w:spacing w:before="80" w:after="0" w:line="276" w:lineRule="auto"/>
              <w:jc w:val="right"/>
            </w:pPr>
            <w:r>
              <w:rPr>
                <w:rFonts w:ascii="Calibri" w:cs="Calibri" w:eastAsia="Calibri" w:hAnsi="Calibri"/>
                <w:sz w:val="22"/>
                <w:szCs w:val="22"/>
              </w:rPr>
              <w:t xml:space="preserve">Nov 2024 – Present</w:t>
            </w:r>
          </w:p>
        </w:tc>
      </w:tr>
    </w:tbl>
    <w:p>
      <w:pPr>
        <w:spacing w:before="0" w:after="0" w:line="276" w:lineRule="auto"/>
      </w:pPr>
      <w:r>
        <w:rPr>
          <w:rFonts w:ascii="Calibri" w:cs="Calibri" w:eastAsia="Calibri" w:hAnsi="Calibri"/>
          <w:i/>
          <w:iCs/>
          <w:sz w:val="22"/>
          <w:szCs w:val="22"/>
        </w:rPr>
        <w:t xml:space="preserve">Tailored resume bullet point generator</w:t>
      </w:r>
    </w:p>
    <w:p>
      <w:pPr>
        <w:pStyle w:val="ListParagraph"/>
        <w:numPr>
          <w:ilvl w:val="0"/>
          <w:numId w:val="2"/>
        </w:numPr>
        <w:spacing w:before="0" w:after="0" w:line="276" w:lineRule="auto"/>
      </w:pPr>
      <w:r>
        <w:rPr>
          <w:rFonts w:ascii="Calibri" w:cs="Calibri" w:eastAsia="Calibri" w:hAnsi="Calibri"/>
          <w:sz w:val="22"/>
          <w:szCs w:val="22"/>
        </w:rPr>
        <w:t xml:space="preserve">A NextJS app that turns raw job descriptions into well-crafted prompts to generate bullet point ideas.</w:t>
      </w:r>
    </w:p>
    <w:p>
      <w:pPr>
        <w:pStyle w:val="ListParagraph"/>
        <w:numPr>
          <w:ilvl w:val="0"/>
          <w:numId w:val="2"/>
        </w:numPr>
        <w:spacing w:before="0" w:after="0" w:line="276" w:lineRule="auto"/>
      </w:pPr>
      <w:r>
        <w:rPr>
          <w:rFonts w:ascii="Calibri" w:cs="Calibri" w:eastAsia="Calibri" w:hAnsi="Calibri"/>
          <w:sz w:val="22"/>
          <w:szCs w:val="22"/>
        </w:rPr>
        <w:t xml:space="preserve">Built with Jina Reader API to process webpages, TogetherAI API for fast inference and Helicone for tracing.</w:t>
      </w:r>
    </w:p>
    <w:p>
      <w:pPr>
        <w:pStyle w:val="ListParagraph"/>
        <w:numPr>
          <w:ilvl w:val="0"/>
          <w:numId w:val="2"/>
        </w:numPr>
        <w:spacing w:before="0" w:after="0" w:line="276" w:lineRule="auto"/>
      </w:pPr>
      <w:r>
        <w:rPr>
          <w:rFonts w:ascii="Calibri" w:cs="Calibri" w:eastAsia="Calibri" w:hAnsi="Calibri"/>
          <w:sz w:val="22"/>
          <w:szCs w:val="22"/>
        </w:rPr>
        <w:t xml:space="preserve">Amassed over 20k impressions during launch and gained continuous usage from 100+ users.</w:t>
      </w:r>
    </w:p>
    <w:p>
      <w:pPr>
        <w:spacing w:before="120" w:after="0" w:line="276" w:lineRule="auto"/>
      </w:pPr>
      <w:r>
        <w:rPr>
          <w:rFonts w:ascii="Calibri" w:cs="Calibri" w:eastAsia="Calibri" w:hAnsi="Calibri"/>
          <w:b/>
          <w:bCs/>
          <w:sz w:val="26"/>
          <w:szCs w:val="26"/>
        </w:rPr>
        <w:t xml:space="preserve">Technical Skills</w:t>
      </w:r>
    </w:p>
    <w:tbl>
      <w:tblPr>
        <w:tblW w:type="dxa" w:w="10886"/>
        <w:tblBorders>
          <w:top w:val="none" w:color="FFFFFF" w:sz="0"/>
          <w:left w:val="none" w:color="FFFFFF" w:sz="0"/>
          <w:bottom w:val="none" w:color="FFFFFF" w:sz="0"/>
          <w:right w:val="none" w:color="FFFFFF" w:sz="0"/>
          <w:insideH w:val="single" w:color="auto" w:sz="4"/>
          <w:insideV w:val="single" w:color="auto" w:sz="4"/>
        </w:tblBorders>
      </w:tblPr>
      <w:tblGrid>
        <w:gridCol w:w="10886"/>
      </w:tblGrid>
      <w:tr>
        <w:tc>
          <w:tcPr>
            <w:tcW w:type="dxa" w:w="10886"/>
            <w:tcBorders>
              <w:top w:val="none" w:color="FFFFFF" w:sz="0"/>
              <w:left w:val="none" w:color="FFFFFF" w:sz="0"/>
              <w:bottom w:val="single" w:color="000000" w:sz="6"/>
              <w:right w:val="none" w:color="FFFFFF" w:sz="0"/>
            </w:tcBorders>
            <w:tcMar>
              <w:top w:type="dxa" w:w="0"/>
              <w:left w:type="dxa" w:w="0"/>
              <w:bottom w:type="dxa" w:w="0"/>
              <w:right w:type="dxa" w:w="0"/>
            </w:tcMar>
          </w:tcPr>
          <w:p>
            <w:pPr>
              <w:spacing w:before="0" w:after="0" w:line="1" w:lineRule="exact"/>
            </w:pPr>
            <w:r>
              <w:rPr>
                <w:rFonts w:ascii="Calibri" w:cs="Calibri" w:eastAsia="Calibri" w:hAnsi="Calibri"/>
                <w:sz w:val="1"/>
                <w:szCs w:val="1"/>
              </w:rPr>
              <w:t xml:space="preserve"/>
            </w:r>
          </w:p>
        </w:tc>
      </w:tr>
    </w:tbl>
    <w:p>
      <w:pPr>
        <w:spacing w:before="0" w:after="0" w:line="276" w:lineRule="auto"/>
      </w:pPr>
      <w:r>
        <w:rPr>
          <w:rFonts w:ascii="Calibri" w:cs="Calibri" w:eastAsia="Calibri" w:hAnsi="Calibri"/>
          <w:b/>
          <w:bCs/>
          <w:sz w:val="22"/>
          <w:szCs w:val="22"/>
        </w:rPr>
        <w:t xml:space="preserve">Languages: </w:t>
      </w:r>
      <w:r>
        <w:rPr>
          <w:rFonts w:ascii="Calibri" w:cs="Calibri" w:eastAsia="Calibri" w:hAnsi="Calibri"/>
          <w:sz w:val="22"/>
          <w:szCs w:val="22"/>
        </w:rPr>
        <w:t xml:space="preserve">Python, SQL (Presto, Postgres), Javascript, Data Visualization (Tableau, Looker, PowerBI)</w:t>
      </w:r>
    </w:p>
    <w:p>
      <w:pPr>
        <w:spacing w:before="0" w:after="0" w:line="276" w:lineRule="auto"/>
      </w:pPr>
      <w:r>
        <w:rPr>
          <w:rFonts w:ascii="Calibri" w:cs="Calibri" w:eastAsia="Calibri" w:hAnsi="Calibri"/>
          <w:b/>
          <w:bCs/>
          <w:sz w:val="22"/>
          <w:szCs w:val="22"/>
        </w:rPr>
        <w:t xml:space="preserve">AI/ML Production: </w:t>
      </w:r>
      <w:r>
        <w:rPr>
          <w:rFonts w:ascii="Calibri" w:cs="Calibri" w:eastAsia="Calibri" w:hAnsi="Calibri"/>
          <w:sz w:val="22"/>
          <w:szCs w:val="22"/>
        </w:rPr>
        <w:t xml:space="preserve">Python, FastAPI, LangChain, LlamaIndex, Vector Stores (Redis, CosmosDB), MLflow</w:t>
      </w:r>
    </w:p>
    <w:p>
      <w:pPr>
        <w:spacing w:before="0" w:after="0" w:line="276" w:lineRule="auto"/>
      </w:pPr>
      <w:r>
        <w:rPr>
          <w:rFonts w:ascii="Calibri" w:cs="Calibri" w:eastAsia="Calibri" w:hAnsi="Calibri"/>
          <w:b/>
          <w:bCs/>
          <w:sz w:val="22"/>
          <w:szCs w:val="22"/>
        </w:rPr>
        <w:t xml:space="preserve">Developer Tools: </w:t>
      </w:r>
      <w:r>
        <w:rPr>
          <w:rFonts w:ascii="Calibri" w:cs="Calibri" w:eastAsia="Calibri" w:hAnsi="Calibri"/>
          <w:sz w:val="22"/>
          <w:szCs w:val="22"/>
        </w:rPr>
        <w:t xml:space="preserve">Cursor, Git, Docker, Databricks, Jupyter, CircleCI, Airflow, Azure (OpenAI), AWS (Athena)</w:t>
      </w:r>
    </w:p>
    <w:p>
      <w:pPr>
        <w:spacing w:before="120" w:after="0" w:line="276" w:lineRule="auto"/>
      </w:pPr>
      <w:r>
        <w:rPr>
          <w:rFonts w:ascii="Calibri" w:cs="Calibri" w:eastAsia="Calibri" w:hAnsi="Calibri"/>
          <w:b/>
          <w:bCs/>
          <w:sz w:val="26"/>
          <w:szCs w:val="26"/>
        </w:rPr>
        <w:t xml:space="preserve">Education</w:t>
      </w:r>
    </w:p>
    <w:tbl>
      <w:tblPr>
        <w:tblW w:type="dxa" w:w="10886"/>
        <w:tblBorders>
          <w:top w:val="none" w:color="FFFFFF" w:sz="0"/>
          <w:left w:val="none" w:color="FFFFFF" w:sz="0"/>
          <w:bottom w:val="none" w:color="FFFFFF" w:sz="0"/>
          <w:right w:val="none" w:color="FFFFFF" w:sz="0"/>
          <w:insideH w:val="single" w:color="auto" w:sz="4"/>
          <w:insideV w:val="single" w:color="auto" w:sz="4"/>
        </w:tblBorders>
      </w:tblPr>
      <w:tblGrid>
        <w:gridCol w:w="10886"/>
      </w:tblGrid>
      <w:tr>
        <w:tc>
          <w:tcPr>
            <w:tcW w:type="dxa" w:w="10886"/>
            <w:tcBorders>
              <w:top w:val="none" w:color="FFFFFF" w:sz="0"/>
              <w:left w:val="none" w:color="FFFFFF" w:sz="0"/>
              <w:bottom w:val="single" w:color="000000" w:sz="6"/>
              <w:right w:val="none" w:color="FFFFFF" w:sz="0"/>
            </w:tcBorders>
            <w:tcMar>
              <w:top w:type="dxa" w:w="0"/>
              <w:left w:type="dxa" w:w="0"/>
              <w:bottom w:type="dxa" w:w="0"/>
              <w:right w:type="dxa" w:w="0"/>
            </w:tcMar>
          </w:tcPr>
          <w:p>
            <w:pPr>
              <w:spacing w:before="0" w:after="0" w:line="1" w:lineRule="exact"/>
            </w:pPr>
            <w:r>
              <w:rPr>
                <w:rFonts w:ascii="Calibri" w:cs="Calibri" w:eastAsia="Calibri" w:hAnsi="Calibri"/>
                <w:sz w:val="1"/>
                <w:szCs w:val="1"/>
              </w:rPr>
              <w:t xml:space="preserve"/>
            </w:r>
          </w:p>
        </w:tc>
      </w:tr>
    </w:tbl>
    <w:tbl>
      <w:tblPr>
        <w:tblW w:type="dxa" w:w="10886"/>
        <w:tblBorders>
          <w:top w:val="none" w:color="FFFFFF" w:sz="0"/>
          <w:left w:val="none" w:color="FFFFFF" w:sz="0"/>
          <w:bottom w:val="none" w:color="FFFFFF" w:sz="0"/>
          <w:right w:val="none" w:color="FFFFFF" w:sz="0"/>
          <w:insideH w:val="single" w:color="auto" w:sz="4"/>
          <w:insideV w:val="single" w:color="auto" w:sz="4"/>
        </w:tblBorders>
      </w:tblPr>
      <w:tblGrid>
        <w:gridCol w:w="7947"/>
        <w:gridCol w:w="2939"/>
      </w:tblGrid>
      <w:tr>
        <w:tc>
          <w:tcPr>
            <w:tcW w:type="dxa" w:w="7947"/>
            <w:tcBorders>
              <w:top w:val="none" w:color="FFFFFF" w:sz="0"/>
              <w:left w:val="none" w:color="FFFFFF" w:sz="0"/>
              <w:bottom w:val="none" w:color="FFFFFF" w:sz="0"/>
              <w:right w:val="none" w:color="FFFFFF" w:sz="0"/>
            </w:tcBorders>
            <w:tcMar>
              <w:top w:type="dxa" w:w="0"/>
              <w:left w:type="dxa" w:w="0"/>
              <w:bottom w:type="dxa" w:w="0"/>
              <w:right w:type="dxa" w:w="0"/>
            </w:tcMar>
          </w:tcPr>
          <w:p>
            <w:pPr>
              <w:spacing w:before="80" w:after="0" w:line="276" w:lineRule="auto"/>
            </w:pPr>
            <w:r>
              <w:rPr>
                <w:rFonts w:ascii="Calibri" w:cs="Calibri" w:eastAsia="Calibri" w:hAnsi="Calibri"/>
                <w:b/>
                <w:bCs/>
                <w:sz w:val="22"/>
                <w:szCs w:val="22"/>
              </w:rPr>
              <w:t xml:space="preserve">Hong Kong University of Science and Technology</w:t>
            </w:r>
          </w:p>
        </w:tc>
        <w:tc>
          <w:tcPr>
            <w:tcW w:type="dxa" w:w="2939"/>
            <w:tcBorders>
              <w:top w:val="none" w:color="FFFFFF" w:sz="0"/>
              <w:left w:val="none" w:color="FFFFFF" w:sz="0"/>
              <w:bottom w:val="none" w:color="FFFFFF" w:sz="0"/>
              <w:right w:val="none" w:color="FFFFFF" w:sz="0"/>
            </w:tcBorders>
            <w:tcMar>
              <w:top w:type="dxa" w:w="0"/>
              <w:left w:type="dxa" w:w="0"/>
              <w:bottom w:type="dxa" w:w="0"/>
              <w:right w:type="dxa" w:w="0"/>
            </w:tcMar>
          </w:tcPr>
          <w:p>
            <w:pPr>
              <w:spacing w:before="80" w:after="0" w:line="276" w:lineRule="auto"/>
              <w:jc w:val="right"/>
            </w:pPr>
            <w:r>
              <w:rPr>
                <w:rFonts w:ascii="Calibri" w:cs="Calibri" w:eastAsia="Calibri" w:hAnsi="Calibri"/>
                <w:sz w:val="22"/>
                <w:szCs w:val="22"/>
              </w:rPr>
              <w:t xml:space="preserve">Aug 2013 – May 2017</w:t>
            </w:r>
          </w:p>
        </w:tc>
      </w:tr>
    </w:tbl>
    <w:tbl>
      <w:tblPr>
        <w:tblW w:type="dxa" w:w="10886"/>
        <w:tblBorders>
          <w:top w:val="none" w:color="FFFFFF" w:sz="0"/>
          <w:left w:val="none" w:color="FFFFFF" w:sz="0"/>
          <w:bottom w:val="none" w:color="FFFFFF" w:sz="0"/>
          <w:right w:val="none" w:color="FFFFFF" w:sz="0"/>
          <w:insideH w:val="single" w:color="auto" w:sz="4"/>
          <w:insideV w:val="single" w:color="auto" w:sz="4"/>
        </w:tblBorders>
      </w:tblPr>
      <w:tblGrid>
        <w:gridCol w:w="7947"/>
        <w:gridCol w:w="2939"/>
      </w:tblGrid>
      <w:tr>
        <w:tc>
          <w:tcPr>
            <w:tcW w:type="dxa" w:w="7947"/>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line="276" w:lineRule="auto"/>
            </w:pPr>
            <w:r>
              <w:rPr>
                <w:rFonts w:ascii="Calibri" w:cs="Calibri" w:eastAsia="Calibri" w:hAnsi="Calibri"/>
                <w:sz w:val="22"/>
                <w:szCs w:val="22"/>
              </w:rPr>
              <w:t xml:space="preserve">Bachelor of Business Administration in Information Systems</w:t>
            </w:r>
          </w:p>
        </w:tc>
        <w:tc>
          <w:tcPr>
            <w:tcW w:type="dxa" w:w="2939"/>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line="276" w:lineRule="auto"/>
              <w:jc w:val="right"/>
            </w:pPr>
            <w:r>
              <w:rPr>
                <w:rFonts w:ascii="Calibri" w:cs="Calibri" w:eastAsia="Calibri" w:hAnsi="Calibri"/>
                <w:sz w:val="22"/>
                <w:szCs w:val="22"/>
              </w:rPr>
              <w:t xml:space="preserve">Hong Kong</w:t>
            </w:r>
          </w:p>
        </w:tc>
      </w:tr>
    </w:tbl>
    <w:sectPr>
      <w:pgSz w:w="11906" w:h="16838" w:orient="portrait"/>
      <w:pgMar w:top="737" w:right="510" w:bottom="737" w:left="51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jw31_n2pdqlendohu2b" Type="http://schemas.openxmlformats.org/officeDocument/2006/relationships/hyperlink" Target="https://bento.me/wch" TargetMode="External"/><Relationship Id="rIdle04ujge9b2pfv8ajvlrn" Type="http://schemas.openxmlformats.org/officeDocument/2006/relationships/hyperlink" Target="https://linkedin.com/in/morriswch" TargetMode="External"/><Relationship Id="rIdwc7uvywvz8jbbeuwdpwmf" Type="http://schemas.openxmlformats.org/officeDocument/2006/relationships/hyperlink" Target="https://github.com/morriswong" TargetMode="External"/><Relationship Id="rId3e9axziiunbyayscdtmo1" Type="http://schemas.openxmlformats.org/officeDocument/2006/relationships/hyperlink" Target="https://udify.app/chat/Tf3dJT7wenefOzqx" TargetMode="External"/><Relationship Id="rIdsq2ttcklwxe6hv2iqdvrl" Type="http://schemas.openxmlformats.org/officeDocument/2006/relationships/hyperlink" Target="https://bulletcv.koyeb.app"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2026-02-25T15:26:22.487Z</dcterms:created>
  <dcterms:modified xsi:type="dcterms:W3CDTF">2026-02-25T15:26:22.487Z</dcterms:modified>
</cp:coreProperties>
</file>

<file path=docProps/custom.xml><?xml version="1.0" encoding="utf-8"?>
<Properties xmlns="http://schemas.openxmlformats.org/officeDocument/2006/custom-properties" xmlns:vt="http://schemas.openxmlformats.org/officeDocument/2006/docPropsVTypes"/>
</file>