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 w:line="276" w:lineRule="auto"/>
      </w:pPr>
      <w:r>
        <w:rPr>
          <w:rFonts w:ascii="Calibri" w:cs="Calibri" w:eastAsia="Calibri" w:hAnsi="Calibri"/>
          <w:b/>
          <w:bCs/>
          <w:sz w:val="46"/>
          <w:szCs w:val="46"/>
        </w:rPr>
        <w:t xml:space="preserve">Morris Wong</w:t>
      </w:r>
    </w:p>
    <w:tbl>
      <w:tblPr>
        <w:tblW w:type="dxa" w:w="108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32"/>
        <w:gridCol w:w="4354"/>
      </w:tblGrid>
      <w:tr>
        <w:tc>
          <w:tcPr>
            <w:tcW w:type="dxa" w:w="65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80" w:line="276" w:lineRule="auto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London, UK | morriswch@gmail.com | +44 777 510 3852</w:t>
            </w:r>
          </w:p>
        </w:tc>
        <w:tc>
          <w:tcPr>
            <w:tcW w:type="dxa" w:w="43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80" w:line="276" w:lineRule="auto"/>
              <w:jc w:val="right"/>
            </w:pPr>
            <w:hyperlink w:history="1" r:id="rId8yp7zprmblmrefinmccaw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Blogs</w:t>
              </w:r>
            </w:hyperlink>
            <w:r>
              <w:rPr>
                <w:rFonts w:ascii="Calibri" w:cs="Calibri" w:eastAsia="Calibri" w:hAnsi="Calibri"/>
                <w:sz w:val="20"/>
                <w:szCs w:val="20"/>
              </w:rPr>
              <w:t xml:space="preserve"> | </w:t>
            </w:r>
            <w:hyperlink w:history="1" r:id="rIdpz8vmmfy9hf55e5527qmz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LinkedIn</w:t>
              </w:r>
            </w:hyperlink>
            <w:r>
              <w:rPr>
                <w:rFonts w:ascii="Calibri" w:cs="Calibri" w:eastAsia="Calibri" w:hAnsi="Calibri"/>
                <w:sz w:val="20"/>
                <w:szCs w:val="20"/>
              </w:rPr>
              <w:t xml:space="preserve"> | </w:t>
            </w:r>
            <w:hyperlink w:history="1" r:id="rId0i1t7uzggw5wucynqrour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Github</w:t>
              </w:r>
            </w:hyperlink>
          </w:p>
        </w:tc>
      </w:tr>
    </w:tbl>
    <w:p>
      <w:pPr>
        <w:spacing w:before="120" w:after="0" w:line="276" w:lineRule="auto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Professional Summary</w:t>
      </w:r>
    </w:p>
    <w:tbl>
      <w:tblPr>
        <w:tblW w:type="dxa" w:w="108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886"/>
      </w:tblGrid>
      <w:tr>
        <w:tc>
          <w:tcPr>
            <w:tcW w:type="dxa" w:w="1088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 w:line="1" w:lineRule="exact"/>
            </w:pPr>
            <w:r>
              <w:rPr>
                <w:rFonts w:ascii="Calibri" w:cs="Calibri" w:eastAsia="Calibri" w:hAnsi="Calibri"/>
                <w:sz w:val="1"/>
                <w:szCs w:val="1"/>
              </w:rPr>
              <w:t xml:space="preserve"/>
            </w:r>
          </w:p>
        </w:tc>
      </w:tr>
    </w:tbl>
    <w:p>
      <w:pPr>
        <w:spacing w:before="60"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AI Engineer with 7+ years across fintech and professional services, specialising in LLM products that enterprise teams actually adopt. Known for owning AI delivery end-to-end — from securing executive sponsorship through to production — with a focus on making complex AI simple enough for non-technical users. Background spans agentic systems, ML pipelines, and data infrastructure using Python, LangChain, and cloud platforms.</w:t>
      </w:r>
    </w:p>
    <w:p>
      <w:pPr>
        <w:spacing w:before="120" w:after="0" w:line="276" w:lineRule="auto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Professional Experience</w:t>
      </w:r>
    </w:p>
    <w:tbl>
      <w:tblPr>
        <w:tblW w:type="dxa" w:w="108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886"/>
      </w:tblGrid>
      <w:tr>
        <w:tc>
          <w:tcPr>
            <w:tcW w:type="dxa" w:w="1088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 w:line="1" w:lineRule="exact"/>
            </w:pPr>
            <w:r>
              <w:rPr>
                <w:rFonts w:ascii="Calibri" w:cs="Calibri" w:eastAsia="Calibri" w:hAnsi="Calibri"/>
                <w:sz w:val="1"/>
                <w:szCs w:val="1"/>
              </w:rPr>
              <w:t xml:space="preserve"/>
            </w:r>
          </w:p>
        </w:tc>
      </w:tr>
    </w:tbl>
    <w:tbl>
      <w:tblPr>
        <w:tblW w:type="dxa" w:w="108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947"/>
        <w:gridCol w:w="2939"/>
      </w:tblGrid>
      <w:tr>
        <w:tc>
          <w:tcPr>
            <w:tcW w:type="dxa" w:w="7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80" w:after="0" w:line="276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Senior AI Engineer, Willis Towers Watson (NASDAQ:WTW)</w:t>
            </w:r>
          </w:p>
        </w:tc>
        <w:tc>
          <w:tcPr>
            <w:tcW w:type="dxa" w:w="29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80" w:after="0" w:line="276" w:lineRule="auto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 2023 – Present</w:t>
            </w:r>
          </w:p>
        </w:tc>
      </w:tr>
    </w:tbl>
    <w:tbl>
      <w:tblPr>
        <w:tblW w:type="dxa" w:w="108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947"/>
        <w:gridCol w:w="2939"/>
      </w:tblGrid>
      <w:tr>
        <w:tc>
          <w:tcPr>
            <w:tcW w:type="dxa" w:w="7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60" w:line="276" w:lineRule="auto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Global Human Capital advisory firm, advising 90% of FTSE companies in the UK</w:t>
            </w:r>
          </w:p>
        </w:tc>
        <w:tc>
          <w:tcPr>
            <w:tcW w:type="dxa" w:w="29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60" w:line="276" w:lineRule="auto"/>
              <w:jc w:val="righ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London, UK</w:t>
            </w:r>
          </w:p>
        </w:tc>
      </w:tr>
    </w:tbl>
    <w:p>
      <w:pPr>
        <w:pStyle w:val="ListParagraph"/>
        <w:numPr>
          <w:ilvl w:val="0"/>
          <w:numId w:val="2"/>
        </w:numPr>
        <w:spacing w:before="0" w:after="4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Owned the AI layer of HiAI — a centralised LLM platform (LangChain, FastAPI) that unified scattered workflows into one surface for 3,000+ consultants, driving it from executive sponsorship to production adoption.</w:t>
      </w:r>
    </w:p>
    <w:p>
      <w:pPr>
        <w:pStyle w:val="ListParagraph"/>
        <w:numPr>
          <w:ilvl w:val="0"/>
          <w:numId w:val="2"/>
        </w:numPr>
        <w:spacing w:before="0" w:after="4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Reduced research time by 80% (formally measured) by building a multi-step LLM reasoning pipeline with structured Pydantic outputs, replacing manual document search.</w:t>
      </w:r>
    </w:p>
    <w:p>
      <w:pPr>
        <w:pStyle w:val="ListParagraph"/>
        <w:numPr>
          <w:ilvl w:val="0"/>
          <w:numId w:val="2"/>
        </w:numPr>
        <w:spacing w:before="0" w:after="4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Lifted user satisfaction 20% by designing an MLflow evaluation framework measuring groundedness and factual accuracy of LLM responses before they reached users.</w:t>
      </w:r>
    </w:p>
    <w:p>
      <w:pPr>
        <w:pStyle w:val="ListParagraph"/>
        <w:numPr>
          <w:ilvl w:val="0"/>
          <w:numId w:val="2"/>
        </w:numPr>
        <w:spacing w:before="0" w:after="4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Built a semantic data layer on CosmosDB and Redis, enabling consultants to query enterprise HR data through natural language for the first time.</w:t>
      </w:r>
    </w:p>
    <w:p>
      <w:pPr>
        <w:pStyle w:val="ListParagraph"/>
        <w:numPr>
          <w:ilvl w:val="0"/>
          <w:numId w:val="2"/>
        </w:numPr>
        <w:spacing w:before="0" w:after="4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Standardised RAG architecture and prompt engineering practices across the team; mentored 2 junior ML engineers, both shipping to production.</w:t>
      </w:r>
    </w:p>
    <w:tbl>
      <w:tblPr>
        <w:tblW w:type="dxa" w:w="108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947"/>
        <w:gridCol w:w="2939"/>
      </w:tblGrid>
      <w:tr>
        <w:tc>
          <w:tcPr>
            <w:tcW w:type="dxa" w:w="7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80" w:after="0" w:line="276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Senior Data Scientist, Mox Bank by Standard Chartered</w:t>
            </w:r>
          </w:p>
        </w:tc>
        <w:tc>
          <w:tcPr>
            <w:tcW w:type="dxa" w:w="29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80" w:after="0" w:line="276" w:lineRule="auto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 2020 – Oct 2022</w:t>
            </w:r>
          </w:p>
        </w:tc>
      </w:tr>
    </w:tbl>
    <w:tbl>
      <w:tblPr>
        <w:tblW w:type="dxa" w:w="108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947"/>
        <w:gridCol w:w="2939"/>
      </w:tblGrid>
      <w:tr>
        <w:tc>
          <w:tcPr>
            <w:tcW w:type="dxa" w:w="7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60" w:line="276" w:lineRule="auto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Leading digital retail bank with 600k+ users and highest personal loan book in the market</w:t>
            </w:r>
          </w:p>
        </w:tc>
        <w:tc>
          <w:tcPr>
            <w:tcW w:type="dxa" w:w="29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60" w:line="276" w:lineRule="auto"/>
              <w:jc w:val="righ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Hong Kong</w:t>
            </w:r>
          </w:p>
        </w:tc>
      </w:tr>
    </w:tbl>
    <w:p>
      <w:pPr>
        <w:pStyle w:val="ListParagraph"/>
        <w:numPr>
          <w:ilvl w:val="0"/>
          <w:numId w:val="2"/>
        </w:numPr>
        <w:spacing w:before="0" w:after="4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Built Airflow pipelines ingesting real-time Kafka events (deposits, card spend, payments) into clean analytics tables relied on by 80+ analysts and data scientists.</w:t>
      </w:r>
    </w:p>
    <w:p>
      <w:pPr>
        <w:pStyle w:val="ListParagraph"/>
        <w:numPr>
          <w:ilvl w:val="0"/>
          <w:numId w:val="2"/>
        </w:numPr>
        <w:spacing w:before="0" w:after="4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Increased credit product applications 40% by building a K-Means segmentation model that powered marketing targeting of the right customer segments.</w:t>
      </w:r>
    </w:p>
    <w:p>
      <w:pPr>
        <w:pStyle w:val="ListParagraph"/>
        <w:numPr>
          <w:ilvl w:val="0"/>
          <w:numId w:val="2"/>
        </w:numPr>
        <w:spacing w:before="0" w:after="4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Grew card spending 10% MoM by modelling optimal cashback rates and merchant strategies using anomaly detection and statistical analysis.</w:t>
      </w:r>
    </w:p>
    <w:p>
      <w:pPr>
        <w:pStyle w:val="ListParagraph"/>
        <w:numPr>
          <w:ilvl w:val="0"/>
          <w:numId w:val="2"/>
        </w:numPr>
        <w:spacing w:before="0" w:after="4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Defined bank-wide KPIs across product lines and delivered dashboards used by C-suite in weekly reviews.</w:t>
      </w:r>
    </w:p>
    <w:tbl>
      <w:tblPr>
        <w:tblW w:type="dxa" w:w="108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947"/>
        <w:gridCol w:w="2939"/>
      </w:tblGrid>
      <w:tr>
        <w:tc>
          <w:tcPr>
            <w:tcW w:type="dxa" w:w="7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80" w:after="0" w:line="276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Engineer, LF Logistics</w:t>
            </w:r>
          </w:p>
        </w:tc>
        <w:tc>
          <w:tcPr>
            <w:tcW w:type="dxa" w:w="29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80" w:after="0" w:line="276" w:lineRule="auto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 2019 – Mar 2020</w:t>
            </w:r>
          </w:p>
        </w:tc>
      </w:tr>
    </w:tbl>
    <w:tbl>
      <w:tblPr>
        <w:tblW w:type="dxa" w:w="108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947"/>
        <w:gridCol w:w="2939"/>
      </w:tblGrid>
      <w:tr>
        <w:tc>
          <w:tcPr>
            <w:tcW w:type="dxa" w:w="7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60" w:line="276" w:lineRule="auto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Leading Asia logistics company serving major retail brands including Nike and Lululemon</w:t>
            </w:r>
          </w:p>
        </w:tc>
        <w:tc>
          <w:tcPr>
            <w:tcW w:type="dxa" w:w="29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60" w:line="276" w:lineRule="auto"/>
              <w:jc w:val="righ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Hong Kong</w:t>
            </w:r>
          </w:p>
        </w:tc>
      </w:tr>
    </w:tbl>
    <w:p>
      <w:pPr>
        <w:pStyle w:val="ListParagraph"/>
        <w:numPr>
          <w:ilvl w:val="0"/>
          <w:numId w:val="2"/>
        </w:numPr>
        <w:spacing w:before="0" w:after="4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Improved workforce utilisation 30% by deploying and monitoring ML forecast models for trucking labour allocation.</w:t>
      </w:r>
    </w:p>
    <w:tbl>
      <w:tblPr>
        <w:tblW w:type="dxa" w:w="108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947"/>
        <w:gridCol w:w="2939"/>
      </w:tblGrid>
      <w:tr>
        <w:tc>
          <w:tcPr>
            <w:tcW w:type="dxa" w:w="7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80" w:after="0" w:line="276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Technical Specialist, Microsoft</w:t>
            </w:r>
          </w:p>
        </w:tc>
        <w:tc>
          <w:tcPr>
            <w:tcW w:type="dxa" w:w="29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80" w:after="0" w:line="276" w:lineRule="auto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2018 – Aug 2019</w:t>
            </w:r>
          </w:p>
        </w:tc>
      </w:tr>
    </w:tbl>
    <w:tbl>
      <w:tblPr>
        <w:tblW w:type="dxa" w:w="108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947"/>
        <w:gridCol w:w="2939"/>
      </w:tblGrid>
      <w:tr>
        <w:tc>
          <w:tcPr>
            <w:tcW w:type="dxa" w:w="7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60" w:line="276" w:lineRule="auto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Part of the world's top sales team globally in FY2018</w:t>
            </w:r>
          </w:p>
        </w:tc>
        <w:tc>
          <w:tcPr>
            <w:tcW w:type="dxa" w:w="29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60" w:line="276" w:lineRule="auto"/>
              <w:jc w:val="righ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Hong Kong</w:t>
            </w:r>
          </w:p>
        </w:tc>
      </w:tr>
    </w:tbl>
    <w:p>
      <w:pPr>
        <w:pStyle w:val="ListParagraph"/>
        <w:numPr>
          <w:ilvl w:val="0"/>
          <w:numId w:val="2"/>
        </w:numPr>
        <w:spacing w:before="0" w:after="4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Drove 80% growth in Azure and Office 365 adoption by using usage data to identify and target high-potential enterprise accounts.</w:t>
      </w:r>
    </w:p>
    <w:p>
      <w:pPr>
        <w:spacing w:before="120" w:after="0" w:line="276" w:lineRule="auto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Projects</w:t>
      </w:r>
    </w:p>
    <w:tbl>
      <w:tblPr>
        <w:tblW w:type="dxa" w:w="108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886"/>
      </w:tblGrid>
      <w:tr>
        <w:tc>
          <w:tcPr>
            <w:tcW w:type="dxa" w:w="1088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 w:line="1" w:lineRule="exact"/>
            </w:pPr>
            <w:r>
              <w:rPr>
                <w:rFonts w:ascii="Calibri" w:cs="Calibri" w:eastAsia="Calibri" w:hAnsi="Calibri"/>
                <w:sz w:val="1"/>
                <w:szCs w:val="1"/>
              </w:rPr>
              <w:t xml:space="preserve"/>
            </w:r>
          </w:p>
        </w:tc>
      </w:tr>
    </w:tbl>
    <w:tbl>
      <w:tblPr>
        <w:tblW w:type="dxa" w:w="108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947"/>
        <w:gridCol w:w="2939"/>
      </w:tblGrid>
      <w:tr>
        <w:tc>
          <w:tcPr>
            <w:tcW w:type="dxa" w:w="7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80" w:after="0" w:line="276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BulletCV (https://bulletcv.koyeb.app)</w:t>
            </w:r>
          </w:p>
        </w:tc>
        <w:tc>
          <w:tcPr>
            <w:tcW w:type="dxa" w:w="29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80" w:after="0" w:line="276" w:lineRule="auto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Nov 2024 – Present</w:t>
            </w:r>
          </w:p>
        </w:tc>
      </w:tr>
    </w:tbl>
    <w:tbl>
      <w:tblPr>
        <w:tblW w:type="dxa" w:w="108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947"/>
        <w:gridCol w:w="2939"/>
      </w:tblGrid>
      <w:tr>
        <w:tc>
          <w:tcPr>
            <w:tcW w:type="dxa" w:w="7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60" w:line="276" w:lineRule="auto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*Tailored resume bullet point generator*</w:t>
            </w:r>
          </w:p>
        </w:tc>
        <w:tc>
          <w:tcPr>
            <w:tcW w:type="dxa" w:w="29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60" w:line="276" w:lineRule="auto"/>
              <w:jc w:val="righ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before="0" w:after="4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Launched BulletCV, a NextJS LLM app turning job descriptions into tailored resume prompts, amassing 20k+ impressions and 100+ active users.</w:t>
      </w:r>
    </w:p>
    <w:p>
      <w:pPr>
        <w:pStyle w:val="ListParagraph"/>
        <w:numPr>
          <w:ilvl w:val="0"/>
          <w:numId w:val="2"/>
        </w:numPr>
        <w:spacing w:before="0" w:after="4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Engineered end-to-end LLM pipeline using Jina Reader API for parsing, TogetherAI for fast inference, and Helicone for observability and tracing.</w:t>
      </w:r>
    </w:p>
    <w:p>
      <w:pPr>
        <w:spacing w:before="120" w:after="0" w:line="276" w:lineRule="auto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Technical Skills</w:t>
      </w:r>
    </w:p>
    <w:tbl>
      <w:tblPr>
        <w:tblW w:type="dxa" w:w="108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886"/>
      </w:tblGrid>
      <w:tr>
        <w:tc>
          <w:tcPr>
            <w:tcW w:type="dxa" w:w="1088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 w:line="1" w:lineRule="exact"/>
            </w:pPr>
            <w:r>
              <w:rPr>
                <w:rFonts w:ascii="Calibri" w:cs="Calibri" w:eastAsia="Calibri" w:hAnsi="Calibri"/>
                <w:sz w:val="1"/>
                <w:szCs w:val="1"/>
              </w:rPr>
              <w:t xml:space="preserve"/>
            </w:r>
          </w:p>
        </w:tc>
      </w:tr>
    </w:tbl>
    <w:p>
      <w:pPr>
        <w:spacing w:before="40" w:after="40" w:line="276" w:lineRule="auto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ML Engineering:</w:t>
      </w:r>
      <w:r>
        <w:rPr>
          <w:rFonts w:ascii="Calibri" w:cs="Calibri" w:eastAsia="Calibri" w:hAnsi="Calibri"/>
          <w:sz w:val="20"/>
          <w:szCs w:val="20"/>
        </w:rPr>
        <w:t xml:space="preserve"> Python, LangChain, LangGraph, LlamaIndex, FastAPI, MLflow, Pydantic</w:t>
      </w:r>
    </w:p>
    <w:p>
      <w:pPr>
        <w:spacing w:before="40" w:after="40" w:line="276" w:lineRule="auto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GenAI &amp; LLMs:</w:t>
      </w:r>
      <w:r>
        <w:rPr>
          <w:rFonts w:ascii="Calibri" w:cs="Calibri" w:eastAsia="Calibri" w:hAnsi="Calibri"/>
          <w:sz w:val="20"/>
          <w:szCs w:val="20"/>
        </w:rPr>
        <w:t xml:space="preserve"> RAG Systems, Agentic Workflows, Prompt Engineering, LLM Evaluation, Embedding Models</w:t>
      </w:r>
    </w:p>
    <w:p>
      <w:pPr>
        <w:spacing w:before="40" w:after="40" w:line="276" w:lineRule="auto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Vector &amp; Data Stores:</w:t>
      </w:r>
      <w:r>
        <w:rPr>
          <w:rFonts w:ascii="Calibri" w:cs="Calibri" w:eastAsia="Calibri" w:hAnsi="Calibri"/>
          <w:sz w:val="20"/>
          <w:szCs w:val="20"/>
        </w:rPr>
        <w:t xml:space="preserve"> Redis, CosmosDB, Databricks, Apache Airflow, AWS Athena, Presto, PostgreSQL</w:t>
      </w:r>
    </w:p>
    <w:p>
      <w:pPr>
        <w:spacing w:before="40" w:after="40" w:line="276" w:lineRule="auto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Infrastructure &amp; DevOps:</w:t>
      </w:r>
      <w:r>
        <w:rPr>
          <w:rFonts w:ascii="Calibri" w:cs="Calibri" w:eastAsia="Calibri" w:hAnsi="Calibri"/>
          <w:sz w:val="20"/>
          <w:szCs w:val="20"/>
        </w:rPr>
        <w:t xml:space="preserve"> Docker, CircleCI, Azure OpenAI, AWS, Git, Jupyter</w:t>
      </w:r>
    </w:p>
    <w:p>
      <w:pPr>
        <w:spacing w:before="40" w:after="40" w:line="276" w:lineRule="auto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</w:t>
      </w:r>
      <w:r>
        <w:rPr>
          <w:rFonts w:ascii="Calibri" w:cs="Calibri" w:eastAsia="Calibri" w:hAnsi="Calibri"/>
          <w:sz w:val="20"/>
          <w:szCs w:val="20"/>
        </w:rPr>
        <w:t xml:space="preserve"> Python, SQL, JavaScript • Visualisation: Tableau, Looker, PowerBI</w:t>
      </w:r>
    </w:p>
    <w:p>
      <w:pPr>
        <w:spacing w:before="120" w:after="0" w:line="276" w:lineRule="auto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Education</w:t>
      </w:r>
    </w:p>
    <w:tbl>
      <w:tblPr>
        <w:tblW w:type="dxa" w:w="108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886"/>
      </w:tblGrid>
      <w:tr>
        <w:tc>
          <w:tcPr>
            <w:tcW w:type="dxa" w:w="1088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 w:line="1" w:lineRule="exact"/>
            </w:pPr>
            <w:r>
              <w:rPr>
                <w:rFonts w:ascii="Calibri" w:cs="Calibri" w:eastAsia="Calibri" w:hAnsi="Calibri"/>
                <w:sz w:val="1"/>
                <w:szCs w:val="1"/>
              </w:rPr>
              <w:t xml:space="preserve"/>
            </w:r>
          </w:p>
        </w:tc>
      </w:tr>
    </w:tbl>
    <w:tbl>
      <w:tblPr>
        <w:tblW w:type="dxa" w:w="108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947"/>
        <w:gridCol w:w="2939"/>
      </w:tblGrid>
      <w:tr>
        <w:tc>
          <w:tcPr>
            <w:tcW w:type="dxa" w:w="7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80" w:after="0" w:line="276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Hong Kong University of Science and Technology</w:t>
            </w:r>
          </w:p>
        </w:tc>
        <w:tc>
          <w:tcPr>
            <w:tcW w:type="dxa" w:w="29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80" w:after="0" w:line="276" w:lineRule="auto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2013 – May 2017</w:t>
            </w:r>
          </w:p>
        </w:tc>
      </w:tr>
    </w:tbl>
    <w:tbl>
      <w:tblPr>
        <w:tblW w:type="dxa" w:w="108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947"/>
        <w:gridCol w:w="2939"/>
      </w:tblGrid>
      <w:tr>
        <w:tc>
          <w:tcPr>
            <w:tcW w:type="dxa" w:w="7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60" w:line="276" w:lineRule="auto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Bachelor of Business Administration in Information Systems</w:t>
            </w:r>
          </w:p>
        </w:tc>
        <w:tc>
          <w:tcPr>
            <w:tcW w:type="dxa" w:w="29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60" w:line="276" w:lineRule="auto"/>
              <w:jc w:val="righ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Hong Kong</w:t>
            </w:r>
          </w:p>
        </w:tc>
      </w:tr>
    </w:tbl>
    <w:sectPr>
      <w:pgSz w:w="11906" w:h="16838" w:orient="portrait"/>
      <w:pgMar w:top="737" w:right="510" w:bottom="737" w:left="51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  <w:rPr>
        <w:rFonts w:ascii="Symbol" w:cs="Symbol" w:eastAsia="Symbol" w:hAnsi="Symbo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8yp7zprmblmrefinmccaw" Type="http://schemas.openxmlformats.org/officeDocument/2006/relationships/hyperlink" Target="https://bento.me/wch" TargetMode="External"/><Relationship Id="rIdpz8vmmfy9hf55e5527qmz" Type="http://schemas.openxmlformats.org/officeDocument/2006/relationships/hyperlink" Target="https://linkedin.com/in/morriswch" TargetMode="External"/><Relationship Id="rId0i1t7uzggw5wucynqrour" Type="http://schemas.openxmlformats.org/officeDocument/2006/relationships/hyperlink" Target="https://github.com/morriswong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2026-02-26T10:15:53.113Z</dcterms:created>
  <dcterms:modified xsi:type="dcterms:W3CDTF">2026-02-26T10:15:53.113Z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