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28"/>
          <w:szCs w:val="28"/>
        </w:rPr>
        <w:t xml:space="preserve">Institute on AI, Pedagogy, and the Curriculum</w:t>
      </w:r>
    </w:p>
    <w:p>
      <w:pPr>
        <w:pBdr>
          <w:bottom w:val="single" w:color="1F3864" w:sz="8" w:space="6"/>
        </w:pBdr>
        <w:spacing w:after="240"/>
      </w:pPr>
      <w:r>
        <w:rPr>
          <w:rFonts w:ascii="Calibri" w:cs="Calibri" w:eastAsia="Calibri" w:hAnsi="Calibri"/>
          <w:color w:val="444444"/>
          <w:sz w:val="24"/>
          <w:szCs w:val="24"/>
        </w:rPr>
        <w:t xml:space="preserve">Action Plan  |  Olympic College  |  2026–2027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F2F2F2" w:color="auto" w:val="clear"/>
            <w:tcMar>
              <w:top w:type="dxa" w:w="60"/>
              <w:left w:type="dxa" w:w="90"/>
              <w:bottom w:type="dxa" w:w="60"/>
              <w:right w:type="dxa" w:w="90"/>
            </w:tcMar>
          </w:tcPr>
          <w:p>
            <w:pPr>
              <w:spacing w:after="0" w:line="264"/>
            </w:pPr>
            <w:r>
              <w:rPr>
                <w:rFonts w:ascii="Calibri" w:cs="Calibri" w:eastAsia="Calibri" w:hAnsi="Calibri"/>
                <w:b/>
                <w:bCs/>
                <w:sz w:val="19"/>
                <w:szCs w:val="19"/>
              </w:rPr>
              <w:t xml:space="preserve"/>
            </w:r>
          </w:p>
        </w:tc>
        <w:tc>
          <w:tcPr>
            <w:tcW w:type="dxa" w:w="7460"/>
            <w:shd w:fill="F2F2F2" w:color="auto" w:val="clear"/>
            <w:tcMar>
              <w:top w:type="dxa" w:w="60"/>
              <w:left w:type="dxa" w:w="90"/>
              <w:bottom w:type="dxa" w:w="60"/>
              <w:right w:type="dxa" w:w="90"/>
            </w:tcMar>
          </w:tcPr>
          <w:p>
            <w:pPr>
              <w:spacing w:after="0" w:line="264"/>
            </w:pPr>
            <w:r>
              <w:rPr>
                <w:rFonts w:ascii="Calibri" w:cs="Calibri" w:eastAsia="Calibri" w:hAnsi="Calibri"/>
                <w:b/>
                <w:bCs/>
                <w:sz w:val="19"/>
                <w:szCs w:val="19"/>
              </w:rPr>
              <w:t xml:space="preserve"/>
            </w:r>
          </w:p>
        </w:tc>
      </w:tr>
      <w:tr>
        <w:tc>
          <w:tcPr>
            <w:tcW w:type="dxa" w:w="19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Campus / Team Name</w:t>
            </w:r>
          </w:p>
        </w:tc>
        <w:tc>
          <w:tcPr>
            <w:tcW w:type="dxa" w:w="74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Olympic College</w:t>
            </w:r>
          </w:p>
        </w:tc>
      </w:tr>
      <w:tr>
        <w:tc>
          <w:tcPr>
            <w:tcW w:type="dxa" w:w="19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Team Lead</w:t>
            </w:r>
          </w:p>
        </w:tc>
        <w:tc>
          <w:tcPr>
            <w:tcW w:type="dxa" w:w="74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Kevin Bowersox-Johnson, Dean of Learning Innovation</w:t>
            </w:r>
          </w:p>
        </w:tc>
      </w:tr>
      <w:tr>
        <w:tc>
          <w:tcPr>
            <w:tcW w:type="dxa" w:w="19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Team Members</w:t>
            </w:r>
          </w:p>
        </w:tc>
        <w:tc>
          <w:tcPr>
            <w:tcW w:type="dxa" w:w="74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Andres Vinas, Chief Information Officer · Monika Major, Instructional Designer · William Bailey, Business Transfer faculty · Bradley Lee, Nursing faculty · Pierre Arellano, English faculty · Justin Lewis, English faculty · Candice Morrow, English faculty · Sage Westfall, Affiliate faculty</w:t>
            </w:r>
          </w:p>
        </w:tc>
      </w:tr>
      <w:tr>
        <w:tc>
          <w:tcPr>
            <w:tcW w:type="dxa" w:w="19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Project Focus</w:t>
            </w:r>
          </w:p>
        </w:tc>
        <w:tc>
          <w:tcPr>
            <w:tcW w:type="dxa" w:w="74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Faculty development: defining AI literacy from the college’s new Core Abilities, and building the professional development and peer structures that let faculty act on it.</w:t>
            </w:r>
          </w:p>
        </w:tc>
      </w:tr>
    </w:tbl>
    <w:p>
      <w:pPr>
        <w:spacing w:after="100"/>
      </w:pPr>
    </w:p>
    <w:p>
      <w:pPr>
        <w:pStyle w:val="Heading1"/>
        <w:spacing w:after="120" w:before="260"/>
      </w:pPr>
      <w:r>
        <w:rPr>
          <w:rFonts w:ascii="Calibri" w:cs="Calibri" w:eastAsia="Calibri" w:hAnsi="Calibri"/>
          <w:b/>
          <w:bCs/>
          <w:color w:val="1F3864"/>
          <w:sz w:val="26"/>
          <w:szCs w:val="26"/>
        </w:rPr>
        <w:t xml:space="preserve">Project Description and Goals</w:t>
      </w:r>
    </w:p>
    <w:p>
      <w:pPr>
        <w:spacing w:after="120" w:line="276"/>
      </w:pPr>
      <w:r>
        <w:rPr>
          <w:rFonts w:ascii="Calibri" w:cs="Calibri" w:eastAsia="Calibri" w:hAnsi="Calibri"/>
          <w:sz w:val="21"/>
          <w:szCs w:val="21"/>
        </w:rPr>
        <w:t xml:space="preserve">Olympic College will build a faculty-facing foundation for AI in teaching and learning. We begin from evidence about where our faculty and students actually are, articulate a shared definition of AI literacy anchored in the college’s new Core Abilities, test that definition with faculty rather than announce it, and then build the professional development and peer structures that make it usable. We are deliberately not starting with tools or policy, and we are not writing a definition from scratch: we start from what the college says its graduates should be able to do.</w:t>
      </w:r>
    </w:p>
    <w:p>
      <w:pPr>
        <w:spacing w:after="120" w:line="276"/>
      </w:pPr>
      <w:r>
        <w:rPr>
          <w:rFonts w:ascii="Calibri" w:cs="Calibri" w:eastAsia="Calibri" w:hAnsi="Calibri"/>
          <w:b/>
          <w:bCs/>
          <w:sz w:val="21"/>
          <w:szCs w:val="21"/>
        </w:rPr>
        <w:t xml:space="preserve">Content goals. </w:t>
      </w:r>
      <w:r>
        <w:rPr>
          <w:rFonts w:ascii="Calibri" w:cs="Calibri" w:eastAsia="Calibri" w:hAnsi="Calibri"/>
          <w:sz w:val="21"/>
          <w:szCs w:val="21"/>
        </w:rPr>
        <w:t xml:space="preserve">A written, faculty-endorsed definition of AI literacy for Olympic College that works across every discipline and is grounded in the college’s new Core Abilities. Paired with it, a values statement naming the human capacities we intend to keep at the center of our teaching as AI capability grows. A professional development plan built on that definition. A design for a cross-divisional faculty ambassador program.</w:t>
      </w:r>
    </w:p>
    <w:p>
      <w:pPr>
        <w:spacing w:after="120" w:line="276"/>
      </w:pPr>
      <w:r>
        <w:rPr>
          <w:rFonts w:ascii="Calibri" w:cs="Calibri" w:eastAsia="Calibri" w:hAnsi="Calibri"/>
          <w:sz w:val="21"/>
          <w:szCs w:val="21"/>
        </w:rPr>
        <w:t xml:space="preserve">Grounding the definition in the Core Abilities is the central design decision of this plan. We are not asking the college to adopt a new framework; we are asking what the commitments it is making about its graduates require of us now that AI can perform parts of the work those abilities describe. The Core Abilities are the one thing every program shares, which is what makes a genuinely cross-disciplinary definition possible — a statement anchored there applies as readily in a welding lab as in a composition classroom. The timing helps: faculty will be learning the new Core Abilities this year regardless, so the question of what AI changes about delivering them can ride along with that rollout rather than compete with it.</w:t>
      </w:r>
    </w:p>
    <w:p>
      <w:pPr>
        <w:spacing w:after="120" w:line="276"/>
      </w:pPr>
      <w:r>
        <w:rPr>
          <w:rFonts w:ascii="Calibri" w:cs="Calibri" w:eastAsia="Calibri" w:hAnsi="Calibri"/>
          <w:b/>
          <w:bCs/>
          <w:sz w:val="21"/>
          <w:szCs w:val="21"/>
        </w:rPr>
        <w:t xml:space="preserve">Process goals. </w:t>
      </w:r>
      <w:r>
        <w:rPr>
          <w:rFonts w:ascii="Calibri" w:cs="Calibri" w:eastAsia="Calibri" w:hAnsi="Calibri"/>
          <w:sz w:val="21"/>
          <w:szCs w:val="21"/>
        </w:rPr>
        <w:t xml:space="preserve">Evidence first, then draft, then workshop, then revise — not the reverse. Every element is tested with faculty before it is proposed for adoption. We will take the draft language to existing venues where faculty already gather — in-service and professional development days, division and department meetings, faculty senate, adjunct orientation — rather than convening new sessions. The ambassador program is itself a process goal: it makes cross-divisional conversation about AI a standing structure rather than an event.</w:t>
      </w:r>
    </w:p>
    <w:p>
      <w:pPr>
        <w:spacing w:after="120" w:line="276"/>
      </w:pPr>
      <w:r>
        <w:rPr>
          <w:rFonts w:ascii="Calibri" w:cs="Calibri" w:eastAsia="Calibri" w:hAnsi="Calibri"/>
          <w:b/>
          <w:bCs/>
          <w:sz w:val="21"/>
          <w:szCs w:val="21"/>
        </w:rPr>
        <w:t xml:space="preserve">Equity goals. </w:t>
      </w:r>
      <w:r>
        <w:rPr>
          <w:rFonts w:ascii="Calibri" w:cs="Calibri" w:eastAsia="Calibri" w:hAnsi="Calibri"/>
          <w:sz w:val="21"/>
          <w:szCs w:val="21"/>
        </w:rPr>
        <w:t xml:space="preserve">Adjunct and part-time faculty have the least access to professional development; every offering will be designed for someone paid by the course, teaching at more than one institution, and not on campus for meetings. Available professional development funds will be directed first toward paid adjunct participation — the single largest determinant of who actually attends. The definition must be legible and useful in trades and professional-technical programs as well as transfer disciplines, and must not assume technical fluency that some disciplines have and others do not. We will deliberately include faculty skeptical of AI, not only enthusiasts; a definition workshopped only with early adopters will not survive contact with the rest of the faculty.</w:t>
      </w:r>
    </w:p>
    <w:p>
      <w:pPr>
        <w:spacing w:after="120" w:line="276"/>
      </w:pPr>
      <w:r>
        <w:rPr>
          <w:rFonts w:ascii="Calibri" w:cs="Calibri" w:eastAsia="Calibri" w:hAnsi="Calibri"/>
          <w:b/>
          <w:bCs/>
          <w:sz w:val="21"/>
          <w:szCs w:val="21"/>
        </w:rPr>
        <w:t xml:space="preserve">Outcome goals. </w:t>
      </w:r>
      <w:r>
        <w:rPr>
          <w:rFonts w:ascii="Calibri" w:cs="Calibri" w:eastAsia="Calibri" w:hAnsi="Calibri"/>
          <w:sz w:val="21"/>
          <w:szCs w:val="21"/>
        </w:rPr>
        <w:t xml:space="preserve">For students: coherent expectations about AI instead of contradictory rules that differ by instructor, and teaching that still delivers the Core Abilities in a world where AI can convincingly imitate their products. For the institution: faculty who can make deliberate, informed decisions about AI in their own courses — the goal is not adoption and not prohibition, but deliberateness — and a shared vocabulary that lets curriculum, policy, and student-facing guidance be built on something stable.</w:t>
      </w:r>
    </w:p>
    <w:p>
      <w:pPr>
        <w:pStyle w:val="Heading2"/>
        <w:spacing w:after="80" w:before="180"/>
      </w:pPr>
      <w:r>
        <w:rPr>
          <w:rFonts w:ascii="Calibri" w:cs="Calibri" w:eastAsia="Calibri" w:hAnsi="Calibri"/>
          <w:b/>
          <w:bCs/>
          <w:color w:val="1F3864"/>
          <w:sz w:val="22"/>
          <w:szCs w:val="22"/>
        </w:rPr>
        <w:t xml:space="preserve">Where do you hope Olympic College will be in 2 to 3 years?</w:t>
      </w:r>
    </w:p>
    <w:p>
      <w:pPr>
        <w:spacing w:after="120" w:line="276"/>
      </w:pPr>
      <w:r>
        <w:rPr>
          <w:rFonts w:ascii="Calibri" w:cs="Calibri" w:eastAsia="Calibri" w:hAnsi="Calibri"/>
          <w:sz w:val="21"/>
          <w:szCs w:val="21"/>
        </w:rPr>
        <w:t xml:space="preserve">Institutional AI policy governing use, tools, and privacy — across instruction and across the campus — with policies and procedures named, prioritized, and placed on a published timeline. Faculty and staff who understand which tools are approved at the institutional level and what appropriate use looks like in their context. Regular and substantive professional development on AI, with a published schedule and stated cadence that adjunct faculty can actually attend. AI literacy and pedagogy as shared vocabulary, adopted through faculty governance and visible in program and course outcomes. An ambassador in every division serving as a known point of contact. And student-facing expectations consistent enough that a student moving between a welding lab, an English course, and a nursing clinical meets the same basic expectations, expressed in discipline-appropriate ways.</w:t>
      </w:r>
    </w:p>
    <w:p>
      <w:pPr>
        <w:spacing w:after="120" w:line="276"/>
      </w:pPr>
      <w:r>
        <w:rPr>
          <w:rFonts w:ascii="Calibri" w:cs="Calibri" w:eastAsia="Calibri" w:hAnsi="Calibri"/>
          <w:sz w:val="21"/>
          <w:szCs w:val="21"/>
        </w:rPr>
        <w:t xml:space="preserve">That end state is institution-wide and includes policy work this team is not positioned to complete in one year. Faculty development is the lever we are pulling first, deliberately: a shared, faculty-endorsed definition of AI literacy is the vocabulary any later policy has to be written in. Policy built before that agreement exists tends to be rewritten; policy built after it tends to hold.</w:t>
      </w:r>
    </w:p>
    <w:p>
      <w:pPr>
        <w:pStyle w:val="Heading2"/>
        <w:spacing w:after="80" w:before="180"/>
      </w:pPr>
      <w:r>
        <w:rPr>
          <w:rFonts w:ascii="Calibri" w:cs="Calibri" w:eastAsia="Calibri" w:hAnsi="Calibri"/>
          <w:b/>
          <w:bCs/>
          <w:color w:val="1F3864"/>
          <w:sz w:val="22"/>
          <w:szCs w:val="22"/>
        </w:rPr>
        <w:t xml:space="preserve">What can you do to help the college meet these goals?</w:t>
      </w:r>
    </w:p>
    <w:p>
      <w:pPr>
        <w:spacing w:after="120" w:line="276"/>
      </w:pPr>
      <w:r>
        <w:rPr>
          <w:rFonts w:ascii="Calibri" w:cs="Calibri" w:eastAsia="Calibri" w:hAnsi="Calibri"/>
          <w:sz w:val="21"/>
          <w:szCs w:val="21"/>
        </w:rPr>
        <w:t xml:space="preserve">Our team spans instruction, instructional design, and information technology, which lets us convene the faculty conversation broadly rather than in one corner of the college. Specifically we can use existing survey data — of faculty and of students — to focus the work on what our own campus reports rather than on national narrative; publish a schedule of professional development offerings with a stated frequency and a clear way to join, so that “regular and substantive” is verifiable rather than aspirational; and deliver the definition and the PD plan through existing governance and professional development channels instead of building parallel ones.</w:t>
      </w:r>
    </w:p>
    <w:p>
      <w:pPr>
        <w:pStyle w:val="Heading2"/>
        <w:spacing w:after="80" w:before="180"/>
      </w:pPr>
      <w:r>
        <w:rPr>
          <w:rFonts w:ascii="Calibri" w:cs="Calibri" w:eastAsia="Calibri" w:hAnsi="Calibri"/>
          <w:b/>
          <w:bCs/>
          <w:color w:val="1F3864"/>
          <w:sz w:val="22"/>
          <w:szCs w:val="22"/>
        </w:rPr>
        <w:t xml:space="preserve">What help do you need to support the advancement of these goals over time?</w:t>
      </w:r>
    </w:p>
    <w:p>
      <w:pPr>
        <w:spacing w:after="120" w:line="276"/>
      </w:pPr>
      <w:r>
        <w:rPr>
          <w:rFonts w:ascii="Calibri" w:cs="Calibri" w:eastAsia="Calibri" w:hAnsi="Calibri"/>
          <w:sz w:val="21"/>
          <w:szCs w:val="21"/>
        </w:rPr>
        <w:t xml:space="preserve">Institutional research support to analyze and cross-reference the Spring 2026 faculty and student surveys. Confirmation of the professional development funds available to us and authority to direct them toward adjunct stipends. A standing place on faculty senate, in-service, and division meeting agendas. Administrative sponsorship from the Vice President of Instruction. And clarity on whether an ambassador role creates workload or compensation questions under the faculty bargaining agreement.</w:t>
      </w:r>
    </w:p>
    <w:p>
      <w:pPr>
        <w:pStyle w:val="Heading2"/>
        <w:spacing w:after="80" w:before="180"/>
      </w:pPr>
      <w:r>
        <w:rPr>
          <w:rFonts w:ascii="Calibri" w:cs="Calibri" w:eastAsia="Calibri" w:hAnsi="Calibri"/>
          <w:b/>
          <w:bCs/>
          <w:color w:val="1F3864"/>
          <w:sz w:val="22"/>
          <w:szCs w:val="22"/>
        </w:rPr>
        <w:t xml:space="preserve">How will you know the work has been successful?</w:t>
      </w:r>
    </w:p>
    <w:p>
      <w:pPr>
        <w:pStyle w:val="ListParagraph"/>
        <w:numPr>
          <w:ilvl w:val="0"/>
          <w:numId w:val="2"/>
        </w:numPr>
        <w:spacing w:after="60" w:line="276"/>
      </w:pPr>
      <w:r>
        <w:rPr>
          <w:rFonts w:ascii="Calibri" w:cs="Calibri" w:eastAsia="Calibri" w:hAnsi="Calibri"/>
          <w:b/>
          <w:bCs/>
          <w:sz w:val="21"/>
          <w:szCs w:val="21"/>
        </w:rPr>
        <w:t xml:space="preserve">Student level: </w:t>
      </w:r>
      <w:r>
        <w:rPr>
          <w:rFonts w:ascii="Calibri" w:cs="Calibri" w:eastAsia="Calibri" w:hAnsi="Calibri"/>
          <w:sz w:val="21"/>
          <w:szCs w:val="21"/>
        </w:rPr>
        <w:t xml:space="preserve">students report more consistent and clearer AI expectations across their courses, and can describe when AI supported their learning and when it displaced it.</w:t>
      </w:r>
    </w:p>
    <w:p>
      <w:pPr>
        <w:pStyle w:val="ListParagraph"/>
        <w:numPr>
          <w:ilvl w:val="0"/>
          <w:numId w:val="2"/>
        </w:numPr>
        <w:spacing w:after="60" w:line="276"/>
      </w:pPr>
      <w:r>
        <w:rPr>
          <w:rFonts w:ascii="Calibri" w:cs="Calibri" w:eastAsia="Calibri" w:hAnsi="Calibri"/>
          <w:b/>
          <w:bCs/>
          <w:sz w:val="21"/>
          <w:szCs w:val="21"/>
        </w:rPr>
        <w:t xml:space="preserve">Faculty level: </w:t>
      </w:r>
      <w:r>
        <w:rPr>
          <w:rFonts w:ascii="Calibri" w:cs="Calibri" w:eastAsia="Calibri" w:hAnsi="Calibri"/>
          <w:sz w:val="21"/>
          <w:szCs w:val="21"/>
        </w:rPr>
        <w:t xml:space="preserve">a measurable increase in faculty who have made and can articulate a deliberate AI decision for their courses, measured by re-running the Spring 2026 survey instrument; PD participation that includes a representative share of adjunct faculty.</w:t>
      </w:r>
    </w:p>
    <w:p>
      <w:pPr>
        <w:pStyle w:val="ListParagraph"/>
        <w:numPr>
          <w:ilvl w:val="0"/>
          <w:numId w:val="2"/>
        </w:numPr>
        <w:spacing w:after="60" w:line="276"/>
      </w:pPr>
      <w:r>
        <w:rPr>
          <w:rFonts w:ascii="Calibri" w:cs="Calibri" w:eastAsia="Calibri" w:hAnsi="Calibri"/>
          <w:b/>
          <w:bCs/>
          <w:sz w:val="21"/>
          <w:szCs w:val="21"/>
        </w:rPr>
        <w:t xml:space="preserve">Institutional level: </w:t>
      </w:r>
      <w:r>
        <w:rPr>
          <w:rFonts w:ascii="Calibri" w:cs="Calibri" w:eastAsia="Calibri" w:hAnsi="Calibri"/>
          <w:sz w:val="21"/>
          <w:szCs w:val="21"/>
        </w:rPr>
        <w:t xml:space="preserve">the definition and values statement are endorsed through governance, and the ambassador program is resourced to continue past this Institute year. We will also track AI-related academic integrity measures alongside the survey, paired with the share of courses carrying explicit AI expectations so the numbers can be read honestly.</w:t>
      </w:r>
    </w:p>
    <w:p>
      <w:pPr>
        <w:pStyle w:val="Heading1"/>
        <w:spacing w:after="120" w:before="260"/>
      </w:pPr>
      <w:r>
        <w:rPr>
          <w:rFonts w:ascii="Calibri" w:cs="Calibri" w:eastAsia="Calibri" w:hAnsi="Calibri"/>
          <w:b/>
          <w:bCs/>
          <w:color w:val="1F3864"/>
          <w:sz w:val="26"/>
          <w:szCs w:val="26"/>
        </w:rPr>
        <w:t xml:space="preserve">Goals of the Plan</w:t>
      </w:r>
    </w:p>
    <w:p>
      <w:pPr>
        <w:spacing w:after="120" w:line="276"/>
      </w:pPr>
      <w:r>
        <w:rPr>
          <w:rFonts w:ascii="Calibri" w:cs="Calibri" w:eastAsia="Calibri" w:hAnsi="Calibri"/>
          <w:b/>
          <w:bCs/>
          <w:sz w:val="21"/>
          <w:szCs w:val="21"/>
        </w:rPr>
        <w:t xml:space="preserve">The issue. </w:t>
      </w:r>
      <w:r>
        <w:rPr>
          <w:rFonts w:ascii="Calibri" w:cs="Calibri" w:eastAsia="Calibri" w:hAnsi="Calibri"/>
          <w:sz w:val="21"/>
          <w:szCs w:val="21"/>
        </w:rPr>
        <w:t xml:space="preserve">Olympic College faculty are responding to AI individually and unevenly. Some have redesigned their courses, many are uncertain, and some are alarmed; students consequently get contradictory expectations from course to course. We have survey evidence from Spring 2026 about where both faculty and students are, and it has not yet been turned into a plan. Meanwhile the national conversation rushes toward tools and detection, skipping the prior question: what do we say every Olympic College graduate should be able to do, and what does AI change about our ability to deliver it? We are in the midst of answering the first half through the college’s new Core Abilities. We have not yet asked what those commitments require of us now.</w:t>
      </w:r>
    </w:p>
    <w:p>
      <w:pPr>
        <w:spacing w:after="120" w:line="276"/>
      </w:pPr>
      <w:r>
        <w:rPr>
          <w:rFonts w:ascii="Calibri" w:cs="Calibri" w:eastAsia="Calibri" w:hAnsi="Calibri"/>
          <w:b/>
          <w:bCs/>
          <w:sz w:val="21"/>
          <w:szCs w:val="21"/>
        </w:rPr>
        <w:t xml:space="preserve">The objective. </w:t>
      </w:r>
      <w:r>
        <w:rPr>
          <w:rFonts w:ascii="Calibri" w:cs="Calibri" w:eastAsia="Calibri" w:hAnsi="Calibri"/>
          <w:sz w:val="21"/>
          <w:szCs w:val="21"/>
        </w:rPr>
        <w:t xml:space="preserve">Use our existing faculty and student survey data — reading them against each other — to build a definition of AI literacy for Olympic College that is grounded in the new Core Abilities and works in every discipline; validate that definition with faculty across the college; and stand up the professional development and peer-mentorship structures that let faculty act on it, beginning with a professional development program in winter quarter (January–March 2027) and a cross-divisional faculty ambassador program.</w:t>
      </w:r>
    </w:p>
    <w:p>
      <w:pPr>
        <w:pStyle w:val="Heading1"/>
        <w:spacing w:after="120" w:before="260"/>
      </w:pPr>
      <w:r>
        <w:rPr>
          <w:rFonts w:ascii="Calibri" w:cs="Calibri" w:eastAsia="Calibri" w:hAnsi="Calibri"/>
          <w:b/>
          <w:bCs/>
          <w:color w:val="1F3864"/>
          <w:sz w:val="26"/>
          <w:szCs w:val="26"/>
        </w:rPr>
        <w:t xml:space="preserve">Process for Accomplishing the Plan</w:t>
      </w:r>
    </w:p>
    <w:p>
      <w:pPr>
        <w:pStyle w:val="ListParagraph"/>
        <w:numPr>
          <w:ilvl w:val="0"/>
          <w:numId w:val="2"/>
        </w:numPr>
        <w:spacing w:after="60" w:line="276"/>
      </w:pPr>
      <w:r>
        <w:rPr>
          <w:rFonts w:ascii="Calibri" w:cs="Calibri" w:eastAsia="Calibri" w:hAnsi="Calibri"/>
          <w:b/>
          <w:bCs/>
          <w:sz w:val="21"/>
          <w:szCs w:val="21"/>
        </w:rPr>
        <w:t xml:space="preserve">Step 1 — Analyze and triangulate (September–October 2026). </w:t>
      </w:r>
      <w:r>
        <w:rPr>
          <w:rFonts w:ascii="Calibri" w:cs="Calibri" w:eastAsia="Calibri" w:hAnsi="Calibri"/>
          <w:sz w:val="21"/>
          <w:szCs w:val="21"/>
        </w:rPr>
        <w:t xml:space="preserve">Obtain the Spring 2026 faculty and student survey data from institutional research. Analyze the faculty data for where faculty sit on AI use, confidence, and concern, and how that varies by division, by full-time versus adjunct status, and by discipline. Then triangulate the student responses against the faculty responses: where do students report experiencing something different from what faculty report doing? Those gaps are the most useful finding available to us, and they tell us which Core Abilities are already under pressure. Produce a short written findings brief.</w:t>
      </w:r>
    </w:p>
    <w:p>
      <w:pPr>
        <w:pStyle w:val="ListParagraph"/>
        <w:numPr>
          <w:ilvl w:val="0"/>
          <w:numId w:val="2"/>
        </w:numPr>
        <w:spacing w:after="60" w:line="276"/>
      </w:pPr>
      <w:r>
        <w:rPr>
          <w:rFonts w:ascii="Calibri" w:cs="Calibri" w:eastAsia="Calibri" w:hAnsi="Calibri"/>
          <w:b/>
          <w:bCs/>
          <w:sz w:val="21"/>
          <w:szCs w:val="21"/>
        </w:rPr>
        <w:t xml:space="preserve">Step 2 — Define (October–November 2026). </w:t>
      </w:r>
      <w:r>
        <w:rPr>
          <w:rFonts w:ascii="Calibri" w:cs="Calibri" w:eastAsia="Calibri" w:hAnsi="Calibri"/>
          <w:sz w:val="21"/>
          <w:szCs w:val="21"/>
        </w:rPr>
        <w:t xml:space="preserve">Draft a definition of AI literacy built directly on the new Core Abilities. The method: take each ability in turn and ask what AI changes about how students demonstrate it, what must be protected as human work because the ability itself is what we claim to develop, and what AI makes newly necessary. The assembled answers are the definition; the values statement emerges from the second question. Because every program answers to the Core Abilities, the result applies across disciplines by construction.</w:t>
      </w:r>
    </w:p>
    <w:p>
      <w:pPr>
        <w:pStyle w:val="ListParagraph"/>
        <w:numPr>
          <w:ilvl w:val="0"/>
          <w:numId w:val="2"/>
        </w:numPr>
        <w:spacing w:after="60" w:line="276"/>
      </w:pPr>
      <w:r>
        <w:rPr>
          <w:rFonts w:ascii="Calibri" w:cs="Calibri" w:eastAsia="Calibri" w:hAnsi="Calibri"/>
          <w:b/>
          <w:bCs/>
          <w:sz w:val="21"/>
          <w:szCs w:val="21"/>
        </w:rPr>
        <w:t xml:space="preserve">Step 3 — Workshop (November–December 2026). </w:t>
      </w:r>
      <w:r>
        <w:rPr>
          <w:rFonts w:ascii="Calibri" w:cs="Calibri" w:eastAsia="Calibri" w:hAnsi="Calibri"/>
          <w:sz w:val="21"/>
          <w:szCs w:val="21"/>
        </w:rPr>
        <w:t xml:space="preserve">Take the draft to faculty rather than waiting for faculty to come to it. We will request time on existing agendas — in-service and professional development days, division and department meetings, faculty senate, adjunct orientation — and run one workshop in several settings, with team members co-facilitating. We will deliberately seek at least one venue reaching professional-technical or quantitative faculty, and one reaching faculty known to be skeptical. Revise from what we hear, and document what changed and why.</w:t>
      </w:r>
    </w:p>
    <w:p>
      <w:pPr>
        <w:pStyle w:val="ListParagraph"/>
        <w:numPr>
          <w:ilvl w:val="0"/>
          <w:numId w:val="2"/>
        </w:numPr>
        <w:spacing w:after="60" w:line="276"/>
      </w:pPr>
      <w:r>
        <w:rPr>
          <w:rFonts w:ascii="Calibri" w:cs="Calibri" w:eastAsia="Calibri" w:hAnsi="Calibri"/>
          <w:b/>
          <w:bCs/>
          <w:sz w:val="21"/>
          <w:szCs w:val="21"/>
        </w:rPr>
        <w:t xml:space="preserve">Step 4 — Build (December 2026–January 2027). </w:t>
      </w:r>
      <w:r>
        <w:rPr>
          <w:rFonts w:ascii="Calibri" w:cs="Calibri" w:eastAsia="Calibri" w:hAnsi="Calibri"/>
          <w:sz w:val="21"/>
          <w:szCs w:val="21"/>
        </w:rPr>
        <w:t xml:space="preserve">Convert the validated definition into a professional development plan launching in winter quarter, and a written proposal for a cross-divisional faculty ambassador program.</w:t>
      </w:r>
    </w:p>
    <w:p>
      <w:pPr>
        <w:pStyle w:val="ListParagraph"/>
        <w:numPr>
          <w:ilvl w:val="0"/>
          <w:numId w:val="2"/>
        </w:numPr>
        <w:spacing w:after="60" w:line="276"/>
      </w:pPr>
      <w:r>
        <w:rPr>
          <w:rFonts w:ascii="Calibri" w:cs="Calibri" w:eastAsia="Calibri" w:hAnsi="Calibri"/>
          <w:b/>
          <w:bCs/>
          <w:sz w:val="21"/>
          <w:szCs w:val="21"/>
        </w:rPr>
        <w:t xml:space="preserve">Step 5 — Launch (Winter 2027). </w:t>
      </w:r>
      <w:r>
        <w:rPr>
          <w:rFonts w:ascii="Calibri" w:cs="Calibri" w:eastAsia="Calibri" w:hAnsi="Calibri"/>
          <w:sz w:val="21"/>
          <w:szCs w:val="21"/>
        </w:rPr>
        <w:t xml:space="preserve">Deliver the first PD offerings and recruit and pair the first ambassador cohort.</w:t>
      </w:r>
    </w:p>
    <w:p>
      <w:pPr>
        <w:spacing w:after="120" w:line="276"/>
      </w:pPr>
      <w:r>
        <w:rPr>
          <w:rFonts w:ascii="Calibri" w:cs="Calibri" w:eastAsia="Calibri" w:hAnsi="Calibri"/>
          <w:sz w:val="21"/>
          <w:szCs w:val="21"/>
        </w:rPr>
        <w:t xml:space="preserve">Who we need to involve: institutional research; the instructional design and teaching support function; division chairs and deans; faculty senate; the adjunct faculty association and union, on compensation and workload; whoever administers professional development funds; and the Vice President of Instruction.</w:t>
      </w:r>
    </w:p>
    <w:p>
      <w:pPr>
        <w:pStyle w:val="Heading2"/>
        <w:spacing w:after="80" w:before="180"/>
      </w:pPr>
      <w:r>
        <w:rPr>
          <w:rFonts w:ascii="Calibri" w:cs="Calibri" w:eastAsia="Calibri" w:hAnsi="Calibri"/>
          <w:b/>
          <w:bCs/>
          <w:color w:val="1F3864"/>
          <w:sz w:val="22"/>
          <w:szCs w:val="22"/>
        </w:rPr>
        <w:t xml:space="preserve">Our collaborative fall project</w:t>
      </w:r>
    </w:p>
    <w:p>
      <w:pPr>
        <w:spacing w:after="120" w:line="276"/>
      </w:pPr>
      <w:r>
        <w:rPr>
          <w:rFonts w:ascii="Calibri" w:cs="Calibri" w:eastAsia="Calibri" w:hAnsi="Calibri"/>
          <w:sz w:val="21"/>
          <w:szCs w:val="21"/>
        </w:rPr>
        <w:t xml:space="preserve">The Institute asks for at least one collaborative effort. Ours is Step 3, the definition workshop series. It cannot be done by any single office: the instructional designer builds the workshop, the dean secures access to governance and in-service agendas, faculty members give it credibility with their colleagues, the Chief Information Officer answers the tool and privacy questions that always surface, and our affiliate faculty member keeps the adjunct version genuinely usable. It produces a shared artifact — the revised definition plus the documented record of faculty input — that belongs to the college rather than to any one department.</w:t>
      </w:r>
    </w:p>
    <w:p>
      <w:pPr>
        <w:pStyle w:val="Heading1"/>
        <w:spacing w:after="120" w:before="260"/>
      </w:pPr>
      <w:r>
        <w:rPr>
          <w:rFonts w:ascii="Calibri" w:cs="Calibri" w:eastAsia="Calibri" w:hAnsi="Calibri"/>
          <w:b/>
          <w:bCs/>
          <w:color w:val="1F3864"/>
          <w:sz w:val="26"/>
          <w:szCs w:val="26"/>
        </w:rPr>
        <w:t xml:space="preserve">Barriers and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shd w:fill="F2F2F2" w:color="auto" w:val="clear"/>
            <w:tcMar>
              <w:top w:type="dxa" w:w="60"/>
              <w:left w:type="dxa" w:w="90"/>
              <w:bottom w:type="dxa" w:w="60"/>
              <w:right w:type="dxa" w:w="90"/>
            </w:tcMar>
          </w:tcPr>
          <w:p>
            <w:pPr>
              <w:spacing w:after="0" w:line="264"/>
            </w:pPr>
            <w:r>
              <w:rPr>
                <w:rFonts w:ascii="Calibri" w:cs="Calibri" w:eastAsia="Calibri" w:hAnsi="Calibri"/>
                <w:b/>
                <w:bCs/>
                <w:sz w:val="19"/>
                <w:szCs w:val="19"/>
              </w:rPr>
              <w:t xml:space="preserve">Barrier</w:t>
            </w:r>
          </w:p>
        </w:tc>
        <w:tc>
          <w:tcPr>
            <w:tcW w:type="dxa" w:w="4200"/>
            <w:shd w:fill="F2F2F2" w:color="auto" w:val="clear"/>
            <w:tcMar>
              <w:top w:type="dxa" w:w="60"/>
              <w:left w:type="dxa" w:w="90"/>
              <w:bottom w:type="dxa" w:w="60"/>
              <w:right w:type="dxa" w:w="90"/>
            </w:tcMar>
          </w:tcPr>
          <w:p>
            <w:pPr>
              <w:spacing w:after="0" w:line="264"/>
            </w:pPr>
            <w:r>
              <w:rPr>
                <w:rFonts w:ascii="Calibri" w:cs="Calibri" w:eastAsia="Calibri" w:hAnsi="Calibri"/>
                <w:b/>
                <w:bCs/>
                <w:sz w:val="19"/>
                <w:szCs w:val="19"/>
              </w:rPr>
              <w:t xml:space="preserve">Strategy</w:t>
            </w:r>
          </w:p>
        </w:tc>
        <w:tc>
          <w:tcPr>
            <w:tcW w:type="dxa" w:w="2160"/>
            <w:shd w:fill="F2F2F2" w:color="auto" w:val="clear"/>
            <w:tcMar>
              <w:top w:type="dxa" w:w="60"/>
              <w:left w:type="dxa" w:w="90"/>
              <w:bottom w:type="dxa" w:w="60"/>
              <w:right w:type="dxa" w:w="90"/>
            </w:tcMar>
          </w:tcPr>
          <w:p>
            <w:pPr>
              <w:spacing w:after="0" w:line="264"/>
            </w:pPr>
            <w:r>
              <w:rPr>
                <w:rFonts w:ascii="Calibri" w:cs="Calibri" w:eastAsia="Calibri" w:hAnsi="Calibri"/>
                <w:b/>
                <w:bCs/>
                <w:sz w:val="19"/>
                <w:szCs w:val="19"/>
              </w:rPr>
              <w:t xml:space="preserve">Avoidable?</w:t>
            </w:r>
          </w:p>
        </w:tc>
      </w:tr>
      <w:tr>
        <w:tc>
          <w:tcPr>
            <w:tcW w:type="dxa" w:w="30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Adjunct faculty have no paid time for PD or workshops</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Direct available PD funds to stipends first; offer asynchronous options; keep sessions short; schedule at multiple times</w:t>
            </w:r>
          </w:p>
        </w:tc>
        <w:tc>
          <w:tcPr>
            <w:tcW w:type="dxa" w:w="21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Largely — funding exists; the constraint is how far it stretches</w:t>
            </w:r>
          </w:p>
        </w:tc>
      </w:tr>
      <w:tr>
        <w:tc>
          <w:tcPr>
            <w:tcW w:type="dxa" w:w="30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The new Core Abilities are not published in time for Step 2</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Ask to work from the draft; begin with what is stable; if necessary shift definition work later and use the time on survey analysis and venue booking</w:t>
            </w:r>
          </w:p>
        </w:tc>
        <w:tc>
          <w:tcPr>
            <w:tcW w:type="dxa" w:w="21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Partly — depends on a timeline we do not control</w:t>
            </w:r>
          </w:p>
        </w:tc>
      </w:tr>
      <w:tr>
        <w:tc>
          <w:tcPr>
            <w:tcW w:type="dxa" w:w="30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Survey instruments may not be comparable enough to triangulate</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Assess quality first; where they do not align, use student data qualitatively rather than forcing a comparison; supplement with focus groups</w:t>
            </w:r>
          </w:p>
        </w:tc>
        <w:tc>
          <w:tcPr>
            <w:tcW w:type="dxa" w:w="21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Not entirely — plan Step 1 with a fallback</w:t>
            </w:r>
          </w:p>
        </w:tc>
      </w:tr>
      <w:tr>
        <w:tc>
          <w:tcPr>
            <w:tcW w:type="dxa" w:w="30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Faculty AI fatigue and polarization; “another initiative”</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Lead with values and the Core Abilities, not tools; include skeptics deliberately; make the first ask listening, not compliance</w:t>
            </w:r>
          </w:p>
        </w:tc>
        <w:tc>
          <w:tcPr>
            <w:tcW w:type="dxa" w:w="21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Partly — sequencing is the mitigation</w:t>
            </w:r>
          </w:p>
        </w:tc>
      </w:tr>
      <w:tr>
        <w:tc>
          <w:tcPr>
            <w:tcW w:type="dxa" w:w="30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Definitional debate stalls indefinitely</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Timebox it; a good-enough definition that gets used beats a perfect one that does not; set a decision date</w:t>
            </w:r>
          </w:p>
        </w:tc>
        <w:tc>
          <w:tcPr>
            <w:tcW w:type="dxa" w:w="21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Largely</w:t>
            </w:r>
          </w:p>
        </w:tc>
      </w:tr>
      <w:tr>
        <w:tc>
          <w:tcPr>
            <w:tcW w:type="dxa" w:w="30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Ambassador role raises workload or compensation questions under the bargaining agreement</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Raise it with the union early and explicitly, before recruiting anyone</w:t>
            </w:r>
          </w:p>
        </w:tc>
        <w:tc>
          <w:tcPr>
            <w:tcW w:type="dxa" w:w="21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Yes, if addressed in September</w:t>
            </w:r>
          </w:p>
        </w:tc>
      </w:tr>
      <w:tr>
        <w:tc>
          <w:tcPr>
            <w:tcW w:type="dxa" w:w="30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Tool and vendor churn outdates any specific training</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Anchor PD in durable judgment and pedagogy rather than in any product</w:t>
            </w:r>
          </w:p>
        </w:tc>
        <w:tc>
          <w:tcPr>
            <w:tcW w:type="dxa" w:w="21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Largely</w:t>
            </w:r>
          </w:p>
        </w:tc>
      </w:tr>
    </w:tbl>
    <w:p>
      <w:pPr>
        <w:spacing w:after="100"/>
      </w:pPr>
    </w:p>
    <w:p>
      <w:pPr>
        <w:pStyle w:val="Heading1"/>
        <w:spacing w:after="120" w:before="260"/>
      </w:pPr>
      <w:r>
        <w:rPr>
          <w:rFonts w:ascii="Calibri" w:cs="Calibri" w:eastAsia="Calibri" w:hAnsi="Calibri"/>
          <w:b/>
          <w:bCs/>
          <w:color w:val="1F3864"/>
          <w:sz w:val="26"/>
          <w:szCs w:val="26"/>
        </w:rPr>
        <w:t xml:space="preserve">Champions, Stakeholders, and Decision-Makers</w:t>
      </w:r>
    </w:p>
    <w:p>
      <w:pPr>
        <w:spacing w:after="120" w:line="276"/>
      </w:pPr>
      <w:r>
        <w:rPr>
          <w:rFonts w:ascii="Calibri" w:cs="Calibri" w:eastAsia="Calibri" w:hAnsi="Calibri"/>
          <w:b/>
          <w:bCs/>
          <w:sz w:val="21"/>
          <w:szCs w:val="21"/>
        </w:rPr>
        <w:t xml:space="preserve">Needed to facilitate: </w:t>
      </w:r>
      <w:r>
        <w:rPr>
          <w:rFonts w:ascii="Calibri" w:cs="Calibri" w:eastAsia="Calibri" w:hAnsi="Calibri"/>
          <w:sz w:val="21"/>
          <w:szCs w:val="21"/>
        </w:rPr>
        <w:t xml:space="preserve">division chairs and deans; the instructional design and teaching support function; institutional research; faculty senate leadership; the adjunct faculty association and union; the Vice President of Instruction.</w:t>
      </w:r>
    </w:p>
    <w:p>
      <w:pPr>
        <w:spacing w:after="120" w:line="276"/>
      </w:pPr>
      <w:r>
        <w:rPr>
          <w:rFonts w:ascii="Calibri" w:cs="Calibri" w:eastAsia="Calibri" w:hAnsi="Calibri"/>
          <w:b/>
          <w:bCs/>
          <w:sz w:val="21"/>
          <w:szCs w:val="21"/>
        </w:rPr>
        <w:t xml:space="preserve">Whose support brings others into the conversation: </w:t>
      </w:r>
      <w:r>
        <w:rPr>
          <w:rFonts w:ascii="Calibri" w:cs="Calibri" w:eastAsia="Calibri" w:hAnsi="Calibri"/>
          <w:sz w:val="21"/>
          <w:szCs w:val="21"/>
        </w:rPr>
        <w:t xml:space="preserve">respected mid-career faculty in divisions outside our own — particularly in professional-technical programs, where an AI conversation framed around essay writing will not land; and senate leadership, whose endorsement signals this is faculty work rather than an administrative mandate.</w:t>
      </w:r>
    </w:p>
    <w:p>
      <w:pPr>
        <w:spacing w:after="120" w:line="276"/>
      </w:pPr>
      <w:r>
        <w:rPr>
          <w:rFonts w:ascii="Calibri" w:cs="Calibri" w:eastAsia="Calibri" w:hAnsi="Calibri"/>
          <w:b/>
          <w:bCs/>
          <w:sz w:val="21"/>
          <w:szCs w:val="21"/>
        </w:rPr>
        <w:t xml:space="preserve">Whose support secures resources: </w:t>
      </w:r>
      <w:r>
        <w:rPr>
          <w:rFonts w:ascii="Calibri" w:cs="Calibri" w:eastAsia="Calibri" w:hAnsi="Calibri"/>
          <w:sz w:val="21"/>
          <w:szCs w:val="21"/>
        </w:rPr>
        <w:t xml:space="preserve">the Vice President of Instruction and whoever controls professional development funds, for stipends, facilitation, and continuation of the ambassador program beyond the Institute year. Division chairs and whoever sets in-service agendas are a distinct ask: we need time on agendas that are set early and fill fast.</w:t>
      </w:r>
    </w:p>
    <w:p>
      <w:pPr>
        <w:pStyle w:val="Heading1"/>
        <w:spacing w:after="120" w:before="260"/>
      </w:pPr>
      <w:r>
        <w:rPr>
          <w:rFonts w:ascii="Calibri" w:cs="Calibri" w:eastAsia="Calibri" w:hAnsi="Calibri"/>
          <w:b/>
          <w:bCs/>
          <w:color w:val="1F3864"/>
          <w:sz w:val="26"/>
          <w:szCs w:val="26"/>
        </w:rPr>
        <w:t xml:space="preserve">Communication Strategy</w:t>
      </w:r>
    </w:p>
    <w:p>
      <w:pPr>
        <w:pStyle w:val="ListParagraph"/>
        <w:numPr>
          <w:ilvl w:val="0"/>
          <w:numId w:val="2"/>
        </w:numPr>
        <w:spacing w:after="60" w:line="276"/>
      </w:pPr>
      <w:r>
        <w:rPr>
          <w:rFonts w:ascii="Calibri" w:cs="Calibri" w:eastAsia="Calibri" w:hAnsi="Calibri"/>
          <w:b/>
          <w:bCs/>
          <w:sz w:val="21"/>
          <w:szCs w:val="21"/>
        </w:rPr>
        <w:t xml:space="preserve">First: </w:t>
      </w:r>
      <w:r>
        <w:rPr>
          <w:rFonts w:ascii="Calibri" w:cs="Calibri" w:eastAsia="Calibri" w:hAnsi="Calibri"/>
          <w:sz w:val="21"/>
          <w:szCs w:val="21"/>
        </w:rPr>
        <w:t xml:space="preserve">division chairs and faculty senate leadership — before anything is drafted, so the work is understood as consultative from the start rather than as a finished product.</w:t>
      </w:r>
    </w:p>
    <w:p>
      <w:pPr>
        <w:pStyle w:val="ListParagraph"/>
        <w:numPr>
          <w:ilvl w:val="0"/>
          <w:numId w:val="2"/>
        </w:numPr>
        <w:spacing w:after="60" w:line="276"/>
      </w:pPr>
      <w:r>
        <w:rPr>
          <w:rFonts w:ascii="Calibri" w:cs="Calibri" w:eastAsia="Calibri" w:hAnsi="Calibri"/>
          <w:b/>
          <w:bCs/>
          <w:sz w:val="21"/>
          <w:szCs w:val="21"/>
        </w:rPr>
        <w:t xml:space="preserve">Second: </w:t>
      </w:r>
      <w:r>
        <w:rPr>
          <w:rFonts w:ascii="Calibri" w:cs="Calibri" w:eastAsia="Calibri" w:hAnsi="Calibri"/>
          <w:sz w:val="21"/>
          <w:szCs w:val="21"/>
        </w:rPr>
        <w:t xml:space="preserve">faculty in the venues where they already gather — in-service days, division and department meetings — where the draft definition gets its real test.</w:t>
      </w:r>
    </w:p>
    <w:p>
      <w:pPr>
        <w:pStyle w:val="ListParagraph"/>
        <w:numPr>
          <w:ilvl w:val="0"/>
          <w:numId w:val="2"/>
        </w:numPr>
        <w:spacing w:after="60" w:line="276"/>
      </w:pPr>
      <w:r>
        <w:rPr>
          <w:rFonts w:ascii="Calibri" w:cs="Calibri" w:eastAsia="Calibri" w:hAnsi="Calibri"/>
          <w:b/>
          <w:bCs/>
          <w:sz w:val="21"/>
          <w:szCs w:val="21"/>
        </w:rPr>
        <w:t xml:space="preserve">Third: </w:t>
      </w:r>
      <w:r>
        <w:rPr>
          <w:rFonts w:ascii="Calibri" w:cs="Calibri" w:eastAsia="Calibri" w:hAnsi="Calibri"/>
          <w:sz w:val="21"/>
          <w:szCs w:val="21"/>
        </w:rPr>
        <w:t xml:space="preserve">a college-wide communication once the definition has been revised, reporting what faculty said and what changed as a result.</w:t>
      </w:r>
    </w:p>
    <w:p>
      <w:pPr>
        <w:pStyle w:val="ListParagraph"/>
        <w:numPr>
          <w:ilvl w:val="0"/>
          <w:numId w:val="2"/>
        </w:numPr>
        <w:spacing w:after="60" w:line="276"/>
      </w:pPr>
      <w:r>
        <w:rPr>
          <w:rFonts w:ascii="Calibri" w:cs="Calibri" w:eastAsia="Calibri" w:hAnsi="Calibri"/>
          <w:b/>
          <w:bCs/>
          <w:sz w:val="21"/>
          <w:szCs w:val="21"/>
        </w:rPr>
        <w:t xml:space="preserve">Fourth: </w:t>
      </w:r>
      <w:r>
        <w:rPr>
          <w:rFonts w:ascii="Calibri" w:cs="Calibri" w:eastAsia="Calibri" w:hAnsi="Calibri"/>
          <w:sz w:val="21"/>
          <w:szCs w:val="21"/>
        </w:rPr>
        <w:t xml:space="preserve">adjunct faculty specifically, through whatever channel actually reaches them, since division meetings typically do not.</w:t>
      </w:r>
    </w:p>
    <w:p>
      <w:pPr>
        <w:pStyle w:val="ListParagraph"/>
        <w:numPr>
          <w:ilvl w:val="0"/>
          <w:numId w:val="2"/>
        </w:numPr>
        <w:spacing w:after="60" w:line="276"/>
      </w:pPr>
      <w:r>
        <w:rPr>
          <w:rFonts w:ascii="Calibri" w:cs="Calibri" w:eastAsia="Calibri" w:hAnsi="Calibri"/>
          <w:b/>
          <w:bCs/>
          <w:sz w:val="21"/>
          <w:szCs w:val="21"/>
        </w:rPr>
        <w:t xml:space="preserve">Later: </w:t>
      </w:r>
      <w:r>
        <w:rPr>
          <w:rFonts w:ascii="Calibri" w:cs="Calibri" w:eastAsia="Calibri" w:hAnsi="Calibri"/>
          <w:sz w:val="21"/>
          <w:szCs w:val="21"/>
        </w:rPr>
        <w:t xml:space="preserve">students and student services, once faculty expectations are stable enough to communicate honestly.</w:t>
      </w:r>
    </w:p>
    <w:p>
      <w:pPr>
        <w:pStyle w:val="Heading1"/>
        <w:spacing w:after="120" w:before="260"/>
      </w:pPr>
      <w:r>
        <w:rPr>
          <w:rFonts w:ascii="Calibri" w:cs="Calibri" w:eastAsia="Calibri" w:hAnsi="Calibri"/>
          <w:b/>
          <w:bCs/>
          <w:color w:val="1F3864"/>
          <w:sz w:val="26"/>
          <w:szCs w:val="26"/>
        </w:rPr>
        <w:t xml:space="preserve">Measures of Success</w:t>
      </w:r>
    </w:p>
    <w:p>
      <w:pPr>
        <w:pStyle w:val="Heading2"/>
        <w:spacing w:after="80" w:before="180"/>
      </w:pPr>
      <w:r>
        <w:rPr>
          <w:rFonts w:ascii="Calibri" w:cs="Calibri" w:eastAsia="Calibri" w:hAnsi="Calibri"/>
          <w:b/>
          <w:bCs/>
          <w:color w:val="1F3864"/>
          <w:sz w:val="22"/>
          <w:szCs w:val="22"/>
        </w:rPr>
        <w:t xml:space="preserve">Short-term, by end of fall 2026</w:t>
      </w:r>
    </w:p>
    <w:p>
      <w:pPr>
        <w:pStyle w:val="ListParagraph"/>
        <w:numPr>
          <w:ilvl w:val="0"/>
          <w:numId w:val="2"/>
        </w:numPr>
        <w:spacing w:after="60" w:line="276"/>
      </w:pPr>
      <w:r>
        <w:rPr>
          <w:rFonts w:ascii="Calibri" w:cs="Calibri" w:eastAsia="Calibri" w:hAnsi="Calibri"/>
          <w:sz w:val="21"/>
          <w:szCs w:val="21"/>
        </w:rPr>
        <w:t xml:space="preserve">Faculty and student survey data analyzed and triangulated; written findings brief completed and circulated.</w:t>
      </w:r>
    </w:p>
    <w:p>
      <w:pPr>
        <w:pStyle w:val="ListParagraph"/>
        <w:numPr>
          <w:ilvl w:val="0"/>
          <w:numId w:val="2"/>
        </w:numPr>
        <w:spacing w:after="60" w:line="276"/>
      </w:pPr>
      <w:r>
        <w:rPr>
          <w:rFonts w:ascii="Calibri" w:cs="Calibri" w:eastAsia="Calibri" w:hAnsi="Calibri"/>
          <w:sz w:val="21"/>
          <w:szCs w:val="21"/>
        </w:rPr>
        <w:t xml:space="preserve">Draft AI literacy definition and values statement written from the new Core Abilities.</w:t>
      </w:r>
    </w:p>
    <w:p>
      <w:pPr>
        <w:pStyle w:val="ListParagraph"/>
        <w:numPr>
          <w:ilvl w:val="0"/>
          <w:numId w:val="2"/>
        </w:numPr>
        <w:spacing w:after="60" w:line="276"/>
      </w:pPr>
      <w:r>
        <w:rPr>
          <w:rFonts w:ascii="Calibri" w:cs="Calibri" w:eastAsia="Calibri" w:hAnsi="Calibri"/>
          <w:sz w:val="21"/>
          <w:szCs w:val="21"/>
        </w:rPr>
        <w:t xml:space="preserve">Definition workshop run in multiple venues, including at least one outside the writing-intensive disciplines and a documented share of adjunct participants.</w:t>
      </w:r>
    </w:p>
    <w:p>
      <w:pPr>
        <w:pStyle w:val="ListParagraph"/>
        <w:numPr>
          <w:ilvl w:val="0"/>
          <w:numId w:val="2"/>
        </w:numPr>
        <w:spacing w:after="60" w:line="276"/>
      </w:pPr>
      <w:r>
        <w:rPr>
          <w:rFonts w:ascii="Calibri" w:cs="Calibri" w:eastAsia="Calibri" w:hAnsi="Calibri"/>
          <w:sz w:val="21"/>
          <w:szCs w:val="21"/>
        </w:rPr>
        <w:t xml:space="preserve">Documented record of what faculty said and what changed in the definition as a result.</w:t>
      </w:r>
    </w:p>
    <w:p>
      <w:pPr>
        <w:pStyle w:val="ListParagraph"/>
        <w:numPr>
          <w:ilvl w:val="0"/>
          <w:numId w:val="2"/>
        </w:numPr>
        <w:spacing w:after="60" w:line="276"/>
      </w:pPr>
      <w:r>
        <w:rPr>
          <w:rFonts w:ascii="Calibri" w:cs="Calibri" w:eastAsia="Calibri" w:hAnsi="Calibri"/>
          <w:sz w:val="21"/>
          <w:szCs w:val="21"/>
        </w:rPr>
        <w:t xml:space="preserve">Winter PD plan — with published schedule, cadence, and sign-up path — and ambassador program proposal written and submitted for approval.</w:t>
      </w:r>
    </w:p>
    <w:p>
      <w:pPr>
        <w:pStyle w:val="Heading2"/>
        <w:spacing w:after="80" w:before="180"/>
      </w:pPr>
      <w:r>
        <w:rPr>
          <w:rFonts w:ascii="Calibri" w:cs="Calibri" w:eastAsia="Calibri" w:hAnsi="Calibri"/>
          <w:b/>
          <w:bCs/>
          <w:color w:val="1F3864"/>
          <w:sz w:val="22"/>
          <w:szCs w:val="22"/>
        </w:rPr>
        <w:t xml:space="preserve">Long-term, by end of the Institute year</w:t>
      </w:r>
    </w:p>
    <w:p>
      <w:pPr>
        <w:pStyle w:val="ListParagraph"/>
        <w:numPr>
          <w:ilvl w:val="0"/>
          <w:numId w:val="2"/>
        </w:numPr>
        <w:spacing w:after="60" w:line="276"/>
      </w:pPr>
      <w:r>
        <w:rPr>
          <w:rFonts w:ascii="Calibri" w:cs="Calibri" w:eastAsia="Calibri" w:hAnsi="Calibri"/>
          <w:sz w:val="21"/>
          <w:szCs w:val="21"/>
        </w:rPr>
        <w:t xml:space="preserve">Definition and values statement endorsed through the body that owns the Core Abilities.</w:t>
      </w:r>
    </w:p>
    <w:p>
      <w:pPr>
        <w:pStyle w:val="ListParagraph"/>
        <w:numPr>
          <w:ilvl w:val="0"/>
          <w:numId w:val="2"/>
        </w:numPr>
        <w:spacing w:after="60" w:line="276"/>
      </w:pPr>
      <w:r>
        <w:rPr>
          <w:rFonts w:ascii="Calibri" w:cs="Calibri" w:eastAsia="Calibri" w:hAnsi="Calibri"/>
          <w:sz w:val="21"/>
          <w:szCs w:val="21"/>
        </w:rPr>
        <w:t xml:space="preserve">PD sessions delivered in winter and spring, with attendance tracked by division and by full-time or adjunct status.</w:t>
      </w:r>
    </w:p>
    <w:p>
      <w:pPr>
        <w:pStyle w:val="ListParagraph"/>
        <w:numPr>
          <w:ilvl w:val="0"/>
          <w:numId w:val="2"/>
        </w:numPr>
        <w:spacing w:after="60" w:line="276"/>
      </w:pPr>
      <w:r>
        <w:rPr>
          <w:rFonts w:ascii="Calibri" w:cs="Calibri" w:eastAsia="Calibri" w:hAnsi="Calibri"/>
          <w:sz w:val="21"/>
          <w:szCs w:val="21"/>
        </w:rPr>
        <w:t xml:space="preserve">Ambassador cohort recruited, paired across divisions, and active — with cross-divisional conversations held as the operative measure, not the number recruited.</w:t>
      </w:r>
    </w:p>
    <w:p>
      <w:pPr>
        <w:pStyle w:val="ListParagraph"/>
        <w:numPr>
          <w:ilvl w:val="0"/>
          <w:numId w:val="2"/>
        </w:numPr>
        <w:spacing w:after="60" w:line="276"/>
      </w:pPr>
      <w:r>
        <w:rPr>
          <w:rFonts w:ascii="Calibri" w:cs="Calibri" w:eastAsia="Calibri" w:hAnsi="Calibri"/>
          <w:sz w:val="21"/>
          <w:szCs w:val="21"/>
        </w:rPr>
        <w:t xml:space="preserve">Spring 2026 survey re-administered to measure movement on faculty confidence and on the share who have made a deliberate AI decision about their courses.</w:t>
      </w:r>
    </w:p>
    <w:p>
      <w:pPr>
        <w:spacing w:after="120" w:line="276"/>
      </w:pPr>
      <w:r>
        <w:rPr>
          <w:rFonts w:ascii="Calibri" w:cs="Calibri" w:eastAsia="Calibri" w:hAnsi="Calibri"/>
          <w:sz w:val="21"/>
          <w:szCs w:val="21"/>
        </w:rPr>
        <w:t xml:space="preserve">Evidence gathered: the survey instruments re-run as a pre/post pair; workshop attendance and notes; the revision history of the definition; PD registration by employment status; ambassador conversation logs; and a small number of faculty interviews for the qualitative story the numbers will not tell. Disseminated through the findings brief to senate and division chairs, publication of the definition on faculty-facing channels, and reports at the Institute’s mid-year and capstone events.</w:t>
      </w:r>
    </w:p>
    <w:p>
      <w:pPr>
        <w:spacing w:after="120" w:line="276"/>
      </w:pPr>
      <w:r>
        <w:rPr>
          <w:rFonts w:ascii="Calibri" w:cs="Calibri" w:eastAsia="Calibri" w:hAnsi="Calibri"/>
          <w:i/>
          <w:iCs/>
          <w:sz w:val="21"/>
          <w:szCs w:val="21"/>
        </w:rPr>
        <w:t xml:space="preserve">On academic integrity metrics: AI-related referrals can rise because faculty finally set explicit expectations and began reporting, not because student behavior worsened. We will therefore report integrity measures paired with the share of courses carrying explicit AI expectations, and we will not treat detection-software output as evidence.</w:t>
      </w:r>
    </w:p>
    <w:p>
      <w:pPr>
        <w:pStyle w:val="Heading1"/>
        <w:spacing w:after="120" w:before="260"/>
      </w:pPr>
      <w:r>
        <w:rPr>
          <w:rFonts w:ascii="Calibri" w:cs="Calibri" w:eastAsia="Calibri" w:hAnsi="Calibri"/>
          <w:b/>
          <w:bCs/>
          <w:color w:val="1F3864"/>
          <w:sz w:val="26"/>
          <w:szCs w:val="26"/>
        </w:rPr>
        <w:t xml:space="preserve">Team Actions and Timeline</w:t>
      </w:r>
    </w:p>
    <w:p>
      <w:pPr>
        <w:pStyle w:val="Heading2"/>
        <w:spacing w:after="80" w:before="180"/>
      </w:pPr>
      <w:r>
        <w:rPr>
          <w:rFonts w:ascii="Calibri" w:cs="Calibri" w:eastAsia="Calibri" w:hAnsi="Calibri"/>
          <w:b/>
          <w:bCs/>
          <w:color w:val="1F3864"/>
          <w:sz w:val="22"/>
          <w:szCs w:val="22"/>
        </w:rPr>
        <w:t xml:space="preserve">Fall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1760"/>
      </w:tblGrid>
      <w:tr>
        <w:trPr>
          <w:tblHeader/>
        </w:trPr>
        <w:tc>
          <w:tcPr>
            <w:tcW w:type="dxa" w:w="3400"/>
            <w:shd w:fill="F2F2F2" w:color="auto" w:val="clear"/>
            <w:tcMar>
              <w:top w:type="dxa" w:w="60"/>
              <w:left w:type="dxa" w:w="90"/>
              <w:bottom w:type="dxa" w:w="60"/>
              <w:right w:type="dxa" w:w="90"/>
            </w:tcMar>
          </w:tcPr>
          <w:p>
            <w:pPr>
              <w:spacing w:after="0" w:line="264"/>
            </w:pPr>
            <w:r>
              <w:rPr>
                <w:rFonts w:ascii="Calibri" w:cs="Calibri" w:eastAsia="Calibri" w:hAnsi="Calibri"/>
                <w:b/>
                <w:bCs/>
                <w:sz w:val="19"/>
                <w:szCs w:val="19"/>
              </w:rPr>
              <w:t xml:space="preserve">Action</w:t>
            </w:r>
          </w:p>
        </w:tc>
        <w:tc>
          <w:tcPr>
            <w:tcW w:type="dxa" w:w="4200"/>
            <w:shd w:fill="F2F2F2" w:color="auto" w:val="clear"/>
            <w:tcMar>
              <w:top w:type="dxa" w:w="60"/>
              <w:left w:type="dxa" w:w="90"/>
              <w:bottom w:type="dxa" w:w="60"/>
              <w:right w:type="dxa" w:w="90"/>
            </w:tcMar>
          </w:tcPr>
          <w:p>
            <w:pPr>
              <w:spacing w:after="0" w:line="264"/>
            </w:pPr>
            <w:r>
              <w:rPr>
                <w:rFonts w:ascii="Calibri" w:cs="Calibri" w:eastAsia="Calibri" w:hAnsi="Calibri"/>
                <w:b/>
                <w:bCs/>
                <w:sz w:val="19"/>
                <w:szCs w:val="19"/>
              </w:rPr>
              <w:t xml:space="preserve">Purpose / Details</w:t>
            </w:r>
          </w:p>
        </w:tc>
        <w:tc>
          <w:tcPr>
            <w:tcW w:type="dxa" w:w="1760"/>
            <w:shd w:fill="F2F2F2" w:color="auto" w:val="clear"/>
            <w:tcMar>
              <w:top w:type="dxa" w:w="60"/>
              <w:left w:type="dxa" w:w="90"/>
              <w:bottom w:type="dxa" w:w="60"/>
              <w:right w:type="dxa" w:w="90"/>
            </w:tcMar>
          </w:tcPr>
          <w:p>
            <w:pPr>
              <w:spacing w:after="0" w:line="264"/>
            </w:pPr>
            <w:r>
              <w:rPr>
                <w:rFonts w:ascii="Calibri" w:cs="Calibri" w:eastAsia="Calibri" w:hAnsi="Calibri"/>
                <w:b/>
                <w:bCs/>
                <w:sz w:val="19"/>
                <w:szCs w:val="19"/>
              </w:rPr>
              <w:t xml:space="preserve">When</w:t>
            </w:r>
          </w:p>
        </w:tc>
      </w:tr>
      <w:tr>
        <w:tc>
          <w:tcPr>
            <w:tcW w:type="dxa" w:w="34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Confirm team roles and workshop facilitation assignments</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Establishes who does what</w:t>
            </w:r>
          </w:p>
        </w:tc>
        <w:tc>
          <w:tcPr>
            <w:tcW w:type="dxa" w:w="17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Sept 2026</w:t>
            </w:r>
          </w:p>
        </w:tc>
      </w:tr>
      <w:tr>
        <w:tc>
          <w:tcPr>
            <w:tcW w:type="dxa" w:w="34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Raise ambassador-role workload question with union / adjunct association</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Prevents a late blocker</w:t>
            </w:r>
          </w:p>
        </w:tc>
        <w:tc>
          <w:tcPr>
            <w:tcW w:type="dxa" w:w="17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Sept 2026</w:t>
            </w:r>
          </w:p>
        </w:tc>
      </w:tr>
      <w:tr>
        <w:tc>
          <w:tcPr>
            <w:tcW w:type="dxa" w:w="34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Obtain Spring 2026 faculty and student survey data from IR</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Evidence base</w:t>
            </w:r>
          </w:p>
        </w:tc>
        <w:tc>
          <w:tcPr>
            <w:tcW w:type="dxa" w:w="17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Sept 2026</w:t>
            </w:r>
          </w:p>
        </w:tc>
      </w:tr>
      <w:tr>
        <w:tc>
          <w:tcPr>
            <w:tcW w:type="dxa" w:w="34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Confirm PD funds available; earmark toward adjunct stipends</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Determines who can actually attend</w:t>
            </w:r>
          </w:p>
        </w:tc>
        <w:tc>
          <w:tcPr>
            <w:tcW w:type="dxa" w:w="17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Sept–Oct 2026</w:t>
            </w:r>
          </w:p>
        </w:tc>
      </w:tr>
      <w:tr>
        <w:tc>
          <w:tcPr>
            <w:tcW w:type="dxa" w:w="34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Map fall and winter faculty venues; request agenda time</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Secures rooms before calendars fill</w:t>
            </w:r>
          </w:p>
        </w:tc>
        <w:tc>
          <w:tcPr>
            <w:tcW w:type="dxa" w:w="17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Sept–Oct 2026</w:t>
            </w:r>
          </w:p>
        </w:tc>
      </w:tr>
      <w:tr>
        <w:tc>
          <w:tcPr>
            <w:tcW w:type="dxa" w:w="34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Analyze both surveys; triangulate; write findings brief</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Artifact #1 — grounds everything downstream</w:t>
            </w:r>
          </w:p>
        </w:tc>
        <w:tc>
          <w:tcPr>
            <w:tcW w:type="dxa" w:w="17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Oct 2026</w:t>
            </w:r>
          </w:p>
        </w:tc>
      </w:tr>
      <w:tr>
        <w:tc>
          <w:tcPr>
            <w:tcW w:type="dxa" w:w="34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Draft AI literacy definition from the new Core Abilities, with values statement</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Artifact #2 — each ability read against what AI changes, protects, requires</w:t>
            </w:r>
          </w:p>
        </w:tc>
        <w:tc>
          <w:tcPr>
            <w:tcW w:type="dxa" w:w="17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Oct–Nov 2026</w:t>
            </w:r>
          </w:p>
        </w:tc>
      </w:tr>
      <w:tr>
        <w:tc>
          <w:tcPr>
            <w:tcW w:type="dxa" w:w="34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Run the definition workshop in secured venues</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The collaborative project — tests the draft where faculty already are</w:t>
            </w:r>
          </w:p>
        </w:tc>
        <w:tc>
          <w:tcPr>
            <w:tcW w:type="dxa" w:w="17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Nov–Dec 2026</w:t>
            </w:r>
          </w:p>
        </w:tc>
      </w:tr>
      <w:tr>
        <w:tc>
          <w:tcPr>
            <w:tcW w:type="dxa" w:w="34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Revise definition; document what changed and why</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Artifact #3 — the record is what earns legitimacy</w:t>
            </w:r>
          </w:p>
        </w:tc>
        <w:tc>
          <w:tcPr>
            <w:tcW w:type="dxa" w:w="17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Dec 2026</w:t>
            </w:r>
          </w:p>
        </w:tc>
      </w:tr>
      <w:tr>
        <w:tc>
          <w:tcPr>
            <w:tcW w:type="dxa" w:w="34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Write winter PD plan including schedule, cadence, sign-up path</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Artifact #4</w:t>
            </w:r>
          </w:p>
        </w:tc>
        <w:tc>
          <w:tcPr>
            <w:tcW w:type="dxa" w:w="17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Dec 2026</w:t>
            </w:r>
          </w:p>
        </w:tc>
      </w:tr>
      <w:tr>
        <w:tc>
          <w:tcPr>
            <w:tcW w:type="dxa" w:w="34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Write ambassador program proposal; identify approval path</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Artifact #5</w:t>
            </w:r>
          </w:p>
        </w:tc>
        <w:tc>
          <w:tcPr>
            <w:tcW w:type="dxa" w:w="17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Dec 2026</w:t>
            </w:r>
          </w:p>
        </w:tc>
      </w:tr>
    </w:tbl>
    <w:p>
      <w:pPr>
        <w:spacing w:after="100"/>
      </w:pPr>
    </w:p>
    <w:p>
      <w:pPr>
        <w:pStyle w:val="Heading2"/>
        <w:spacing w:after="80" w:before="180"/>
      </w:pPr>
      <w:r>
        <w:rPr>
          <w:rFonts w:ascii="Calibri" w:cs="Calibri" w:eastAsia="Calibri" w:hAnsi="Calibri"/>
          <w:b/>
          <w:bCs/>
          <w:color w:val="1F3864"/>
          <w:sz w:val="22"/>
          <w:szCs w:val="22"/>
        </w:rPr>
        <w:t xml:space="preserve">Winter–Spring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1760"/>
      </w:tblGrid>
      <w:tr>
        <w:trPr>
          <w:tblHeader/>
        </w:trPr>
        <w:tc>
          <w:tcPr>
            <w:tcW w:type="dxa" w:w="3400"/>
            <w:shd w:fill="F2F2F2" w:color="auto" w:val="clear"/>
            <w:tcMar>
              <w:top w:type="dxa" w:w="60"/>
              <w:left w:type="dxa" w:w="90"/>
              <w:bottom w:type="dxa" w:w="60"/>
              <w:right w:type="dxa" w:w="90"/>
            </w:tcMar>
          </w:tcPr>
          <w:p>
            <w:pPr>
              <w:spacing w:after="0" w:line="264"/>
            </w:pPr>
            <w:r>
              <w:rPr>
                <w:rFonts w:ascii="Calibri" w:cs="Calibri" w:eastAsia="Calibri" w:hAnsi="Calibri"/>
                <w:b/>
                <w:bCs/>
                <w:sz w:val="19"/>
                <w:szCs w:val="19"/>
              </w:rPr>
              <w:t xml:space="preserve">Action</w:t>
            </w:r>
          </w:p>
        </w:tc>
        <w:tc>
          <w:tcPr>
            <w:tcW w:type="dxa" w:w="4200"/>
            <w:shd w:fill="F2F2F2" w:color="auto" w:val="clear"/>
            <w:tcMar>
              <w:top w:type="dxa" w:w="60"/>
              <w:left w:type="dxa" w:w="90"/>
              <w:bottom w:type="dxa" w:w="60"/>
              <w:right w:type="dxa" w:w="90"/>
            </w:tcMar>
          </w:tcPr>
          <w:p>
            <w:pPr>
              <w:spacing w:after="0" w:line="264"/>
            </w:pPr>
            <w:r>
              <w:rPr>
                <w:rFonts w:ascii="Calibri" w:cs="Calibri" w:eastAsia="Calibri" w:hAnsi="Calibri"/>
                <w:b/>
                <w:bCs/>
                <w:sz w:val="19"/>
                <w:szCs w:val="19"/>
              </w:rPr>
              <w:t xml:space="preserve">Purpose / Details</w:t>
            </w:r>
          </w:p>
        </w:tc>
        <w:tc>
          <w:tcPr>
            <w:tcW w:type="dxa" w:w="1760"/>
            <w:shd w:fill="F2F2F2" w:color="auto" w:val="clear"/>
            <w:tcMar>
              <w:top w:type="dxa" w:w="60"/>
              <w:left w:type="dxa" w:w="90"/>
              <w:bottom w:type="dxa" w:w="60"/>
              <w:right w:type="dxa" w:w="90"/>
            </w:tcMar>
          </w:tcPr>
          <w:p>
            <w:pPr>
              <w:spacing w:after="0" w:line="264"/>
            </w:pPr>
            <w:r>
              <w:rPr>
                <w:rFonts w:ascii="Calibri" w:cs="Calibri" w:eastAsia="Calibri" w:hAnsi="Calibri"/>
                <w:b/>
                <w:bCs/>
                <w:sz w:val="19"/>
                <w:szCs w:val="19"/>
              </w:rPr>
              <w:t xml:space="preserve">When</w:t>
            </w:r>
          </w:p>
        </w:tc>
      </w:tr>
      <w:tr>
        <w:tc>
          <w:tcPr>
            <w:tcW w:type="dxa" w:w="34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Seek governance endorsement of definition and values statement</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Makes it institutional rather than ours, via a route that already exists</w:t>
            </w:r>
          </w:p>
        </w:tc>
        <w:tc>
          <w:tcPr>
            <w:tcW w:type="dxa" w:w="17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Winter 2027</w:t>
            </w:r>
          </w:p>
        </w:tc>
      </w:tr>
      <w:tr>
        <w:tc>
          <w:tcPr>
            <w:tcW w:type="dxa" w:w="34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Launch PD series</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First delivery; adjunct-accessible by design, stipended where funds allow</w:t>
            </w:r>
          </w:p>
        </w:tc>
        <w:tc>
          <w:tcPr>
            <w:tcW w:type="dxa" w:w="17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Winter 2027</w:t>
            </w:r>
          </w:p>
        </w:tc>
      </w:tr>
      <w:tr>
        <w:tc>
          <w:tcPr>
            <w:tcW w:type="dxa" w:w="34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Recruit and pair first ambassador cohort across divisions</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Standing cross-divisional structure</w:t>
            </w:r>
          </w:p>
        </w:tc>
        <w:tc>
          <w:tcPr>
            <w:tcW w:type="dxa" w:w="17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Winter 2027</w:t>
            </w:r>
          </w:p>
        </w:tc>
      </w:tr>
      <w:tr>
        <w:tc>
          <w:tcPr>
            <w:tcW w:type="dxa" w:w="34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Track PD attendance and ambassador conversations</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Evidence for the Final Report</w:t>
            </w:r>
          </w:p>
        </w:tc>
        <w:tc>
          <w:tcPr>
            <w:tcW w:type="dxa" w:w="17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Ongoing</w:t>
            </w:r>
          </w:p>
        </w:tc>
      </w:tr>
      <w:tr>
        <w:tc>
          <w:tcPr>
            <w:tcW w:type="dxa" w:w="34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Re-administer faculty survey</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Pre/post measure</w:t>
            </w:r>
          </w:p>
        </w:tc>
        <w:tc>
          <w:tcPr>
            <w:tcW w:type="dxa" w:w="17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Spring 2027</w:t>
            </w:r>
          </w:p>
        </w:tc>
      </w:tr>
      <w:tr>
        <w:tc>
          <w:tcPr>
            <w:tcW w:type="dxa" w:w="34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Assemble artifacts and write Final Report</w:t>
            </w:r>
          </w:p>
        </w:tc>
        <w:tc>
          <w:tcPr>
            <w:tcW w:type="dxa" w:w="420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Institute deliverable</w:t>
            </w:r>
          </w:p>
        </w:tc>
        <w:tc>
          <w:tcPr>
            <w:tcW w:type="dxa" w:w="1760"/>
            <w:tcMar>
              <w:top w:type="dxa" w:w="60"/>
              <w:left w:type="dxa" w:w="90"/>
              <w:bottom w:type="dxa" w:w="60"/>
              <w:right w:type="dxa" w:w="90"/>
            </w:tcMar>
          </w:tcPr>
          <w:p>
            <w:pPr>
              <w:spacing w:after="0" w:line="264"/>
            </w:pPr>
            <w:r>
              <w:rPr>
                <w:rFonts w:ascii="Calibri" w:cs="Calibri" w:eastAsia="Calibri" w:hAnsi="Calibri"/>
                <w:b w:val="false"/>
                <w:bCs w:val="false"/>
                <w:sz w:val="19"/>
                <w:szCs w:val="19"/>
              </w:rPr>
              <w:t xml:space="preserve">Spring 2027</w:t>
            </w:r>
          </w:p>
        </w:tc>
      </w:tr>
    </w:tbl>
    <w:p>
      <w:pPr>
        <w:spacing w:after="100"/>
      </w:pPr>
    </w:p>
    <w:p>
      <w:pPr>
        <w:pStyle w:val="Heading1"/>
        <w:spacing w:after="120" w:before="260"/>
      </w:pPr>
      <w:r>
        <w:rPr>
          <w:rFonts w:ascii="Calibri" w:cs="Calibri" w:eastAsia="Calibri" w:hAnsi="Calibri"/>
          <w:b/>
          <w:bCs/>
          <w:color w:val="1F3864"/>
          <w:sz w:val="26"/>
          <w:szCs w:val="26"/>
        </w:rPr>
        <w:t xml:space="preserve">Additional Notes and Considerations</w:t>
      </w:r>
    </w:p>
    <w:p>
      <w:pPr>
        <w:spacing w:after="120" w:line="276"/>
      </w:pPr>
      <w:r>
        <w:rPr>
          <w:rFonts w:ascii="Calibri" w:cs="Calibri" w:eastAsia="Calibri" w:hAnsi="Calibri"/>
          <w:i/>
          <w:iCs/>
          <w:sz w:val="21"/>
          <w:szCs w:val="21"/>
        </w:rPr>
        <w:t xml:space="preserve">This section records ideas raised during team brainstorming that are not commitments in this plan. Several are likely to become the work of year two, and naming them now is how we avoid rediscovering them in March.</w:t>
      </w:r>
    </w:p>
    <w:p>
      <w:pPr>
        <w:spacing w:after="120" w:line="276"/>
      </w:pPr>
      <w:r>
        <w:rPr>
          <w:rFonts w:ascii="Calibri" w:cs="Calibri" w:eastAsia="Calibri" w:hAnsi="Calibri"/>
          <w:b/>
          <w:bCs/>
          <w:sz w:val="21"/>
          <w:szCs w:val="21"/>
        </w:rPr>
        <w:t xml:space="preserve">Institutional AI policy is the destination, not this year’s step. </w:t>
      </w:r>
      <w:r>
        <w:rPr>
          <w:rFonts w:ascii="Calibri" w:cs="Calibri" w:eastAsia="Calibri" w:hAnsi="Calibri"/>
          <w:sz w:val="21"/>
          <w:szCs w:val="21"/>
        </w:rPr>
        <w:t xml:space="preserve">Team discussion returned repeatedly to the need for policy governing AI use, tool approval, and data privacy across the whole campus, with procedures named, prioritized, and scheduled. We have sequenced faculty development first: a shared, faculty-endorsed definition of AI literacy is the vocabulary such policy has to be written in. We expect this year’s definition and values statement to be the input to a policy process in year two, and we would welcome the Institute’s guidance on sequencing that transition.</w:t>
      </w:r>
    </w:p>
    <w:p>
      <w:pPr>
        <w:spacing w:after="120" w:line="276"/>
      </w:pPr>
      <w:r>
        <w:rPr>
          <w:rFonts w:ascii="Calibri" w:cs="Calibri" w:eastAsia="Calibri" w:hAnsi="Calibri"/>
          <w:b/>
          <w:bCs/>
          <w:sz w:val="21"/>
          <w:szCs w:val="21"/>
        </w:rPr>
        <w:t xml:space="preserve">Our team can go further on tools and policy than this plan commits to. </w:t>
      </w:r>
      <w:r>
        <w:rPr>
          <w:rFonts w:ascii="Calibri" w:cs="Calibri" w:eastAsia="Calibri" w:hAnsi="Calibri"/>
          <w:sz w:val="21"/>
          <w:szCs w:val="21"/>
        </w:rPr>
        <w:t xml:space="preserve">The Chief Information Officer sits on this team, which means the questions of approved tools, appropriate use, and data privacy have their institutional owner in the room. If the team wants a second fall strand, a privacy and tool-approval criteria document drafted in parallel with the definition work is the version that would not overextend us.</w:t>
      </w:r>
    </w:p>
    <w:p>
      <w:pPr>
        <w:spacing w:after="120" w:line="276"/>
      </w:pPr>
      <w:r>
        <w:rPr>
          <w:rFonts w:ascii="Calibri" w:cs="Calibri" w:eastAsia="Calibri" w:hAnsi="Calibri"/>
          <w:b/>
          <w:bCs/>
          <w:sz w:val="21"/>
          <w:szCs w:val="21"/>
        </w:rPr>
        <w:t xml:space="preserve">An approved-tools list raises questions we have not resolved. </w:t>
      </w:r>
      <w:r>
        <w:rPr>
          <w:rFonts w:ascii="Calibri" w:cs="Calibri" w:eastAsia="Calibri" w:hAnsi="Calibri"/>
          <w:sz w:val="21"/>
          <w:szCs w:val="21"/>
        </w:rPr>
        <w:t xml:space="preserve">A list is only as good as the process that maintains it: tools change monthly, and procurement and FERPA review take longer than that. If the college pursues this, the durable artifact is the criteria — privacy, accessibility, data retention, cost to students — rather than the list.</w:t>
      </w:r>
    </w:p>
    <w:p>
      <w:pPr>
        <w:spacing w:after="120" w:line="276"/>
      </w:pPr>
      <w:r>
        <w:rPr>
          <w:rFonts w:ascii="Calibri" w:cs="Calibri" w:eastAsia="Calibri" w:hAnsi="Calibri"/>
          <w:b/>
          <w:bCs/>
          <w:sz w:val="21"/>
          <w:szCs w:val="21"/>
        </w:rPr>
        <w:t xml:space="preserve">Student-facing guidance is deliberately downstream. </w:t>
      </w:r>
      <w:r>
        <w:rPr>
          <w:rFonts w:ascii="Calibri" w:cs="Calibri" w:eastAsia="Calibri" w:hAnsi="Calibri"/>
          <w:sz w:val="21"/>
          <w:szCs w:val="21"/>
        </w:rPr>
        <w:t xml:space="preserve">Students receive contradictory expectations course to course, and that is the problem most visible to them. Guidance issued before faculty agree on the underlying definition would simply relocate the inconsistency. It should be an early spring or year-two step, and the student survey data gives us a head start on what it needs to address.</w:t>
      </w:r>
    </w:p>
    <w:p>
      <w:pPr>
        <w:spacing w:after="120" w:line="276"/>
      </w:pPr>
      <w:r>
        <w:rPr>
          <w:rFonts w:ascii="Calibri" w:cs="Calibri" w:eastAsia="Calibri" w:hAnsi="Calibri"/>
          <w:b/>
          <w:bCs/>
          <w:sz w:val="21"/>
          <w:szCs w:val="21"/>
        </w:rPr>
        <w:t xml:space="preserve">A question the Core Abilities framing will force into the open. </w:t>
      </w:r>
      <w:r>
        <w:rPr>
          <w:rFonts w:ascii="Calibri" w:cs="Calibri" w:eastAsia="Calibri" w:hAnsi="Calibri"/>
          <w:sz w:val="21"/>
          <w:szCs w:val="21"/>
        </w:rPr>
        <w:t xml:space="preserve">Reading each ability against AI will surface disagreement about which abilities students must still hold themselves, and which the college might reasonably decide are now performed with AI assistance as a matter of course. That is a real and contested question. Our aim is to make it visible and discussable in the specific terms of our own stated commitments, rather than leaving it settled course by course by default.</w:t>
      </w:r>
    </w:p>
    <w:p>
      <w:pPr>
        <w:spacing w:after="120" w:line="276"/>
      </w:pPr>
      <w:r>
        <w:rPr>
          <w:rFonts w:ascii="Calibri" w:cs="Calibri" w:eastAsia="Calibri" w:hAnsi="Calibri"/>
          <w:b/>
          <w:bCs/>
          <w:sz w:val="21"/>
          <w:szCs w:val="21"/>
        </w:rPr>
        <w:t xml:space="preserve">Parked for later consideration: </w:t>
      </w:r>
      <w:r>
        <w:rPr>
          <w:rFonts w:ascii="Calibri" w:cs="Calibri" w:eastAsia="Calibri" w:hAnsi="Calibri"/>
          <w:sz w:val="21"/>
          <w:szCs w:val="21"/>
        </w:rPr>
        <w:t xml:space="preserve">extending the ambassador model to staff and student services; connecting AI literacy outcomes to the accreditation self-study cycle, where this work could count rather than compete; asking professional-technical advisory boards and local employers what AI competencies they now expect of graduates; the transfer question, and whether our guidance creates friction with receiving institutions; Running Start and dual-credit students, who sit under two institutions’ expectations at once; turning a strand of this work into scholarship; and comparing approaches with Highline College and Skagit Valley College, the other Washington community colleges in this Institute cohort.</w:t>
      </w:r>
    </w:p>
    <w:p>
      <w:pPr>
        <w:spacing w:after="120" w:line="276"/>
      </w:pPr>
      <w:r>
        <w:rPr>
          <w:rFonts w:ascii="Calibri" w:cs="Calibri" w:eastAsia="Calibri" w:hAnsi="Calibri"/>
          <w:b/>
          <w:bCs/>
          <w:sz w:val="21"/>
          <w:szCs w:val="21"/>
        </w:rPr>
        <w:t xml:space="preserve">An honest uncertainty. </w:t>
      </w:r>
      <w:r>
        <w:rPr>
          <w:rFonts w:ascii="Calibri" w:cs="Calibri" w:eastAsia="Calibri" w:hAnsi="Calibri"/>
          <w:sz w:val="21"/>
          <w:szCs w:val="21"/>
        </w:rPr>
        <w:t xml:space="preserve">We do not yet know how much of our faculty is genuinely undecided about AI versus quietly opposed, and the two call for different professional development. The survey analysis in Step 1 is partly an attempt to find out. If a substantial share are opposed rather than uncertain, the workshop phase becomes more important than the PD phase, and we will adjust accordingly.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2026-09-11T16:22:57.045Z</dcterms:created>
  <dcterms:modified xsi:type="dcterms:W3CDTF">2026-09-11T16:22:57.045Z</dcterms:modified>
</cp:coreProperties>
</file>

<file path=docProps/custom.xml><?xml version="1.0" encoding="utf-8"?>
<Properties xmlns="http://schemas.openxmlformats.org/officeDocument/2006/custom-properties" xmlns:vt="http://schemas.openxmlformats.org/officeDocument/2006/docPropsVTypes"/>
</file>