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remote-sensing-ms-intro</w:t>
      </w:r>
    </w:p>
    <w:p>
      <w:pPr>
        <w:pStyle w:val="Author"/>
      </w:pPr>
      <w:r>
        <w:t xml:space="preserve">Clay</w:t>
      </w:r>
      <w:r>
        <w:t xml:space="preserve"> </w:t>
      </w:r>
      <w:r>
        <w:t xml:space="preserve">Morrow</w:t>
      </w:r>
    </w:p>
    <w:p>
      <w:pPr>
        <w:pStyle w:val="Date"/>
      </w:pPr>
      <w:r>
        <w:t xml:space="preserve">12/7/2020</w:t>
      </w:r>
    </w:p>
    <w:p>
      <w:pPr>
        <w:pStyle w:val="FirstParagraph"/>
      </w:pPr>
      <w:r>
        <w:t xml:space="preserve">Appropriate hypothesis tests of time trends in spatial data must account for</w:t>
      </w:r>
      <w:r>
        <w:t xml:space="preserve"> </w:t>
      </w:r>
      <w:r>
        <w:t xml:space="preserve">spatial and temporal autocorrelation. The new method developed by</w:t>
      </w:r>
      <w:r>
        <w:t xml:space="preserve"> </w:t>
      </w:r>
      <w:r>
        <w:t xml:space="preserve">Ives et al (unpublished) does so in an elegegant and efficient manor that</w:t>
      </w:r>
      <w:r>
        <w:t xml:space="preserve"> </w:t>
      </w:r>
      <w:r>
        <w:t xml:space="preserve">traditional methods do not. However, as described, these methods can only be</w:t>
      </w:r>
      <w:r>
        <w:t xml:space="preserve"> </w:t>
      </w:r>
      <w:r>
        <w:t xml:space="preserve">used to predict the effects of temporally constant factors. Here, I propose to</w:t>
      </w:r>
      <w:r>
        <w:t xml:space="preserve"> </w:t>
      </w:r>
      <w:r>
        <w:t xml:space="preserve">extend the methods of Ives et al by allowing for the use of spatio-temporally</w:t>
      </w:r>
      <w:r>
        <w:t xml:space="preserve"> </w:t>
      </w:r>
      <w:r>
        <w:t xml:space="preserve">autocorrelated predictors. I will test the extended methods by applying them</w:t>
      </w:r>
      <w:r>
        <w:t xml:space="preserve"> </w:t>
      </w:r>
      <w:r>
        <w:t xml:space="preserve">to data simulated with the expected underlying structure. I will then apply</w:t>
      </w:r>
      <w:r>
        <w:t xml:space="preserve"> </w:t>
      </w:r>
      <w:r>
        <w:t xml:space="preserve">the method to a real world data set to test the hypothesis that temperature is</w:t>
      </w:r>
      <w:r>
        <w:t xml:space="preserve"> </w:t>
      </w:r>
      <w:r>
        <w:t xml:space="preserve">driving changes in phenology in certain land classes.</w:t>
      </w:r>
    </w:p>
    <w:p>
      <w:pPr>
        <w:pStyle w:val="BodyText"/>
      </w:pPr>
      <w:r>
        <w:t xml:space="preserve">A spatio-temporally autocorrelated variable of interest follows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−</m:t>
          </m:r>
          <m:r>
            <m:t>1</m:t>
          </m:r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t>t</m:t>
          </m:r>
          <m:r>
            <m:t>+</m:t>
          </m:r>
          <m:sSub>
            <m:e>
              <m:r>
                <m:t>ε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 the value of the variable at pixel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</w:p>
    <w:p>
      <w:pPr>
        <w:pStyle w:val="Compact"/>
        <w:numPr>
          <w:numId w:val="1001"/>
          <w:ilvl w:val="0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model intercept at pixel</w:t>
      </w:r>
      <w:r>
        <w:t xml:space="preserve"> </w:t>
      </w:r>
      <m:oMath>
        <m:r>
          <m:t>i</m:t>
        </m:r>
      </m:oMath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of the pixel’s value at the previous time point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−</m:t>
        </m:r>
        <m:r>
          <m:t>1</m:t>
        </m:r>
        <m:r>
          <m:t>)</m:t>
        </m:r>
      </m:oMath>
      <w:r>
        <w:t xml:space="preserve"> </w:t>
      </w:r>
      <w:r>
        <w:t xml:space="preserve">on the current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Compact"/>
        <w:numPr>
          <w:numId w:val="1001"/>
          <w:ilvl w:val="0"/>
        </w:numPr>
      </w:pP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of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and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sSub>
          <m:e>
            <m:r>
              <m:t>Σ</m:t>
            </m:r>
          </m:e>
          <m:sub>
            <m:r>
              <m:t>x</m:t>
            </m:r>
          </m:sub>
        </m:sSub>
        <m:r>
          <m:t>)</m:t>
        </m:r>
      </m:oMath>
      <w:r>
        <w:t xml:space="preserve"> </w:t>
      </w:r>
      <w:r>
        <w:t xml:space="preserve">is the random correlated error</w:t>
      </w:r>
      <w:r>
        <w:t xml:space="preserve"> </w:t>
      </w:r>
      <w:r>
        <w:t xml:space="preserve">term:</w:t>
      </w:r>
    </w:p>
    <w:p>
      <w:pPr>
        <w:pStyle w:val="Compact"/>
        <w:numPr>
          <w:numId w:val="1002"/>
          <w:ilvl w:val="1"/>
        </w:numPr>
      </w:pPr>
      <m:oMath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>
          <m:t>(</m:t>
        </m:r>
        <m:r>
          <m:t>1</m:t>
        </m:r>
        <m:r>
          <m:t>−</m:t>
        </m:r>
        <m:sSub>
          <m:e>
            <m:r>
              <m:t>η</m:t>
            </m:r>
          </m:e>
          <m:sub>
            <m:r>
              <m:t>x</m:t>
            </m:r>
          </m:sub>
        </m:sSub>
        <m:r>
          <m:t>)</m:t>
        </m:r>
        <m:sSub>
          <m:e>
            <m:r>
              <m:t>C</m:t>
            </m:r>
          </m:e>
          <m:sub>
            <m:r>
              <m:t>x</m:t>
            </m:r>
          </m:sub>
        </m:sSub>
        <m:r>
          <m:t>+</m:t>
        </m:r>
        <m:sSub>
          <m:e>
            <m:r>
              <m:t>η</m:t>
            </m:r>
          </m:e>
          <m:sub>
            <m:r>
              <m:t>x</m:t>
            </m:r>
          </m:sub>
        </m:sSub>
        <m:r>
          <m:t>I</m:t>
        </m:r>
      </m:oMath>
      <w:r>
        <w:t xml:space="preserve"> </w:t>
      </w:r>
      <w:r>
        <w:t xml:space="preserve">is the correlation structure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where</w:t>
      </w:r>
    </w:p>
    <w:p>
      <w:pPr>
        <w:pStyle w:val="Compact"/>
        <w:numPr>
          <w:numId w:val="1002"/>
          <w:ilvl w:val="1"/>
        </w:numPr>
      </w:pP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spatial correlation matrix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</w:p>
    <w:p>
      <w:pPr>
        <w:pStyle w:val="Compact"/>
        <w:numPr>
          <w:numId w:val="1002"/>
          <w:ilvl w:val="1"/>
        </w:numPr>
      </w:pPr>
      <m:oMath>
        <m:sSub>
          <m:e>
            <m:r>
              <m:t>η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a nugget that absorbs additional random variation among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s, and</w:t>
      </w:r>
    </w:p>
    <w:p>
      <w:pPr>
        <w:pStyle w:val="Compact"/>
        <w:numPr>
          <w:numId w:val="1002"/>
          <w:ilvl w:val="1"/>
        </w:numPr>
      </w:pPr>
      <m:oMath>
        <m:r>
          <m:t>I</m:t>
        </m:r>
      </m:oMath>
      <w:r>
        <w:t xml:space="preserve"> </w:t>
      </w:r>
      <w:r>
        <w:t xml:space="preserve">is an identity matrix</w:t>
      </w:r>
    </w:p>
    <w:p>
      <w:pPr>
        <w:pStyle w:val="FirstParagraph"/>
      </w:pPr>
      <w:r>
        <w:t xml:space="preserve">And a predictor variable of interest follows the very similar form but with</w:t>
      </w:r>
      <w:r>
        <w:t xml:space="preserve"> </w:t>
      </w:r>
      <w:r>
        <w:t xml:space="preserve">different parameter names for the sake of clarity: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ν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−</m:t>
          </m:r>
          <m:r>
            <m:t>1</m:t>
          </m:r>
          <m:r>
            <m:t>)</m:t>
          </m:r>
          <m:r>
            <m:t>+</m:t>
          </m:r>
          <m:sSub>
            <m:e>
              <m:r>
                <m:t>κ</m:t>
              </m:r>
            </m:e>
            <m:sub>
              <m:r>
                <m:t>i</m:t>
              </m:r>
            </m:sub>
          </m:sSub>
          <m:r>
            <m:t>t</m:t>
          </m:r>
          <m:r>
            <m:t>+</m:t>
          </m:r>
          <m:sSub>
            <m:e>
              <m:r>
                <m:t>ε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 </w:t>
      </w:r>
    </w:p>
    <w:p>
      <w:pPr>
        <w:pStyle w:val="Heading2"/>
      </w:pPr>
      <w:bookmarkStart w:id="20" w:name="gls"/>
      <w:r>
        <w:t xml:space="preserve">GLS</w:t>
      </w:r>
      <w:bookmarkEnd w:id="20"/>
    </w:p>
    <w:p>
      <w:pPr>
        <w:pStyle w:val="FirstParagraph"/>
      </w:pPr>
      <w:r>
        <w:t xml:space="preserve">The GLS model using site-specific and non-temporally variable predictors</w:t>
      </w:r>
      <w:r>
        <w:t xml:space="preserve"> </w:t>
      </w:r>
      <w:r>
        <w:t xml:space="preserve">(i.e. land cover classification) is performed by regressing the temporally</w:t>
      </w:r>
      <w:r>
        <w:t xml:space="preserve"> </w:t>
      </w:r>
      <w:r>
        <w:t xml:space="preserve">collapsed response against them: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γ</m:t>
              </m:r>
            </m:e>
          </m:acc>
          <m:r>
            <m:t>=</m:t>
          </m:r>
          <m:r>
            <m:t>b</m:t>
          </m:r>
          <m:r>
            <m:t>X</m:t>
          </m:r>
          <m: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3"/>
          <w:ilvl w:val="0"/>
        </w:numPr>
      </w:pPr>
      <m:oMath>
        <m:acc>
          <m:accPr>
            <m:chr m:val="̂"/>
          </m:accPr>
          <m:e>
            <m:r>
              <m:t>γ</m:t>
            </m:r>
          </m:e>
        </m:acc>
      </m:oMath>
      <w:r>
        <w:t xml:space="preserve"> </w:t>
      </w:r>
      <w:r>
        <w:t xml:space="preserve">is an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length vector of temporally collapsed pixel-level</w:t>
      </w:r>
      <w:r>
        <w:t xml:space="preserve"> </w:t>
      </w:r>
      <w:r>
        <w:t xml:space="preserve">time trend estimates from formula (1) obtained via CLS,</w:t>
      </w:r>
    </w:p>
    <w:p>
      <w:pPr>
        <w:pStyle w:val="Compact"/>
        <w:numPr>
          <w:numId w:val="1003"/>
          <w:ilvl w:val="0"/>
        </w:numPr>
      </w:pPr>
      <m:oMath>
        <m:r>
          <m:t>X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n</m:t>
        </m:r>
        <m:r>
          <m:t>×</m:t>
        </m:r>
        <m:r>
          <m:t>p</m:t>
        </m:r>
      </m:oMath>
      <w:r>
        <w:t xml:space="preserve"> </w:t>
      </w:r>
      <w:r>
        <w:t xml:space="preserve">design matrix of fixed site-level predictors (possibly</w:t>
      </w:r>
      <w:r>
        <w:t xml:space="preserve"> </w:t>
      </w:r>
      <w:r>
        <w:t xml:space="preserve">including an intercept),</w:t>
      </w:r>
    </w:p>
    <w:p>
      <w:pPr>
        <w:pStyle w:val="Compact"/>
        <w:numPr>
          <w:numId w:val="1003"/>
          <w:ilvl w:val="0"/>
        </w:numPr>
      </w:pPr>
      <m:oMath>
        <m:r>
          <m:t>b</m:t>
        </m:r>
      </m:oMath>
      <w:r>
        <w:t xml:space="preserve"> </w:t>
      </w:r>
      <w:r>
        <w:t xml:space="preserve">is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length vector of effects for each predictor, and</w:t>
      </w:r>
    </w:p>
    <w:p>
      <w:pPr>
        <w:pStyle w:val="Compact"/>
        <w:numPr>
          <w:numId w:val="1003"/>
          <w:ilvl w:val="0"/>
        </w:numPr>
      </w:pPr>
      <m:oMath>
        <m:r>
          <m:t>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Σ</m:t>
        </m:r>
        <m:r>
          <m:t>)</m:t>
        </m:r>
      </m:oMath>
      <w:r>
        <w:t xml:space="preserve"> </w:t>
      </w:r>
      <w:r>
        <w:t xml:space="preserve">is the random error term whose covariance</w:t>
      </w:r>
      <w:r>
        <w:t xml:space="preserve"> </w:t>
      </w:r>
      <w:r>
        <w:t xml:space="preserve">matrix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equivalent to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which holds the spatial correlation</w:t>
      </w:r>
      <w:r>
        <w:t xml:space="preserve"> </w:t>
      </w:r>
      <w:r>
        <w:t xml:space="preserve">and nugget for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in this model, the best-linear unbiased estimators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</m:e>
        </m:acc>
      </m:oMath>
      <w:r>
        <w:t xml:space="preserve"> </w:t>
      </w:r>
      <w:r>
        <w:t xml:space="preserve">are obtained via the formula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b</m:t>
              </m:r>
            </m:e>
          </m:acc>
          <m:r>
            <m:t>=</m:t>
          </m:r>
          <m:r>
            <m:t>(</m:t>
          </m:r>
          <m:r>
            <m:t>X</m:t>
          </m:r>
          <m:r>
            <m:t>′</m:t>
          </m:r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r>
            <m:t>X</m:t>
          </m:r>
          <m:r>
            <m:t>′</m:t>
          </m:r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acc>
            <m:accPr>
              <m:chr m:val="̂"/>
            </m:accPr>
            <m:e>
              <m:r>
                <m:t>γ</m:t>
              </m:r>
            </m:e>
          </m:acc>
          <m:r>
            <m:t>)</m:t>
          </m:r>
        </m:oMath>
      </m:oMathPara>
    </w:p>
    <w:p>
      <w:pPr>
        <w:pStyle w:val="FirstParagraph"/>
      </w:pPr>
      <w:r>
        <w:t xml:space="preserve">and the expected variance of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</m:e>
        </m:acc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acc>
            <m:accPr>
              <m:chr m:val="̂"/>
            </m:accPr>
            <m:e>
              <m:r>
                <m:t>b</m:t>
              </m:r>
            </m:e>
          </m:acc>
          <m:r>
            <m:t>)</m:t>
          </m:r>
          <m:r>
            <m:t>=</m:t>
          </m:r>
          <m:r>
            <m:t>(</m:t>
          </m:r>
          <m:r>
            <m:t>X</m:t>
          </m:r>
          <m:r>
            <m:t>′</m:t>
          </m:r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However, if the predictor is not constant over time, but is instead spatially</w:t>
      </w:r>
      <w:r>
        <w:t xml:space="preserve"> </w:t>
      </w:r>
      <w:r>
        <w:t xml:space="preserve">and temporally variable (and autocorrelated), it is necessary to modify the</w:t>
      </w:r>
      <w:r>
        <w:t xml:space="preserve"> </w:t>
      </w:r>
      <w:r>
        <w:t xml:space="preserve">process: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γ</m:t>
              </m:r>
            </m:e>
          </m:acc>
          <m:r>
            <m:t>=</m:t>
          </m:r>
          <m:r>
            <m:t>b</m:t>
          </m:r>
          <m:acc>
            <m:accPr>
              <m:chr m:val="̂"/>
            </m:accPr>
            <m:e>
              <m:r>
                <m:t>X</m:t>
              </m:r>
            </m:e>
          </m:acc>
          <m: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been replaced with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</m:oMath>
      <w:r>
        <w:t xml:space="preserve"> </w:t>
      </w:r>
      <w:r>
        <w:t xml:space="preserve">which</w:t>
      </w:r>
      <w:r>
        <w:t xml:space="preserve"> </w:t>
      </w:r>
      <w:r>
        <w:t xml:space="preserve">represents an</w:t>
      </w:r>
      <w:r>
        <w:t xml:space="preserve"> </w:t>
      </w:r>
      <m:oMath>
        <m:r>
          <m:t>n</m:t>
        </m:r>
        <m:r>
          <m:t>×</m:t>
        </m:r>
        <m:r>
          <m:t>p</m:t>
        </m:r>
      </m:oMath>
      <w:r>
        <w:t xml:space="preserve"> </w:t>
      </w:r>
      <w:r>
        <w:t xml:space="preserve">design matrix of temporally collapsed predictors</w:t>
      </w:r>
      <w:r>
        <w:t xml:space="preserve"> </w:t>
      </w:r>
      <w:r>
        <w:t xml:space="preserve">(i.e. CLS estimate estimate of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from formula (2) ). Because the</w:t>
      </w:r>
      <w:r>
        <w:t xml:space="preserve"> </w:t>
      </w:r>
      <w:r>
        <w:t xml:space="preserve">assumptions of GLS only involve the correlation pattern of the response, it</w:t>
      </w:r>
      <w:r>
        <w:t xml:space="preserve"> </w:t>
      </w:r>
      <w:r>
        <w:t xml:space="preserve">is not necessary to account for the spatial component of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</m:oMath>
      <w:r>
        <w:t xml:space="preserve"> </w:t>
      </w:r>
      <w:r>
        <w:t xml:space="preserve">directly.</w:t>
      </w:r>
      <w:r>
        <w:t xml:space="preserve"> </w:t>
      </w:r>
      <w:r>
        <w:t xml:space="preserve">The regression should be able to detect when the variance structure of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</m:oMath>
      <w:r>
        <w:t xml:space="preserve"> </w:t>
      </w:r>
      <w:r>
        <w:t xml:space="preserve">differs from the provided structure of</w:t>
      </w:r>
      <w:r>
        <w:t xml:space="preserve"> </w:t>
      </w:r>
      <m:oMath>
        <m:acc>
          <m:accPr>
            <m:chr m:val="̂"/>
          </m:accPr>
          <m:e>
            <m:r>
              <m:t>γ</m:t>
            </m:r>
          </m:e>
        </m:acc>
      </m:oMath>
      <w:r>
        <w:t xml:space="preserve">. If additional variance is</w:t>
      </w:r>
      <w:r>
        <w:t xml:space="preserve"> </w:t>
      </w:r>
      <w:r>
        <w:t xml:space="preserve">explained by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</m:oMath>
      <w:r>
        <w:t xml:space="preserve">, it should produce a significant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To test this, I will apply the above method to simulated responses generated</w:t>
      </w:r>
      <w:r>
        <w:t xml:space="preserve"> </w:t>
      </w:r>
      <w:r>
        <w:t xml:space="preserve">with a base-line spatio-temporal autocorrelation and the effect of a</w:t>
      </w:r>
      <w:r>
        <w:t xml:space="preserve"> </w:t>
      </w:r>
      <w:r>
        <w:t xml:space="preserve">spatio-temporally autocorrelated predictor variable: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+</m:t>
        </m:r>
        <m:r>
          <m:t>θ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Heading2"/>
      </w:pPr>
      <w:bookmarkStart w:id="21" w:name="variance-partitioning"/>
      <w:r>
        <w:t xml:space="preserve">Variance Partitioning</w:t>
      </w:r>
      <w:bookmarkEnd w:id="21"/>
    </w:p>
    <w:p>
      <w:pPr>
        <w:pStyle w:val="FirstParagraph"/>
      </w:pPr>
      <w:r>
        <w:t xml:space="preserve">The covariance structure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+</m:t>
        </m:r>
        <m:r>
          <m:t>θ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x</m:t>
            </m:r>
          </m:sub>
        </m:sSub>
        <m:r>
          <m:t>+</m:t>
        </m:r>
        <m:sSub>
          <m:e>
            <m:r>
              <m:t>Σ</m:t>
            </m:r>
          </m:e>
          <m:sub>
            <m:r>
              <m:t>z</m:t>
            </m:r>
          </m:sub>
        </m:sSub>
      </m:oMath>
      <w:r>
        <w:t xml:space="preserve">. So, we should theoretically be able to recover</w:t>
      </w:r>
      <w:r>
        <w:t xml:space="preserve"> </w:t>
      </w:r>
      <w:r>
        <w:t xml:space="preserve">the covariance structure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by estimating the differences between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(i.e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y</m:t>
            </m:r>
          </m:sub>
        </m:sSub>
        <m:r>
          <m:t>−</m:t>
        </m:r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z</m:t>
            </m:r>
          </m:sub>
        </m:sSub>
      </m:oMath>
      <w:r>
        <w:t xml:space="preserve">). This would give us the variation in our</w:t>
      </w:r>
      <w:r>
        <w:t xml:space="preserve"> </w:t>
      </w:r>
      <w:r>
        <w:t xml:space="preserve">response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that is not explained by variation in out spatio-temporally</w:t>
      </w:r>
      <w:r>
        <w:t xml:space="preserve"> </w:t>
      </w:r>
      <w:r>
        <w:t xml:space="preserve">structured predictor</w:t>
      </w:r>
      <w:r>
        <w:t xml:space="preserve"> </w:t>
      </w:r>
      <m:oMath>
        <m:r>
          <m:t>z</m:t>
        </m:r>
      </m:oMath>
      <w:r>
        <w:t xml:space="preserve">. If the spatial correlations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are</w:t>
      </w:r>
      <w:r>
        <w:t xml:space="preserve"> </w:t>
      </w:r>
      <w:r>
        <w:t xml:space="preserve">equivalent (i.e. equal range of spatial autocorrelation;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z</m:t>
            </m:r>
          </m:sub>
        </m:sSub>
        <m:r>
          <m:t>=</m:t>
        </m:r>
        <m:r>
          <m:t>C</m:t>
        </m:r>
      </m:oMath>
      <w:r>
        <w:t xml:space="preserve">), then</w:t>
      </w:r>
      <w:r>
        <w:t xml:space="preserve"> </w:t>
      </w:r>
      <w:r>
        <w:t xml:space="preserve">the equation can be reduced to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x</m:t>
              </m:r>
            </m:sub>
          </m:sSub>
          <m:r>
            <m:t>=</m:t>
          </m:r>
          <m:sSub>
            <m:e>
              <m:r>
                <m:t>Σ</m:t>
              </m:r>
            </m:e>
            <m:sub>
              <m:r>
                <m:t>y</m:t>
              </m:r>
            </m:sub>
          </m:sSub>
          <m:r>
            <m:t>−</m:t>
          </m:r>
          <m:sSub>
            <m:e>
              <m:r>
                <m:t>Σ</m:t>
              </m:r>
            </m:e>
            <m:sub>
              <m:r>
                <m:t>z</m:t>
              </m:r>
            </m:sub>
          </m:sSub>
          <m:r>
            <m:t>=</m:t>
          </m:r>
          <m:r>
            <m:t>(</m:t>
          </m:r>
          <m:sSub>
            <m:e>
              <m:r>
                <m:t>η</m:t>
              </m:r>
            </m:e>
            <m:sub>
              <m:r>
                <m:t>x</m:t>
              </m:r>
            </m:sub>
          </m:sSub>
          <m:r>
            <m:t>)</m:t>
          </m:r>
          <m:r>
            <m:t>C</m:t>
          </m:r>
          <m:r>
            <m:t>−</m:t>
          </m:r>
          <m:r>
            <m:t>(</m:t>
          </m:r>
          <m:sSub>
            <m:e>
              <m:r>
                <m:t>η</m:t>
              </m:r>
            </m:e>
            <m:sub>
              <m:r>
                <m:t>x</m:t>
              </m:r>
            </m:sub>
          </m:sSub>
          <m:r>
            <m:t>)</m:t>
          </m:r>
          <m:r>
            <m:t>I</m:t>
          </m:r>
        </m:oMath>
      </m:oMathPara>
    </w:p>
    <w:p>
      <w:pPr>
        <w:pStyle w:val="FirstParagraph"/>
      </w:pPr>
      <w:r>
        <w:t xml:space="preserve">where the nugget 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η</m:t>
            </m:r>
          </m:e>
          <m:sub>
            <m:r>
              <m:t>y</m:t>
            </m:r>
          </m:sub>
        </m:sSub>
        <m:r>
          <m:t>=</m:t>
        </m:r>
        <m:sSub>
          <m:e>
            <m:r>
              <m:t>η</m:t>
            </m:r>
          </m:e>
          <m:sub>
            <m:r>
              <m:t>z</m:t>
            </m:r>
          </m:sub>
        </m:sSub>
        <m:r>
          <m:t>−</m:t>
        </m:r>
        <m:sSub>
          <m:e>
            <m:r>
              <m:t>η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To test if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driving changes in</w:t>
      </w:r>
      <w:r>
        <w:t xml:space="preserve"> </w:t>
      </w:r>
      <m:oMath>
        <m:r>
          <m:t>y</m:t>
        </m:r>
      </m:oMath>
      <w:r>
        <w:t xml:space="preserve">, we would ask if variation in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(including spatial variation) explains significant variation in</w:t>
      </w:r>
      <w:r>
        <w:t xml:space="preserve"> </w:t>
      </w:r>
      <m:oMath>
        <m:r>
          <m:t>y</m:t>
        </m:r>
      </m:oMath>
      <w:r>
        <w:t xml:space="preserve">. In other</w:t>
      </w:r>
      <w:r>
        <w:t xml:space="preserve"> </w:t>
      </w:r>
      <w:r>
        <w:t xml:space="preserve">words, we would test against the null hypothesis that</w:t>
      </w:r>
      <w:r>
        <w:t xml:space="preserve"> </w:t>
      </w:r>
      <m:oMath>
        <m:sSub>
          <m:e>
            <m:r>
              <m:t>Σ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a very</w:t>
      </w:r>
      <w:r>
        <w:t xml:space="preserve"> </w:t>
      </w:r>
      <w:r>
        <w:t xml:space="preserve">small (0) proportion of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(i.e. 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f>
          <m:fPr>
            <m:type m:val="bar"/>
          </m:fPr>
          <m:num>
            <m:sSub>
              <m:e>
                <m:r>
                  <m:t>Σ</m:t>
                </m:r>
              </m:e>
              <m:sub>
                <m:r>
                  <m:t>z</m:t>
                </m:r>
              </m:sub>
            </m:sSub>
          </m:num>
          <m:den>
            <m:sSub>
              <m:e>
                <m:r>
                  <m:t>Σ</m:t>
                </m:r>
              </m:e>
              <m:sub>
                <m:r>
                  <m:t>x</m:t>
                </m:r>
              </m:sub>
            </m:sSub>
          </m:den>
        </m:f>
        <m:r>
          <m:t>=</m:t>
        </m:r>
        <m:r>
          <m:t>0</m:t>
        </m:r>
      </m:oMath>
      <w:r>
        <w:t xml:space="preserve">)</w:t>
      </w:r>
    </w:p>
    <w:p>
      <w:pPr>
        <w:pStyle w:val="Heading2"/>
      </w:pPr>
      <w:bookmarkStart w:id="22" w:name="questions"/>
      <w:r>
        <w:t xml:space="preserve">Questions</w:t>
      </w:r>
      <w:bookmarkEnd w:id="22"/>
    </w:p>
    <w:p>
      <w:pPr>
        <w:pStyle w:val="FirstParagraph"/>
      </w:pPr>
      <w:r>
        <w:t xml:space="preserve">With this method for predicting spatio-temporally correlated responses from</w:t>
      </w:r>
      <w:r>
        <w:t xml:space="preserve"> </w:t>
      </w:r>
      <w:r>
        <w:t xml:space="preserve">spatio-temporally correlated predictors, we can appropriate test hypotheses</w:t>
      </w:r>
      <w:r>
        <w:t xml:space="preserve"> </w:t>
      </w:r>
      <w:r>
        <w:t xml:space="preserve">about the effects of climate on ecological responses. For example, we can test</w:t>
      </w:r>
      <w:r>
        <w:t xml:space="preserve"> </w:t>
      </w:r>
      <w:r>
        <w:t xml:space="preserve">the hypothesis that increasing temperature is associated with earlier onset of</w:t>
      </w:r>
      <w:r>
        <w:t xml:space="preserve"> </w:t>
      </w:r>
      <w:r>
        <w:t xml:space="preserve">photosynthesis in particular land classes.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remote-sensing-ms-intro</dc:title>
  <dc:creator>Clay Morrow</dc:creator>
  <cp:keywords/>
  <dcterms:created xsi:type="dcterms:W3CDTF">2020-12-09T16:59:42Z</dcterms:created>
  <dcterms:modified xsi:type="dcterms:W3CDTF">2020-12-09T16:59:42Z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/>
  </property>
</Properties>
</file>