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5-6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с клавиатуры 2 числа. Увеличить большее из них на 1, если числа равны, возвести первое число в 3 – ю степень, иначе вывести соответствующее сообщение.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произвольной цифры от 0 до 9 вывести на консоль ее значение прописью, используя оператор when. Например, для цифры 9 на консоли должна быть напечатана строка «Девять».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с клавиатуры 2 числа: (a,b) - double/число с плавающей запятой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произвольной цифры: (a) - int/целочисленный тип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07923" cy="432339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923" cy="432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121713" cy="84286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713" cy="842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kotlin.math.pow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"a=$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; b=$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u w:val="single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"введите число"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"один"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"два"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"три"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"четыре"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"пять"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"шесть"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"семь"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"восемь"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u w:val="single"/>
          <w:shd w:fill="24292e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u w:val="single"/>
          <w:shd w:fill="24292e" w:val="clear"/>
          <w:rtl w:val="0"/>
        </w:rPr>
        <w:t xml:space="preserve">"девять3"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u w:val="single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28725" cy="83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62100" cy="971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076325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43125" cy="781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с клавиатуры 2 числа. Увеличить большее из них на 1, если числа равны, возвести первое число в 3 – ю степень, иначе вывести соответствующее сообщение.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произвольной цифры от 0 до 9 вывести на консоль ее значение прописью, используя оператор when. Например, для цифры 9 на консоли должна быть напечатана строка «Девять».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