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144" w:after="72"/>
        <w:jc w:val="both"/>
        <w:rPr>
          <w:rFonts w:ascii="Arial" w:hAnsi="Arial"/>
        </w:rPr>
      </w:pPr>
      <w:r>
        <w:rPr>
          <w:rFonts w:ascii="Arial" w:hAnsi="Arial"/>
          <w:sz w:val="44"/>
          <w:szCs w:val="44"/>
          <w:lang w:val="pt-BR"/>
        </w:rPr>
        <w:t>VAWT-Anexo A — Fase 1: Dossiê do problema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Objetivo:</w:t>
      </w:r>
      <w:r>
        <w:rPr>
          <w:rFonts w:ascii="Arial" w:hAnsi="Arial"/>
          <w:color w:val="000000"/>
          <w:lang w:val="pt-BR"/>
        </w:rPr>
        <w:t xml:space="preserve"> documentar a caracterização da comunidade, o recurso eólico preliminar, a potência-alvo e os objetivos de aprendizagem, servindo de contrato inicial do projeto.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Conteúdo proposto (seções do dossiê):</w:t>
      </w:r>
    </w:p>
    <w:p>
      <w:pPr>
        <w:pStyle w:val="Normal"/>
        <w:numPr>
          <w:ilvl w:val="0"/>
          <w:numId w:val="6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Contexto comunitário</w:t>
      </w:r>
      <w:r>
        <w:rPr>
          <w:rFonts w:ascii="Arial" w:hAnsi="Arial"/>
          <w:color w:val="000000"/>
          <w:lang w:val="pt-BR"/>
        </w:rPr>
        <w:t>: localização, número de domicílios ou instituições atendidas, usos atuais de energia (iluminação, cargas, bombeamento), fontes atuais (rede, diesel, baterias) e restrições de acesso — roteiro de entrevista semiestruturada com lideranças locais.</w:t>
      </w:r>
    </w:p>
    <w:p>
      <w:pPr>
        <w:pStyle w:val="Normal"/>
        <w:numPr>
          <w:ilvl w:val="0"/>
          <w:numId w:val="6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Recurso eólico preliminar</w:t>
      </w:r>
      <w:r>
        <w:rPr>
          <w:rFonts w:ascii="Arial" w:hAnsi="Arial"/>
          <w:color w:val="000000"/>
          <w:lang w:val="pt-BR"/>
        </w:rPr>
        <w:t>: fonte dos dados (estações existentes, dados abertos, medição própria), altura de referência, velocidade média e direção predominante estimadas, obstáculos do entorno. Campo de preenchimento qualitativo nesta fase; a quantificação ocorre na Fase 2.</w:t>
      </w:r>
    </w:p>
    <w:p>
      <w:pPr>
        <w:pStyle w:val="Normal"/>
        <w:numPr>
          <w:ilvl w:val="0"/>
          <w:numId w:val="6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Definição da potência-alvo</w:t>
      </w:r>
      <w:r>
        <w:rPr>
          <w:rFonts w:ascii="Arial" w:hAnsi="Arial"/>
          <w:color w:val="000000"/>
          <w:lang w:val="pt-BR"/>
        </w:rPr>
        <w:t>: tabela de levantamento de cargas (equipamento, potência, horas/dia, energia diária), com a potência-alvo situada na faixa validada por microgeraçadores da literatura (100 W–1 kW) (Ghane &amp; Wakchaure, 2024), e margem para dias de vento fraco.</w:t>
      </w:r>
    </w:p>
    <w:p>
      <w:pPr>
        <w:pStyle w:val="Normal"/>
        <w:numPr>
          <w:ilvl w:val="0"/>
          <w:numId w:val="6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Objetivos de aprendizagem</w:t>
      </w:r>
      <w:r>
        <w:rPr>
          <w:rFonts w:ascii="Arial" w:hAnsi="Arial"/>
          <w:color w:val="000000"/>
          <w:lang w:val="pt-BR"/>
        </w:rPr>
        <w:t>: objetivos técnicos (aerodinâmica, materiais, conversão eletromecânica, manufatura) e competências SHES a desenvolver (pensamento holístico e sistêmico, transdisciplinaridade, complexidade, adaptabilidade, diversidade, colaboração com partes interessadas e planejamento de projetos) (Focht &amp; Barresi, 2018; Focht &amp; Bell, 2018), conectadas às abordagens pedagógicas que as desenvolvem (Lozano et al., 2017).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</w:rPr>
        <w:t>Subsídios:</w:t>
      </w:r>
    </w:p>
    <w:p>
      <w:pPr>
        <w:pStyle w:val="Normal"/>
        <w:numPr>
          <w:ilvl w:val="0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Arranjo de equipe em pequenos grupos com tarefas específicas e tutoria, conforme o projeto EOLO (Ariza &amp; Olatunde-Aiyedun, 2023).</w:t>
      </w:r>
    </w:p>
    <w:p>
      <w:pPr>
        <w:pStyle w:val="Normal"/>
        <w:numPr>
          <w:ilvl w:val="0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 xml:space="preserve">Característica de problema real, pouco estruturado e aberto, que ativa ferramentas heurísticas (analogias, diagramas, abstração), como no </w:t>
      </w:r>
      <w:r>
        <w:rPr>
          <w:rFonts w:ascii="Arial" w:hAnsi="Arial"/>
          <w:i/>
          <w:iCs/>
          <w:color w:val="000000"/>
          <w:lang w:val="pt-BR"/>
        </w:rPr>
        <w:t>windpump</w:t>
      </w:r>
      <w:r>
        <w:rPr>
          <w:rFonts w:ascii="Arial" w:hAnsi="Arial"/>
          <w:color w:val="000000"/>
          <w:lang w:val="pt-BR"/>
        </w:rPr>
        <w:t xml:space="preserve"> de laboratório (Ulazia &amp; Ibarra‐Berastegi, 2020).</w:t>
      </w:r>
    </w:p>
    <w:p>
      <w:pPr>
        <w:pStyle w:val="Normal"/>
        <w:numPr>
          <w:ilvl w:val="0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Definição de metas e restrições de projeto desde o início, procedimento validado na integração CAD/CAE/CAM (Fernandes et al., 2020).</w:t>
      </w:r>
    </w:p>
    <w:p>
      <w:pPr>
        <w:pStyle w:val="Normal"/>
        <w:pBdr>
          <w:bottom w:val="single" w:sz="6" w:space="1" w:color="000000"/>
        </w:pBdr>
        <w:spacing w:before="240" w:after="24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2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Anexo B — Fase 2: Relatório de revisão e banco de dados do vento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Objetivo:</w:t>
      </w:r>
      <w:r>
        <w:rPr>
          <w:rFonts w:ascii="Arial" w:hAnsi="Arial"/>
          <w:color w:val="000000"/>
          <w:lang w:val="pt-BR"/>
        </w:rPr>
        <w:t xml:space="preserve"> sistematizar a revisão bibliográfica e a coleta anemométrica que fundamentam as decisões das Fases 3–6.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</w:rPr>
        <w:t>Conteúdo proposto:</w:t>
      </w:r>
    </w:p>
    <w:p>
      <w:pPr>
        <w:pStyle w:val="Normal"/>
        <w:numPr>
          <w:ilvl w:val="0"/>
          <w:numId w:val="7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Relatório de revisão</w:t>
      </w:r>
      <w:r>
        <w:rPr>
          <w:rFonts w:ascii="Arial" w:hAnsi="Arial"/>
          <w:color w:val="000000"/>
          <w:lang w:val="pt-BR"/>
        </w:rPr>
        <w:t xml:space="preserve"> com as seções:</w:t>
      </w:r>
    </w:p>
    <w:p>
      <w:pPr>
        <w:pStyle w:val="Normal"/>
        <w:numPr>
          <w:ilvl w:val="1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 xml:space="preserve">Aerodinâmica de VAWT de baixa potência — método paramétrico (solidez </w:t>
      </w:r>
      <w:r>
        <w:rPr>
          <w:rFonts w:ascii="Arial" w:hAnsi="Arial"/>
          <w:color w:val="000000"/>
        </w:rPr>
        <w:t>σ</w:t>
      </w:r>
      <w:r>
        <w:rPr>
          <w:rFonts w:ascii="Arial" w:hAnsi="Arial"/>
          <w:color w:val="000000"/>
          <w:lang w:val="pt-BR"/>
        </w:rPr>
        <w:t xml:space="preserve">, razão altura/diâmetro </w:t>
      </w:r>
      <w:r>
        <w:rPr>
          <w:rFonts w:ascii="Arial" w:hAnsi="Arial"/>
          <w:color w:val="000000"/>
        </w:rPr>
        <w:t>φ</w:t>
      </w:r>
      <w:r>
        <w:rPr>
          <w:rFonts w:ascii="Arial" w:hAnsi="Arial"/>
          <w:color w:val="000000"/>
          <w:lang w:val="pt-BR"/>
        </w:rPr>
        <w:t xml:space="preserve"> = H/D, razão corda/diâmetro </w:t>
      </w:r>
      <w:r>
        <w:rPr>
          <w:rFonts w:ascii="Arial" w:hAnsi="Arial"/>
          <w:color w:val="000000"/>
        </w:rPr>
        <w:t>ξ</w:t>
      </w:r>
      <w:r>
        <w:rPr>
          <w:rFonts w:ascii="Arial" w:hAnsi="Arial"/>
          <w:color w:val="000000"/>
          <w:lang w:val="pt-BR"/>
        </w:rPr>
        <w:t xml:space="preserve"> = c/D, área varrida A, perfil e estrutura de suporte) (Díaz-Canul et al., 2025) e análise paramétrica de pás helicoidais (Hassan et al., 2024);</w:t>
      </w:r>
    </w:p>
    <w:p>
      <w:pPr>
        <w:pStyle w:val="Normal"/>
        <w:numPr>
          <w:ilvl w:val="1"/>
          <w:numId w:val="1"/>
        </w:numPr>
        <w:pBdr/>
        <w:ind w:hanging="1080" w:left="2160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Materiais compósitos para FFF — revisão de termoplásticos com fibra de carbono (ABS/CF, ASA/CF, PLA/CF, PETG/CF) (Patel et al., 2023), pás em SCFR-PLA (Said et al., 2025) e turbina H-Darrieus reciclável em PETG/CF (Colorado et al., 2024);</w:t>
      </w:r>
    </w:p>
    <w:p>
      <w:pPr>
        <w:pStyle w:val="Normal"/>
        <w:numPr>
          <w:ilvl w:val="1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Casos educacionais PBL — EOLO (Ariza &amp; Olatunde-Aiyedun, 2023), integração CAD/CAE/CAM (Fernandes et al., 2020), projeto de experimentos com impressão 3D (Unzueta &amp; Eguren, 2023);</w:t>
      </w:r>
    </w:p>
    <w:p>
      <w:pPr>
        <w:pStyle w:val="Normal"/>
        <w:numPr>
          <w:ilvl w:val="1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Síntese e lacunas que o projeto pretende preencher.</w:t>
      </w:r>
    </w:p>
    <w:p>
      <w:pPr>
        <w:pStyle w:val="Normal"/>
        <w:numPr>
          <w:ilvl w:val="0"/>
          <w:numId w:val="7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Fichas de leitura</w:t>
      </w:r>
      <w:r>
        <w:rPr>
          <w:rFonts w:ascii="Arial" w:hAnsi="Arial"/>
          <w:color w:val="000000"/>
          <w:lang w:val="pt-BR"/>
        </w:rPr>
        <w:t xml:space="preserve"> por artigo (campos: referência; objetivo; método; principais parâmetros e resultados; aplicabilidade ao projeto), uma por fonte revisada.</w:t>
      </w:r>
    </w:p>
    <w:p>
      <w:pPr>
        <w:pStyle w:val="Normal"/>
        <w:numPr>
          <w:ilvl w:val="0"/>
          <w:numId w:val="7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Banco de dados do vento</w:t>
      </w:r>
      <w:r>
        <w:rPr>
          <w:rFonts w:ascii="Arial" w:hAnsi="Arial"/>
          <w:color w:val="000000"/>
          <w:lang w:val="pt-BR"/>
        </w:rPr>
        <w:t xml:space="preserve"> — ficha anemométrica com campos: local e coordenadas; altura do anemômetro; período e intervalo de amostragem; velocidade média, máxima e desvio padrão; direção predominante; parâmetros de Weibull (k e c). Os campos são preenchidos pela equipe conforme a medição ou a fonte de dados adotada.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Subsídios:</w:t>
      </w:r>
      <w:sdt>
        <w:sdtPr>
          <w:tag w:val="goog_rdk_0"/>
          <w:id w:val="1554967094"/>
        </w:sdtPr>
        <w:sdtContent>
          <w:r>
            <w:rPr>
              <w:rFonts w:ascii="Arial" w:hAnsi="Arial"/>
              <w:b/>
              <w:bCs/>
              <w:color w:val="000000"/>
              <w:lang w:val="pt-BR"/>
            </w:rPr>
          </w:r>
          <w:r>
            <w:rPr>
              <w:rFonts w:eastAsia="Cardo" w:cs="Cardo" w:ascii="Arial" w:hAnsi="Arial"/>
              <w:color w:val="000000"/>
              <w:lang w:val="pt-BR"/>
            </w:rPr>
            <w:t xml:space="preserve"> a revisão deve priorizar as fontes que já consolidam os valores de referência usados no projeto (S1046, </w:t>
          </w:r>
          <w:r>
            <w:rPr>
              <w:rFonts w:eastAsia="Cardo" w:cs="Cardo" w:ascii="Arial" w:hAnsi="Arial"/>
              <w:color w:val="000000"/>
            </w:rPr>
            <w:t>σ</w:t>
          </w:r>
          <w:r>
            <w:rPr>
              <w:rFonts w:eastAsia="Cardo" w:cs="Cardo" w:ascii="Arial" w:hAnsi="Arial"/>
              <w:color w:val="000000"/>
              <w:lang w:val="pt-BR"/>
            </w:rPr>
            <w:t xml:space="preserve"> = 0,3, Ar = 2,6, TSR ≈ 3,75 </w:t>
          </w:r>
        </w:sdtContent>
      </w:sdt>
      <w:r>
        <w:rPr>
          <w:rFonts w:ascii="Arial" w:hAnsi="Arial"/>
          <w:lang w:val="pt-BR"/>
        </w:rPr>
        <w:t>(Díaz-</w:t>
      </w:r>
      <w:r>
        <w:rPr>
          <w:rFonts w:ascii="Arial" w:hAnsi="Arial"/>
          <w:lang w:val="pt-BR"/>
        </w:rPr>
        <w:t>Canul et al., 2025)</w:t>
      </w:r>
      <w:r>
        <w:rPr>
          <w:rFonts w:ascii="Arial" w:hAnsi="Arial"/>
          <w:color w:val="000000"/>
          <w:lang w:val="pt-BR"/>
        </w:rPr>
        <w:t xml:space="preserve">; ângulo de hélice 60°; perfil e parâmetros de impressão dos compósitos </w:t>
      </w:r>
      <w:r>
        <w:rPr>
          <w:rFonts w:ascii="Arial" w:hAnsi="Arial"/>
          <w:lang w:val="pt-BR"/>
        </w:rPr>
        <w:t>(Colorado et al., 2024; Patel et al., 2023; Said et al., 2025)</w:t>
      </w:r>
      <w:r>
        <w:rPr>
          <w:rFonts w:ascii="Arial" w:hAnsi="Arial"/>
          <w:color w:val="000000"/>
          <w:lang w:val="pt-BR"/>
        </w:rPr>
        <w:t>).</w:t>
      </w:r>
    </w:p>
    <w:p>
      <w:pPr>
        <w:pStyle w:val="Normal"/>
        <w:pBdr>
          <w:bottom w:val="single" w:sz="6" w:space="1" w:color="000000"/>
        </w:pBdr>
        <w:spacing w:before="240" w:after="24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2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Anexo C — Fase 3: Documento de requisitos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Objetivo:</w:t>
      </w:r>
      <w:r>
        <w:rPr>
          <w:rFonts w:ascii="Arial" w:hAnsi="Arial"/>
          <w:color w:val="000000"/>
          <w:lang w:val="pt-BR"/>
        </w:rPr>
        <w:t xml:space="preserve"> registrar as decisões aerodinâmicas e a matriz de seleção de materiais com os trade-offs justificados.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Conteúdo proposto: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Tabela C.1 — Decisões aerodinâmicas (com valores de referência e justificativa)</w:t>
      </w:r>
    </w:p>
    <w:tbl>
      <w:tblPr>
        <w:tblStyle w:val="a"/>
        <w:tblW w:w="88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989"/>
        <w:gridCol w:w="2460"/>
        <w:gridCol w:w="2401"/>
      </w:tblGrid>
      <w:tr>
        <w:trPr/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Decisão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Valor/referência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Justificativa (subsídio)</w:t>
            </w:r>
          </w:p>
        </w:tc>
      </w:tr>
      <w:tr>
        <w:trPr/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Topologia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Darrieus helicoidal (pás inclinadas)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 xml:space="preserve">Reduz flutuações de força (maior vida útil); supera pás retas em potência e autopartida </w:t>
            </w:r>
            <w:r>
              <w:rPr>
                <w:rFonts w:ascii="Arial" w:hAnsi="Arial"/>
                <w:lang w:val="pt-BR"/>
              </w:rPr>
              <w:t>(Hassan et al., 2024)</w:t>
            </w:r>
          </w:p>
        </w:tc>
      </w:tr>
      <w:tr>
        <w:trPr/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Ângulo de hélice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60°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 xml:space="preserve">Aumento de potência documentado; decréscimo para ângulos maiores </w:t>
            </w:r>
            <w:r>
              <w:rPr>
                <w:rFonts w:ascii="Arial" w:hAnsi="Arial"/>
                <w:lang w:val="pt-BR"/>
              </w:rPr>
              <w:t>(Hassan et al., 2024)</w:t>
            </w:r>
          </w:p>
        </w:tc>
      </w:tr>
      <w:tr>
        <w:trPr/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Número de pás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2–5 (3 recomendado)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 xml:space="preserve">Menor N eleva C_P, mas aumenta variação de torque e reduz partida; </w:t>
            </w:r>
            <w:r>
              <w:rPr>
                <w:rFonts w:ascii="Arial" w:hAnsi="Arial"/>
                <w:color w:val="000000"/>
              </w:rPr>
              <w:t>λ</w:t>
            </w:r>
            <w:r>
              <w:rPr>
                <w:rFonts w:ascii="Arial" w:hAnsi="Arial"/>
                <w:color w:val="000000"/>
                <w:lang w:val="pt-BR"/>
              </w:rPr>
              <w:t xml:space="preserve"> no C_P máximo entre 3,5 e 5 </w:t>
            </w:r>
            <w:r>
              <w:rPr>
                <w:rFonts w:ascii="Arial" w:hAnsi="Arial"/>
                <w:lang w:val="pt-BR"/>
              </w:rPr>
              <w:t>(Díaz-Canul et al., 2025)</w:t>
            </w:r>
          </w:p>
        </w:tc>
      </w:tr>
      <w:tr>
        <w:trPr/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Perfil / σ / Ar / TSR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sdt>
              <w:sdtPr>
                <w:tag w:val="goog_rdk_1"/>
                <w:id w:val="-859417692"/>
              </w:sdtPr>
              <w:sdtContent>
                <w:r>
                  <w:rPr>
                    <w:rFonts w:eastAsia="Cardo" w:cs="Cardo" w:ascii="Arial" w:hAnsi="Arial"/>
                    <w:color w:val="000000"/>
                  </w:rPr>
                </w:r>
                <w:r>
                  <w:rPr>
                    <w:rFonts w:eastAsia="Cardo" w:cs="Cardo" w:ascii="Arial" w:hAnsi="Arial"/>
                    <w:color w:val="000000"/>
                  </w:rPr>
                  <w:t>S1046; σ = 0,3; Ar = 2,6; TSR ≈ 3,75</w:t>
                </w:r>
              </w:sdtContent>
            </w:sdt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 xml:space="preserve">Recomendação para VAWT de baixa potência; C_P máximo reportado até 0,56 </w:t>
            </w:r>
            <w:r>
              <w:rPr>
                <w:rFonts w:ascii="Arial" w:hAnsi="Arial"/>
                <w:lang w:val="pt-BR"/>
              </w:rPr>
              <w:t>(Díaz-Canul et al., 2025)</w:t>
            </w:r>
          </w:p>
        </w:tc>
      </w:tr>
    </w:tbl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Tabela C.2 — Matriz de seleção de materiais (critérios com pesos propostos pela equipe: resistência mecânica, imprimibilidade, durabilidade UV, reciclabilidade, custo)</w:t>
      </w:r>
    </w:p>
    <w:tbl>
      <w:tblPr>
        <w:tblStyle w:val="a0"/>
        <w:tblW w:w="87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240"/>
        <w:gridCol w:w="3089"/>
        <w:gridCol w:w="2416"/>
      </w:tblGrid>
      <w:tr>
        <w:trPr/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Material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Dados verificados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Indicação</w:t>
            </w:r>
          </w:p>
        </w:tc>
      </w:tr>
      <w:tr>
        <w:trPr/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ABS/CF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 xml:space="preserve">Resistência a desgaste, impacto e temperaturas elevadas; exige mesa quente; fraca adesão entre camadas; 30–40 wt% de fibra sem ganho adicional </w:t>
            </w:r>
            <w:r>
              <w:rPr>
                <w:rFonts w:ascii="Arial" w:hAnsi="Arial"/>
                <w:lang w:val="pt-BR"/>
              </w:rPr>
              <w:t>(Patel et al., 2023)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Interior/protótipo (custo)</w:t>
            </w:r>
          </w:p>
        </w:tc>
      </w:tr>
      <w:tr>
        <w:trPr/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ASA/CF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 xml:space="preserve">Herda o ABS; resistente a UV; mesa 90–120 °C </w:t>
            </w:r>
            <w:r>
              <w:rPr>
                <w:rFonts w:ascii="Arial" w:hAnsi="Arial"/>
                <w:lang w:val="pt-BR"/>
              </w:rPr>
              <w:t>(Patel et al., 2023)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Instalação ao ar livre (sol)</w:t>
            </w:r>
          </w:p>
        </w:tc>
      </w:tr>
      <w:tr>
        <w:trPr/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PLA/CF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 xml:space="preserve">Biodegradável, fonte renovável; 15 wt% melhora propriedades e estabilidade dimensional </w:t>
            </w:r>
            <w:r>
              <w:rPr>
                <w:rFonts w:ascii="Arial" w:hAnsi="Arial"/>
                <w:lang w:val="pt-BR"/>
              </w:rPr>
              <w:t>(Said et al., 2025)</w:t>
            </w:r>
            <w:r>
              <w:rPr>
                <w:rFonts w:ascii="Arial" w:hAnsi="Arial"/>
                <w:color w:val="000000"/>
                <w:lang w:val="pt-BR"/>
              </w:rPr>
              <w:t xml:space="preserve">; impressão facilitada (bico 210 °C, mesa 60 °C, camada 0,3 mm, 50 mm/s) </w:t>
            </w:r>
            <w:r>
              <w:rPr>
                <w:rFonts w:ascii="Arial" w:hAnsi="Arial"/>
                <w:lang w:val="pt-BR"/>
              </w:rPr>
              <w:t>(Said et al., 2025)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Protótipo educativo</w:t>
            </w:r>
          </w:p>
        </w:tc>
      </w:tr>
      <w:tr>
        <w:trPr/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PETG/CF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 xml:space="preserve">Um dos filamentos mais fortes para FDM; termoplástico 100% reciclável (desmontagem, moagem, refundição) </w:t>
            </w:r>
            <w:r>
              <w:rPr>
                <w:rFonts w:ascii="Arial" w:hAnsi="Arial"/>
                <w:lang w:val="pt-BR"/>
              </w:rPr>
              <w:t>(Colorado et al., 2024)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Instalação + economia circular</w:t>
            </w:r>
          </w:p>
        </w:tc>
      </w:tr>
    </w:tbl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Subsídios transversais:</w:t>
      </w:r>
      <w:sdt>
        <w:sdtPr>
          <w:tag w:val="goog_rdk_2"/>
          <w:id w:val="805268681"/>
        </w:sdtPr>
        <w:sdtContent>
          <w:r>
            <w:rPr>
              <w:rFonts w:ascii="Arial" w:hAnsi="Arial"/>
              <w:b/>
              <w:bCs/>
              <w:color w:val="000000"/>
              <w:lang w:val="pt-BR"/>
            </w:rPr>
          </w:r>
          <w:r>
            <w:rPr>
              <w:rFonts w:eastAsia="Cardo" w:cs="Cardo" w:ascii="Arial" w:hAnsi="Arial"/>
              <w:color w:val="000000"/>
              <w:lang w:val="pt-BR"/>
            </w:rPr>
            <w:t xml:space="preserve"> teor ótimo de fibra próximo de 15 wt% — em PP reciclado, a resistência do filamento sobe de 31,79 MPa para 80,14 MPa a 15 wt% e declina para 59,85 MPa a 25 wt% (aglomeração e vazios), padrão reproduzido em corpos impressos (23,30 → 38,54 MPa) e na flexão (+143,7%) </w:t>
          </w:r>
        </w:sdtContent>
      </w:sdt>
      <w:r>
        <w:rPr>
          <w:rFonts w:ascii="Arial" w:hAnsi="Arial"/>
          <w:lang w:val="pt-BR"/>
        </w:rPr>
        <w:t>(</w:t>
      </w:r>
      <w:r>
        <w:rPr>
          <w:rFonts w:ascii="Arial" w:hAnsi="Arial"/>
          <w:lang w:val="pt-BR"/>
        </w:rPr>
        <w:t>Ghabezi et al., 2024)</w:t>
      </w:r>
      <w:r>
        <w:rPr>
          <w:rFonts w:ascii="Arial" w:hAnsi="Arial"/>
          <w:color w:val="000000"/>
          <w:lang w:val="pt-BR"/>
        </w:rPr>
        <w:t xml:space="preserve">; evitar frações acima de 30 wt% em FDM </w:t>
      </w:r>
      <w:r>
        <w:rPr>
          <w:rFonts w:ascii="Arial" w:hAnsi="Arial"/>
          <w:lang w:val="pt-BR"/>
        </w:rPr>
        <w:t>(Patel et al., 2023)</w:t>
      </w:r>
      <w:r>
        <w:rPr>
          <w:rFonts w:ascii="Arial" w:hAnsi="Arial"/>
          <w:color w:val="000000"/>
          <w:lang w:val="pt-BR"/>
        </w:rPr>
        <w:t xml:space="preserve">; rotas circulares com PP reciclado e CF de descarte </w:t>
      </w:r>
      <w:r>
        <w:rPr>
          <w:rFonts w:ascii="Arial" w:hAnsi="Arial"/>
          <w:lang w:val="pt-BR"/>
        </w:rPr>
        <w:t>(Ghabezi et al., 2024)</w:t>
      </w:r>
      <w:r>
        <w:rPr>
          <w:rFonts w:ascii="Arial" w:hAnsi="Arial"/>
          <w:color w:val="000000"/>
          <w:lang w:val="pt-BR"/>
        </w:rPr>
        <w:t xml:space="preserve"> e reciclagem mecânica de pás eólicas </w:t>
      </w:r>
      <w:r>
        <w:rPr>
          <w:rFonts w:ascii="Arial" w:hAnsi="Arial"/>
          <w:lang w:val="pt-BR"/>
        </w:rPr>
        <w:t>(Ezhilan et al., 2024)</w:t>
      </w:r>
      <w:r>
        <w:rPr>
          <w:rFonts w:ascii="Arial" w:hAnsi="Arial"/>
          <w:color w:val="000000"/>
          <w:lang w:val="pt-BR"/>
        </w:rPr>
        <w:t>.</w:t>
      </w:r>
    </w:p>
    <w:p>
      <w:pPr>
        <w:pStyle w:val="Normal"/>
        <w:pBdr>
          <w:bottom w:val="single" w:sz="6" w:space="1" w:color="000000"/>
        </w:pBdr>
        <w:spacing w:before="240" w:after="24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2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Anexo D — Fase 4: Código e documentação técnica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Objetivo:</w:t>
      </w:r>
      <w:r>
        <w:rPr>
          <w:rFonts w:ascii="Arial" w:hAnsi="Arial"/>
          <w:color w:val="000000"/>
          <w:lang w:val="pt-BR"/>
        </w:rPr>
        <w:t xml:space="preserve"> especificar o modelo matemático em Python (determinação de potência, solidez, corda, diâmetro, área varrida e rotação) e a documentação técnica para replicação.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</w:rPr>
        <w:t>Conteúdo proposto:</w:t>
      </w:r>
    </w:p>
    <w:p>
      <w:pPr>
        <w:pStyle w:val="Normal"/>
        <w:numPr>
          <w:ilvl w:val="0"/>
          <w:numId w:val="8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Especificação do modelo</w:t>
      </w:r>
      <w:r>
        <w:rPr>
          <w:rFonts w:ascii="Arial" w:hAnsi="Arial"/>
          <w:color w:val="000000"/>
          <w:lang w:val="pt-BR"/>
        </w:rPr>
        <w:t xml:space="preserve"> — entradas: potência-alvo P, velocidade de projeto U, massa específica do ar </w:t>
      </w:r>
      <w:r>
        <w:rPr>
          <w:rFonts w:ascii="Arial" w:hAnsi="Arial"/>
          <w:color w:val="000000"/>
        </w:rPr>
        <w:t>ρ</w:t>
      </w:r>
      <w:r>
        <w:rPr>
          <w:rFonts w:ascii="Arial" w:hAnsi="Arial"/>
          <w:color w:val="000000"/>
          <w:lang w:val="pt-BR"/>
        </w:rPr>
        <w:t xml:space="preserve">, perfil aerodinâmico, número de pás N, </w:t>
      </w:r>
      <w:r>
        <w:rPr>
          <w:rFonts w:ascii="Arial" w:hAnsi="Arial"/>
          <w:color w:val="000000"/>
        </w:rPr>
        <w:t>λ</w:t>
      </w:r>
      <w:r>
        <w:rPr>
          <w:rFonts w:ascii="Arial" w:hAnsi="Arial"/>
          <w:color w:val="000000"/>
          <w:lang w:val="pt-BR"/>
        </w:rPr>
        <w:t xml:space="preserve"> de operação; equações consolidadas (Wilhelm et al., 2017):</w:t>
      </w:r>
    </w:p>
    <w:p>
      <w:pPr>
        <w:pStyle w:val="Normal"/>
        <w:numPr>
          <w:ilvl w:val="1"/>
          <w:numId w:val="1"/>
        </w:numPr>
        <w:pBdr/>
        <w:jc w:val="both"/>
        <w:rPr>
          <w:rFonts w:ascii="Arial" w:hAnsi="Arial"/>
        </w:rPr>
      </w:pPr>
      <w:sdt>
        <w:sdtPr>
          <w:tag w:val="goog_rdk_3"/>
          <w:id w:val="638031218"/>
        </w:sdtPr>
        <w:sdtContent>
          <w:r>
            <w:rPr>
              <w:rFonts w:eastAsia="Cardo" w:cs="Cardo" w:ascii="Arial" w:hAnsi="Arial"/>
              <w:color w:val="000000"/>
              <w:lang w:val="pt-BR"/>
            </w:rPr>
          </w:r>
          <w:r>
            <w:rPr>
              <w:rFonts w:eastAsia="Cardo" w:cs="Cardo" w:ascii="Arial" w:hAnsi="Arial"/>
              <w:color w:val="000000"/>
              <w:lang w:val="pt-BR"/>
            </w:rPr>
            <w:t xml:space="preserve"> → </w:t>
          </w:r>
          <w:r>
            <w:rPr>
              <w:rFonts w:eastAsia="Cardo" w:cs="Cardo" w:ascii="Arial" w:hAnsi="Arial"/>
              <w:color w:val="000000"/>
              <w:lang w:val="pt-BR"/>
            </w:rPr>
            <w:t xml:space="preserve">área varrida </w:t>
          </w:r>
        </w:sdtContent>
      </w:sdt>
      <w:r>
        <w:rPr>
          <w:rFonts w:ascii="Arial" w:hAnsi="Arial"/>
          <w:color w:val="000000"/>
          <w:lang w:val="pt-BR"/>
        </w:rPr>
        <w:t>;</w:t>
      </w:r>
    </w:p>
    <w:p>
      <w:pPr>
        <w:pStyle w:val="Normal"/>
        <w:numPr>
          <w:ilvl w:val="1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 xml:space="preserve">razão de aspecto  com </w:t>
      </w:r>
      <w:sdt>
        <w:sdtPr>
          <w:tag w:val="goog_rdk_4"/>
          <w:id w:val="1177927187"/>
        </w:sdtPr>
        <w:sdtContent>
          <w:r>
            <w:rPr>
              <w:rFonts w:ascii="Arial" w:hAnsi="Arial"/>
              <w:color w:val="000000"/>
              <w:lang w:val="pt-BR"/>
            </w:rPr>
          </w:r>
          <w:r>
            <w:rPr>
              <w:rFonts w:eastAsia="Cardo" w:cs="Cardo" w:ascii="Arial" w:hAnsi="Arial"/>
              <w:color w:val="000000"/>
              <w:lang w:val="pt-BR"/>
            </w:rPr>
            <w:t xml:space="preserve"> → </w:t>
          </w:r>
        </w:sdtContent>
      </w:sdt>
      <w:r>
        <w:rPr>
          <w:rFonts w:ascii="Arial" w:hAnsi="Arial"/>
          <w:color w:val="000000"/>
          <w:lang w:val="pt-BR"/>
        </w:rPr>
        <w:t xml:space="preserve"> e </w:t>
      </w:r>
      <w:r>
        <w:rPr>
          <w:rFonts w:ascii="Arial" w:hAnsi="Arial"/>
          <w:color w:val="000000"/>
          <w:lang w:val="pt-BR"/>
        </w:rPr>
        <w:t>;</w:t>
      </w:r>
    </w:p>
    <w:p>
      <w:pPr>
        <w:pStyle w:val="Normal"/>
        <w:numPr>
          <w:ilvl w:val="1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 xml:space="preserve">solidez </w:t>
      </w:r>
      <w:sdt>
        <w:sdtPr>
          <w:tag w:val="goog_rdk_5"/>
          <w:id w:val="631460134"/>
        </w:sdtPr>
        <w:sdtContent>
          <w:r>
            <w:rPr>
              <w:rFonts w:ascii="Arial" w:hAnsi="Arial"/>
              <w:color w:val="000000"/>
              <w:lang w:val="pt-BR"/>
            </w:rPr>
          </w:r>
          <w:r>
            <w:rPr>
              <w:rFonts w:eastAsia="Cardo" w:cs="Cardo" w:ascii="Arial" w:hAnsi="Arial"/>
              <w:color w:val="000000"/>
              <w:lang w:val="pt-BR"/>
            </w:rPr>
            <w:t xml:space="preserve"> → corda </w:t>
          </w:r>
        </w:sdtContent>
      </w:sdt>
      <w:r>
        <w:rPr>
          <w:rFonts w:ascii="Arial" w:hAnsi="Arial"/>
          <w:color w:val="000000"/>
          <w:lang w:val="pt-BR"/>
        </w:rPr>
        <w:t>;</w:t>
      </w:r>
    </w:p>
    <w:p>
      <w:pPr>
        <w:pStyle w:val="Normal"/>
        <w:numPr>
          <w:ilvl w:val="1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 xml:space="preserve">razão de velocidade de ponta </w:t>
      </w:r>
      <w:sdt>
        <w:sdtPr>
          <w:tag w:val="goog_rdk_6"/>
          <w:id w:val="-93202359"/>
        </w:sdtPr>
        <w:sdtContent>
          <w:r>
            <w:rPr>
              <w:rFonts w:ascii="Arial" w:hAnsi="Arial"/>
              <w:color w:val="000000"/>
              <w:lang w:val="pt-BR"/>
            </w:rPr>
          </w:r>
          <w:r>
            <w:rPr>
              <w:rFonts w:eastAsia="Cardo" w:cs="Cardo" w:ascii="Arial" w:hAnsi="Arial"/>
              <w:color w:val="000000"/>
              <w:lang w:val="pt-BR"/>
            </w:rPr>
            <w:t xml:space="preserve"> → rotação </w:t>
          </w:r>
        </w:sdtContent>
      </w:sdt>
      <w:r>
        <w:rPr>
          <w:rFonts w:ascii="Arial" w:hAnsi="Arial"/>
          <w:color w:val="000000"/>
          <w:lang w:val="pt-BR"/>
        </w:rPr>
        <w:t>.</w:t>
      </w:r>
    </w:p>
    <w:p>
      <w:pPr>
        <w:pStyle w:val="Normal"/>
        <w:numPr>
          <w:ilvl w:val="0"/>
          <w:numId w:val="8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Estrutura do código</w:t>
      </w:r>
      <w:r>
        <w:rPr>
          <w:rFonts w:ascii="Arial" w:hAnsi="Arial"/>
          <w:color w:val="000000"/>
          <w:lang w:val="pt-BR"/>
        </w:rPr>
        <w:t>: módulos de entrada de parâmetros, cálculo geométrico, cálculo de potência/energia e geração de relatório (tabela de parâmetros + gráficos curva C_P–</w:t>
      </w:r>
      <w:r>
        <w:rPr>
          <w:rFonts w:ascii="Arial" w:hAnsi="Arial"/>
          <w:color w:val="000000"/>
        </w:rPr>
        <w:t>λ</w:t>
      </w:r>
      <w:r>
        <w:rPr>
          <w:rFonts w:ascii="Arial" w:hAnsi="Arial"/>
          <w:color w:val="000000"/>
          <w:lang w:val="pt-BR"/>
        </w:rPr>
        <w:t xml:space="preserve"> e P–U).</w:t>
      </w:r>
    </w:p>
    <w:p>
      <w:pPr>
        <w:pStyle w:val="Normal"/>
        <w:numPr>
          <w:ilvl w:val="0"/>
          <w:numId w:val="8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Documentação técnica</w:t>
      </w:r>
      <w:r>
        <w:rPr>
          <w:rFonts w:ascii="Arial" w:hAnsi="Arial"/>
          <w:color w:val="000000"/>
          <w:lang w:val="pt-BR"/>
        </w:rPr>
        <w:t>: lista de materiais, desenhos paramétricos (referência ao Anexo E), cronograma e registro de versões.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Subsídios:</w:t>
      </w:r>
      <w:r>
        <w:rPr>
          <w:rFonts w:ascii="Arial" w:hAnsi="Arial"/>
          <w:color w:val="000000"/>
          <w:lang w:val="pt-BR"/>
        </w:rPr>
        <w:t xml:space="preserve"> manter rastreabilidade total das constantes e equações nas fontes </w:t>
      </w:r>
      <w:r>
        <w:rPr>
          <w:rFonts w:ascii="Arial" w:hAnsi="Arial"/>
          <w:lang w:val="pt-BR"/>
        </w:rPr>
        <w:t>(Díaz-Canul et al., 2025; Hassan et al., 2024)</w:t>
      </w:r>
      <w:r>
        <w:rPr>
          <w:rFonts w:ascii="Arial" w:hAnsi="Arial"/>
          <w:color w:val="000000"/>
          <w:lang w:val="pt-BR"/>
        </w:rPr>
        <w:t>; a saída do modelo define os parâmetros que parametrizam o CAD da Fase 5 e o DOE da Fase 6.</w:t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</w:rPr>
      </w:pPr>
      <w:sdt>
        <w:sdtPr>
          <w:tag w:val="goog_rdk_7"/>
          <w:id w:val="48540201"/>
        </w:sdtPr>
        <w:sdtContent>
          <w:r>
            <w:rPr>
              <w:rFonts w:eastAsia="Cardo" w:cs="Cardo" w:ascii="Arial" w:hAnsi="Arial"/>
              <w:color w:val="000000"/>
              <w:lang w:val="pt-BR"/>
            </w:rPr>
          </w:r>
          <w:r>
            <w:rPr>
              <w:rFonts w:eastAsia="Cardo" w:cs="Cardo" w:ascii="Arial" w:hAnsi="Arial"/>
              <w:color w:val="000000"/>
              <w:lang w:val="pt-BR"/>
            </w:rPr>
            <w:t xml:space="preserve">com os valores verificados nas fontes — perfil S1046, </w:t>
          </w:r>
          <w:r>
            <w:rPr>
              <w:rFonts w:eastAsia="Cardo" w:cs="Cardo" w:ascii="Arial" w:hAnsi="Arial"/>
              <w:color w:val="000000"/>
            </w:rPr>
            <w:t>σ</w:t>
          </w:r>
          <w:r>
            <w:rPr>
              <w:rFonts w:eastAsia="Cardo" w:cs="Cardo" w:ascii="Arial" w:hAnsi="Arial"/>
              <w:color w:val="000000"/>
              <w:lang w:val="pt-BR"/>
            </w:rPr>
            <w:t xml:space="preserve"> = 0,3, Ar = 2,6 e TSR ≈ 3,75 como recomendação paramétrica para VAWT de baixa potência </w:t>
          </w:r>
        </w:sdtContent>
      </w:sdt>
      <w:r>
        <w:rPr>
          <w:rFonts w:ascii="Arial" w:hAnsi="Arial"/>
          <w:lang w:val="pt-BR"/>
        </w:rPr>
        <w:t>(Díaz-</w:t>
      </w:r>
      <w:r>
        <w:rPr>
          <w:rFonts w:ascii="Arial" w:hAnsi="Arial"/>
          <w:lang w:val="pt-BR"/>
        </w:rPr>
        <w:t>Canul et al., 2025)</w:t>
      </w:r>
      <w:r>
        <w:rPr>
          <w:rFonts w:ascii="Arial" w:hAnsi="Arial"/>
          <w:color w:val="000000"/>
          <w:lang w:val="pt-BR"/>
        </w:rPr>
        <w:t xml:space="preserve">, a redução de flutuações e o ganho de potência/autopartida da configuração helicoidal (ângulo de hélice de 60°, com decréscimo além disso) </w:t>
      </w:r>
      <w:r>
        <w:rPr>
          <w:rFonts w:ascii="Arial" w:hAnsi="Arial"/>
          <w:lang w:val="pt-BR"/>
        </w:rPr>
        <w:t>(Hassan et al., 2024)</w:t>
      </w:r>
      <w:sdt>
        <w:sdtPr>
          <w:tag w:val="goog_rdk_8"/>
          <w:id w:val="240512222"/>
        </w:sdtPr>
        <w:sdtContent>
          <w:r>
            <w:rPr>
              <w:rFonts w:ascii="Arial" w:hAnsi="Arial"/>
              <w:lang w:val="pt-BR"/>
            </w:rPr>
          </w:r>
          <w:r>
            <w:rPr>
              <w:rFonts w:eastAsia="Cardo" w:cs="Cardo" w:ascii="Arial" w:hAnsi="Arial"/>
              <w:color w:val="000000"/>
              <w:lang w:val="pt-BR"/>
            </w:rPr>
            <w:t xml:space="preserve">, e os benchmarks de microturbina SD7080 em PLA (100 W; partida a 2 m/s → 264 rpm e ~10 W; metade da potência nominal a 8 m/s → 1116 rpm; potência nominal a 12 m/s → 1640 rpm) </w:t>
          </w:r>
        </w:sdtContent>
      </w:sdt>
      <w:r>
        <w:rPr>
          <w:rFonts w:ascii="Arial" w:hAnsi="Arial"/>
          <w:lang w:val="pt-BR"/>
        </w:rPr>
        <w:t>(</w:t>
      </w:r>
      <w:r>
        <w:rPr>
          <w:rFonts w:ascii="Arial" w:hAnsi="Arial"/>
          <w:lang w:val="pt-BR"/>
        </w:rPr>
        <w:t>Suresh et al., 2024)</w:t>
      </w:r>
      <w:r>
        <w:rPr>
          <w:rFonts w:ascii="Arial" w:hAnsi="Arial"/>
          <w:color w:val="000000"/>
          <w:lang w:val="pt-BR"/>
        </w:rPr>
        <w:t xml:space="preserve"> — segue o código Python da </w:t>
      </w:r>
      <w:r>
        <w:rPr>
          <w:rFonts w:ascii="Arial" w:hAnsi="Arial"/>
          <w:b/>
          <w:bCs/>
          <w:color w:val="000000"/>
          <w:lang w:val="pt-BR"/>
        </w:rPr>
        <w:t>Fase 4 — Síntese</w:t>
      </w:r>
      <w:r>
        <w:rPr>
          <w:rFonts w:ascii="Arial" w:hAnsi="Arial"/>
          <w:color w:val="000000"/>
          <w:lang w:val="pt-BR"/>
        </w:rPr>
        <w:t>. Ele implementa o modelo matemático descrito no Anexo D: dado o requisito de carga e o vento do sítio, determina área varrida, diâmetro, altura, corda e rotação, gera a curva de potência, estima a energia anual (com distribuição de Weibull ou dados medidos) e valida a consistência dos resultados contra os benchmarks de literatura. O código está disponível no repositório.</w:t>
      </w:r>
    </w:p>
    <w:p>
      <w:pPr>
        <w:pStyle w:val="Normal"/>
        <w:jc w:val="both"/>
        <w:rPr>
          <w:rFonts w:ascii="Arial" w:hAnsi="Arial"/>
          <w:b/>
          <w:bCs/>
          <w:color w:val="000000"/>
          <w:lang w:val="pt-BR"/>
        </w:rPr>
      </w:pPr>
      <w:r>
        <w:rPr>
          <w:rFonts w:ascii="Arial" w:hAnsi="Arial"/>
          <w:b/>
          <w:bCs/>
          <w:color w:val="000000"/>
          <w:lang w:val="pt-BR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Estrutura do código (alinhada ao Anexo D):</w:t>
      </w:r>
    </w:p>
    <w:p>
      <w:pPr>
        <w:pStyle w:val="Normal"/>
        <w:numPr>
          <w:ilvl w:val="0"/>
          <w:numId w:val="9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Módulo de entrada</w:t>
      </w:r>
      <w:sdt>
        <w:sdtPr>
          <w:tag w:val="goog_rdk_9"/>
          <w:id w:val="-174139881"/>
        </w:sdtPr>
        <w:sdtContent>
          <w:r>
            <w:rPr>
              <w:rFonts w:ascii="Arial" w:hAnsi="Arial"/>
              <w:b/>
              <w:bCs/>
              <w:color w:val="000000"/>
              <w:lang w:val="pt-BR"/>
            </w:rPr>
          </w:r>
          <w:r>
            <w:rPr>
              <w:rFonts w:eastAsia="Cardo" w:cs="Cardo" w:ascii="Arial" w:hAnsi="Arial"/>
              <w:color w:val="000000"/>
              <w:lang w:val="pt-BR"/>
            </w:rPr>
            <w:t xml:space="preserve"> — dataclass ConfiguracaoTurbina com os valores-padrão recomendados na literatura: perfil S1046, </w:t>
          </w:r>
          <w:r>
            <w:rPr>
              <w:rFonts w:eastAsia="Cardo" w:cs="Cardo" w:ascii="Arial" w:hAnsi="Arial"/>
              <w:color w:val="000000"/>
            </w:rPr>
            <w:t>σ</w:t>
          </w:r>
          <w:r>
            <w:rPr>
              <w:rFonts w:eastAsia="Cardo" w:cs="Cardo" w:ascii="Arial" w:hAnsi="Arial"/>
              <w:color w:val="000000"/>
              <w:lang w:val="pt-BR"/>
            </w:rPr>
            <w:t xml:space="preserve"> = 0,3, Ar = 2,6, TSR ≈ 3,75, 3 pás e hélice de 60° (Díaz-Canul et al., 2025; Hassan et al., 2024). O Weibull (k, c) e a série medida ficam marcados como campos a preencher com a anemometria da Fase 2.</w:t>
          </w:r>
        </w:sdtContent>
      </w:sdt>
    </w:p>
    <w:p>
      <w:pPr>
        <w:pStyle w:val="Normal"/>
        <w:numPr>
          <w:ilvl w:val="0"/>
          <w:numId w:val="9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Módulo geométrico</w:t>
      </w:r>
      <w:r>
        <w:rPr>
          <w:rFonts w:ascii="Arial" w:hAnsi="Arial"/>
          <w:color w:val="000000"/>
          <w:lang w:val="pt-BR"/>
        </w:rPr>
        <w:t xml:space="preserve"> — implementa exatamente as três equações do Anexo D: ,  com H = Ar·D, e , além da rotação por .</w:t>
      </w:r>
    </w:p>
    <w:p>
      <w:pPr>
        <w:pStyle w:val="Normal"/>
        <w:numPr>
          <w:ilvl w:val="0"/>
          <w:numId w:val="9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Módulo de potência/energia</w:t>
      </w:r>
      <w:r>
        <w:rPr>
          <w:rFonts w:ascii="Arial" w:hAnsi="Arial"/>
          <w:color w:val="000000"/>
          <w:lang w:val="pt-BR"/>
        </w:rPr>
        <w:t xml:space="preserve"> — curva P(U) com cut-in/cut-out parametrizáveis e energia anual por série medida ou integração numérica da distribuição de Weibull sobre 8760 h.</w:t>
      </w:r>
    </w:p>
    <w:p>
      <w:pPr>
        <w:pStyle w:val="Normal"/>
        <w:numPr>
          <w:ilvl w:val="0"/>
          <w:numId w:val="9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Módulo de validação</w:t>
      </w:r>
      <w:r>
        <w:rPr>
          <w:rFonts w:ascii="Arial" w:hAnsi="Arial"/>
          <w:color w:val="000000"/>
          <w:lang w:val="pt-BR"/>
        </w:rPr>
        <w:t xml:space="preserve"> — compara a configuração com os benchmarks publicados: os limites de Betz, a faixa de C_P reportada (0,38–0,44; máx. ~0,48) (Díaz-Canul et al., 2025), a solidez ótima (0,2–0,3) (Díaz-Canul et al., 2025), a microturbina SD7080 de 100 W (264/1116/1640 rpm a 2/8/12 m/s) (Suresh et al., 2024) e o C_P de 0,21 da H-Darrieus de laboratório em PETG/CF (Colorado et al., 2024).</w:t>
      </w:r>
    </w:p>
    <w:p>
      <w:pPr>
        <w:pStyle w:val="Normal"/>
        <w:numPr>
          <w:ilvl w:val="0"/>
          <w:numId w:val="9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Módulo de relatório</w:t>
      </w:r>
      <w:r>
        <w:rPr>
          <w:rFonts w:ascii="Arial" w:hAnsi="Arial"/>
          <w:color w:val="000000"/>
          <w:lang w:val="pt-BR"/>
        </w:rPr>
        <w:t xml:space="preserve"> — tabela de parâmetros formatada para o Anexo D e gráficos opcionais (P–U e envelope indicativo de C_P–</w:t>
      </w:r>
      <w:r>
        <w:rPr>
          <w:rFonts w:ascii="Arial" w:hAnsi="Arial"/>
          <w:color w:val="000000"/>
        </w:rPr>
        <w:t>λ</w:t>
      </w:r>
      <w:r>
        <w:rPr>
          <w:rFonts w:ascii="Arial" w:hAnsi="Arial"/>
          <w:color w:val="000000"/>
          <w:lang w:val="pt-BR"/>
        </w:rPr>
        <w:t>).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O script roda sem dependências obrigatórias além da biblioteca padrão (matplotlib é opcional). As saídas já instruem o usuário sobre os campos que dependem da medição real do sítio — nenhum valor foi inventado; todas as constantes rastreiam as fontes citadas. Se quiser, no próximo passo gero o modelo paramétrico OpenSCAD da Fase 5 (pá helicoidal com ângulo de hélice parametrizável), que consome diretamente os valores de saída deste código (corda, raio, altura e ângulo).</w:t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pBdr>
          <w:bottom w:val="single" w:sz="6" w:space="1" w:color="000000"/>
        </w:pBdr>
        <w:spacing w:before="240" w:after="24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2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Anexo E — Fase 5: Modelo CAD validado e especificação do PMSG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Objetivo:</w:t>
      </w:r>
      <w:r>
        <w:rPr>
          <w:rFonts w:ascii="Arial" w:hAnsi="Arial"/>
          <w:color w:val="000000"/>
          <w:lang w:val="pt-BR"/>
        </w:rPr>
        <w:t xml:space="preserve"> roteirizar a modelagem 3D paramétrica da pá helicoidal, a análise estrutural/modal e o dimensionamento do gerador.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</w:rPr>
        <w:t>Conteúdo proposto:</w:t>
      </w:r>
    </w:p>
    <w:p>
      <w:pPr>
        <w:pStyle w:val="Normal"/>
        <w:numPr>
          <w:ilvl w:val="0"/>
          <w:numId w:val="10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Checklist de modelagem paramétrica</w:t>
      </w:r>
      <w:r>
        <w:rPr>
          <w:rFonts w:ascii="Arial" w:hAnsi="Arial"/>
          <w:color w:val="000000"/>
          <w:lang w:val="pt-BR"/>
        </w:rPr>
        <w:t xml:space="preserve">: geração da pá por varredura do perfil ao longo da altura com torção (ângulo de hélice de 60° (Hassan et al., 2024)); parametrização das variáveis (corda c, raio R, altura H, ângulo de hélice </w:t>
      </w:r>
      <w:r>
        <w:rPr>
          <w:rFonts w:ascii="Arial" w:hAnsi="Arial"/>
          <w:color w:val="000000"/>
        </w:rPr>
        <w:t>θ</w:t>
      </w:r>
      <w:r>
        <w:rPr>
          <w:rFonts w:ascii="Arial" w:hAnsi="Arial"/>
          <w:color w:val="000000"/>
          <w:lang w:val="pt-BR"/>
        </w:rPr>
        <w:t>, número de pás N); divisão da pá em regiões funcionais — encaixe cilíndrico, corpo torcido e ponta — para simplificar o processamento CAE e a impressão (Rouway et al., 2021, p. 1309).</w:t>
      </w:r>
    </w:p>
    <w:p>
      <w:pPr>
        <w:pStyle w:val="Normal"/>
        <w:numPr>
          <w:ilvl w:val="0"/>
          <w:numId w:val="10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Procedimento de análise estrutural e modal</w:t>
      </w:r>
      <w:r>
        <w:rPr>
          <w:rFonts w:ascii="Arial" w:hAnsi="Arial"/>
          <w:color w:val="000000"/>
          <w:lang w:val="pt-BR"/>
        </w:rPr>
        <w:t>: aplicação de cargas aerodinâmicas (derivadas do Anexo D), verificação de tensões e deformações, extração de frequências naturais e checagem de risco de ressonância com a rotação de operação; simulação termomecânica do processo FFF (deflexão, tensões residuais e empenamento) (Rouway et al., 2021, p. 1309), para prever defeitos antes da fabricação.</w:t>
      </w:r>
    </w:p>
    <w:p>
      <w:pPr>
        <w:pStyle w:val="Normal"/>
        <w:numPr>
          <w:ilvl w:val="0"/>
          <w:numId w:val="10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Ficha de especificação do PMSG</w:t>
      </w:r>
      <w:r>
        <w:rPr>
          <w:rFonts w:ascii="Arial" w:hAnsi="Arial"/>
          <w:color w:val="000000"/>
          <w:lang w:val="pt-BR"/>
        </w:rPr>
        <w:t xml:space="preserve">: requisitos (potência nominal, tensão de saída, faixa de rotação) derivados do Anexo D; benchmark educacional validado: gerador axial </w:t>
      </w:r>
      <w:r>
        <w:rPr>
          <w:rFonts w:ascii="Arial" w:hAnsi="Arial"/>
          <w:i/>
          <w:iCs/>
          <w:color w:val="000000"/>
          <w:lang w:val="pt-BR"/>
        </w:rPr>
        <w:t>coreless</w:t>
      </w:r>
      <w:r>
        <w:rPr>
          <w:rFonts w:ascii="Arial" w:hAnsi="Arial"/>
          <w:color w:val="000000"/>
          <w:lang w:val="pt-BR"/>
        </w:rPr>
        <w:t xml:space="preserve"> que produziu 10,73 W a ~80 rpm, projetado para 1 kW, com desempenho 35% superior ao gerador convencional (Khan et al., 2023); abordagem PBL com IA para diagnóstico de falhas e geração em velocidade mínima como referência de instrumentação (Khan et al., 2023).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Entregável:</w:t>
      </w:r>
      <w:r>
        <w:rPr>
          <w:rFonts w:ascii="Arial" w:hAnsi="Arial"/>
          <w:color w:val="000000"/>
          <w:lang w:val="pt-BR"/>
        </w:rPr>
        <w:t xml:space="preserve"> modelo CAD validado por simulação + laudo estrutural/modal + ficha técnica do PMSG.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 xml:space="preserve">modelo paramétrico OpenSCAD da </w:t>
      </w:r>
      <w:r>
        <w:rPr>
          <w:rFonts w:ascii="Arial" w:hAnsi="Arial"/>
          <w:b/>
          <w:bCs/>
          <w:color w:val="000000"/>
          <w:lang w:val="pt-BR"/>
        </w:rPr>
        <w:t>Fase 5 — Projeto</w:t>
      </w:r>
      <w:r>
        <w:rPr>
          <w:rFonts w:ascii="Arial" w:hAnsi="Arial"/>
          <w:color w:val="000000"/>
          <w:lang w:val="pt-BR"/>
        </w:rPr>
        <w:t xml:space="preserve">, que consome diretamente as saídas do script Python da Fase 4 (raio, altura e corda do rotor) e incorpora os parâmetros da literatura: o método paramétrico para VAWT de baixa potência </w:t>
      </w:r>
      <w:r>
        <w:rPr>
          <w:rFonts w:ascii="Arial" w:hAnsi="Arial"/>
          <w:lang w:val="pt-BR"/>
        </w:rPr>
        <w:t>(Díaz-Canul et al., 2025)</w:t>
      </w:r>
      <w:r>
        <w:rPr>
          <w:rFonts w:ascii="Arial" w:hAnsi="Arial"/>
          <w:color w:val="000000"/>
          <w:lang w:val="pt-BR"/>
        </w:rPr>
        <w:t xml:space="preserve">, a configuração de pás helicoidais com ângulo de hélice parametrizado </w:t>
      </w:r>
      <w:r>
        <w:rPr>
          <w:rFonts w:ascii="Arial" w:hAnsi="Arial"/>
          <w:lang w:val="pt-BR"/>
        </w:rPr>
        <w:t>(Hassan et al., 2024)</w:t>
      </w:r>
      <w:r>
        <w:rPr>
          <w:rFonts w:ascii="Arial" w:hAnsi="Arial"/>
          <w:color w:val="000000"/>
          <w:lang w:val="pt-BR"/>
        </w:rPr>
        <w:t xml:space="preserve"> e a divisão da pá em regiões funcionais (encaixe cilíndrico, corpo torcido e ponta) adotada em pás impressas </w:t>
      </w:r>
      <w:r>
        <w:rPr>
          <w:rFonts w:ascii="Arial" w:hAnsi="Arial"/>
          <w:lang w:val="pt-BR"/>
        </w:rPr>
        <w:t>(Rouway et al., 2021)</w:t>
      </w:r>
      <w:r>
        <w:rPr>
          <w:rFonts w:ascii="Arial" w:hAnsi="Arial"/>
          <w:color w:val="000000"/>
          <w:lang w:val="pt-BR"/>
        </w:rPr>
        <w:t>.</w:t>
      </w:r>
    </w:p>
    <w:p>
      <w:pPr>
        <w:pStyle w:val="Normal"/>
        <w:rPr>
          <w:rFonts w:ascii="Arial" w:hAnsi="Arial"/>
          <w:b/>
          <w:bCs/>
          <w:color w:val="000000"/>
          <w:lang w:val="pt-BR"/>
        </w:rPr>
      </w:pPr>
      <w:r>
        <w:rPr>
          <w:rFonts w:ascii="Arial" w:hAnsi="Arial"/>
          <w:b/>
          <w:bCs/>
          <w:color w:val="000000"/>
          <w:lang w:val="pt-BR"/>
        </w:rPr>
      </w:r>
      <w:r>
        <w:br w:type="page"/>
      </w:r>
    </w:p>
    <w:p>
      <w:pPr>
        <w:pStyle w:val="Normal"/>
        <w:spacing w:before="0" w:after="72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Vínculo dos parâmetros com as fases anteriores:</w:t>
      </w:r>
    </w:p>
    <w:tbl>
      <w:tblPr>
        <w:tblStyle w:val="a1"/>
        <w:tblW w:w="89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184"/>
        <w:gridCol w:w="4755"/>
      </w:tblGrid>
      <w:tr>
        <w:trPr/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Parâmetro do OpenSCAD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Origem</w:t>
            </w:r>
          </w:p>
        </w:tc>
      </w:tr>
      <w:tr>
        <w:trPr/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raio_mm, altura_mm, corda_mm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Saída do código Python da Fase 4</w:t>
            </w:r>
          </w:p>
        </w:tc>
      </w:tr>
      <w:tr>
        <w:trPr/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angulo_helice_graus, sentido_helice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 xml:space="preserve">Configuração helicoidal — análise paramétrica de VAWT de pás helicoidais </w:t>
            </w:r>
            <w:r>
              <w:rPr>
                <w:rFonts w:ascii="Arial" w:hAnsi="Arial"/>
                <w:lang w:val="pt-BR"/>
              </w:rPr>
              <w:t>(Hassan et al., 2024)</w:t>
            </w:r>
          </w:p>
        </w:tc>
      </w:tr>
      <w:tr>
        <w:trPr/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 xml:space="preserve">n_pas, perfil, </w:t>
            </w:r>
            <w:r>
              <w:rPr>
                <w:rFonts w:ascii="Arial" w:hAnsi="Arial"/>
                <w:color w:val="000000"/>
              </w:rPr>
              <w:t>σ</w:t>
            </w:r>
            <w:r>
              <w:rPr>
                <w:rFonts w:ascii="Arial" w:hAnsi="Arial"/>
                <w:color w:val="000000"/>
                <w:lang w:val="pt-BR"/>
              </w:rPr>
              <w:t>, Ar, TSR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 xml:space="preserve">Recomendação paramétrica para VAWT de baixa potência </w:t>
            </w:r>
            <w:r>
              <w:rPr>
                <w:rFonts w:ascii="Arial" w:hAnsi="Arial"/>
                <w:lang w:val="pt-BR"/>
              </w:rPr>
              <w:t>(Díaz-Canul et al., 2025)</w:t>
            </w:r>
          </w:p>
        </w:tc>
      </w:tr>
      <w:tr>
        <w:trPr/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Encaixes cilíndricos + corpo torcido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 xml:space="preserve">Regiões funcionais de pás impressas </w:t>
            </w:r>
            <w:r>
              <w:rPr>
                <w:rFonts w:ascii="Arial" w:hAnsi="Arial"/>
                <w:lang w:val="pt-BR"/>
              </w:rPr>
              <w:t>(Rouway et al., 2021)</w:t>
            </w:r>
          </w:p>
        </w:tc>
      </w:tr>
    </w:tbl>
    <w:p>
      <w:pPr>
        <w:pStyle w:val="Normal"/>
        <w:pBdr/>
        <w:spacing w:before="144" w:after="60"/>
        <w:jc w:val="both"/>
        <w:rPr>
          <w:rFonts w:ascii="Arial" w:hAnsi="Arial"/>
          <w:i/>
          <w:i/>
          <w:iCs/>
          <w:color w:val="71717A"/>
          <w:lang w:val="pt-BR"/>
        </w:rPr>
      </w:pPr>
      <w:r>
        <w:rPr>
          <w:rFonts w:ascii="Arial" w:hAnsi="Arial"/>
          <w:i/>
          <w:iCs/>
          <w:color w:val="71717A"/>
          <w:lang w:val="pt-BR"/>
        </w:rPr>
      </w:r>
    </w:p>
    <w:p>
      <w:pPr>
        <w:pStyle w:val="Normal"/>
        <w:pBdr/>
        <w:spacing w:before="144" w:after="60"/>
        <w:jc w:val="both"/>
        <w:rPr>
          <w:rFonts w:ascii="Arial" w:hAnsi="Arial"/>
        </w:rPr>
      </w:pPr>
      <w:r>
        <w:rPr>
          <w:rFonts w:ascii="Arial" w:hAnsi="Arial"/>
          <w:color w:val="71717A"/>
          <w:lang w:val="pt-BR"/>
        </w:rPr>
        <w:t>Foram adicionados novos parêtros. Confira a versão atualizada neste repositório. Use em:</w:t>
      </w:r>
    </w:p>
    <w:p>
      <w:pPr>
        <w:pStyle w:val="Normal"/>
        <w:pBdr/>
        <w:spacing w:before="144" w:after="60"/>
        <w:jc w:val="both"/>
        <w:rPr/>
      </w:pPr>
      <w:hyperlink r:id="rId2">
        <w:r>
          <w:rPr>
            <w:rStyle w:val="Hyperlink"/>
            <w:rFonts w:ascii="Arial" w:hAnsi="Arial"/>
            <w:i/>
            <w:iCs/>
            <w:lang w:val="pt-BR"/>
          </w:rPr>
          <w:t>https://ochafik.com/openscad2/</w:t>
        </w:r>
      </w:hyperlink>
      <w:r>
        <w:rPr>
          <w:rFonts w:ascii="Arial" w:hAnsi="Arial"/>
          <w:color w:val="71717A"/>
          <w:lang w:val="pt-BR"/>
        </w:rPr>
        <w:t xml:space="preserve"> ou </w:t>
      </w:r>
      <w:hyperlink r:id="rId3">
        <w:r>
          <w:rPr>
            <w:rStyle w:val="ListLabel119"/>
            <w:rFonts w:ascii="Arial" w:hAnsi="Arial"/>
            <w:i/>
            <w:iCs/>
            <w:color w:val="1155CC"/>
            <w:u w:val="single"/>
            <w:lang w:val="pt-BR"/>
          </w:rPr>
          <w:t>https://openscad.cloud/openscad/</w:t>
        </w:r>
      </w:hyperlink>
    </w:p>
    <w:p>
      <w:pPr>
        <w:pStyle w:val="Normal"/>
        <w:jc w:val="both"/>
        <w:rPr>
          <w:rFonts w:ascii="Arial" w:hAnsi="Arial" w:eastAsia="Consolas" w:cs="Consolas"/>
          <w:color w:val="000000"/>
          <w:lang w:val="pt-BR"/>
        </w:rPr>
      </w:pPr>
      <w:r>
        <w:rPr>
          <w:rFonts w:eastAsia="Consolas" w:cs="Consolas" w:ascii="Arial" w:hAnsi="Arial"/>
          <w:color w:val="000000"/>
          <w:lang w:val="pt-BR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Notas de uso e decisões de projeto:</w:t>
      </w:r>
    </w:p>
    <w:p>
      <w:pPr>
        <w:pStyle w:val="Normal"/>
        <w:numPr>
          <w:ilvl w:val="0"/>
          <w:numId w:val="11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Preenchimento dos parâmetros</w:t>
      </w:r>
      <w:sdt>
        <w:sdtPr>
          <w:tag w:val="goog_rdk_10"/>
          <w:id w:val="-272127709"/>
        </w:sdtPr>
        <w:sdtContent>
          <w:r>
            <w:rPr>
              <w:rFonts w:ascii="Arial" w:hAnsi="Arial"/>
              <w:b/>
              <w:bCs/>
              <w:color w:val="000000"/>
              <w:lang w:val="pt-BR"/>
            </w:rPr>
          </w:r>
          <w:r>
            <w:rPr>
              <w:rFonts w:eastAsia="Cardo" w:cs="Cardo" w:ascii="Arial" w:hAnsi="Arial"/>
              <w:color w:val="000000"/>
              <w:lang w:val="pt-BR"/>
            </w:rPr>
            <w:t xml:space="preserve">: os valores de raio_mm, altura_mm e corda_mm já vêm preenchidos com o caso-padrão do script da Fase 4 (100 W, vento de 8 m/s, C_P 0,40, </w:t>
          </w:r>
          <w:r>
            <w:rPr>
              <w:rFonts w:eastAsia="Cardo" w:cs="Cardo" w:ascii="Arial" w:hAnsi="Arial"/>
              <w:color w:val="000000"/>
            </w:rPr>
            <w:t>σ</w:t>
          </w:r>
          <w:r>
            <w:rPr>
              <w:rFonts w:eastAsia="Cardo" w:cs="Cardo" w:ascii="Arial" w:hAnsi="Arial"/>
              <w:color w:val="000000"/>
              <w:lang w:val="pt-BR"/>
            </w:rPr>
            <w:t xml:space="preserve"> = 0,3, Ar = 2,6, N = 3 → R ≈ 276,9 mm, H ≈ 1439,7 mm, c ≈ 174,0 mm). Substitua pelos valores impressos pelo seu script para o caso real da comunidade.</w:t>
          </w:r>
        </w:sdtContent>
      </w:sdt>
    </w:p>
    <w:p>
      <w:pPr>
        <w:pStyle w:val="Normal"/>
        <w:numPr>
          <w:ilvl w:val="0"/>
          <w:numId w:val="11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Perfil S1046 (transparência)</w:t>
      </w:r>
      <w:r>
        <w:rPr>
          <w:rFonts w:ascii="Arial" w:hAnsi="Arial"/>
          <w:color w:val="000000"/>
          <w:lang w:val="pt-BR"/>
        </w:rPr>
        <w:t xml:space="preserve">: o projeto especifica o perfil S1046 (Díaz-Canul et al., 2025), mas as coordenadas reais do perfil não estão disponíveis na biblioteca — por isso o modelo usa NACA 0018 (fórmula padrão, simétrica) como aproximação geométrica provisória. Para usar o S1046, converta o arquivo .dat de referência (ex.: base de dados de perfis aerodinâmicos) em uma lista de pontos [x, y] em mm e substitua o corpo de perfil_pontos. </w:t>
      </w:r>
      <w:r>
        <w:rPr>
          <w:rFonts w:ascii="Arial" w:hAnsi="Arial"/>
          <w:color w:val="000000"/>
        </w:rPr>
        <w:t>Nenhuma coordenada do S1046 foi inventada.</w:t>
      </w:r>
    </w:p>
    <w:p>
      <w:pPr>
        <w:pStyle w:val="Normal"/>
        <w:numPr>
          <w:ilvl w:val="0"/>
          <w:numId w:val="11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Convenção do ângulo de hélice</w:t>
      </w:r>
      <w:sdt>
        <w:sdtPr>
          <w:tag w:val="goog_rdk_11"/>
          <w:id w:val="1453669042"/>
        </w:sdtPr>
        <w:sdtContent>
          <w:r>
            <w:rPr>
              <w:rFonts w:ascii="Arial" w:hAnsi="Arial"/>
              <w:b/>
              <w:bCs/>
              <w:color w:val="000000"/>
              <w:lang w:val="pt-BR"/>
            </w:rPr>
          </w:r>
          <w:r>
            <w:rPr>
              <w:rFonts w:eastAsia="Gungsuh" w:cs="Gungsuh" w:ascii="Arial" w:hAnsi="Arial"/>
              <w:color w:val="000000"/>
              <w:lang w:val="pt-BR"/>
            </w:rPr>
            <w:t>: a torção total é calculada a partir do ângulo de hélice e da geometria (R e H). Com os valores de exemplo, 60° na convenção "vertical" resulta em ≈ 516° de torção total; na convenção "horizontal", ≈ 172°. Como a definição exata adotada no estudo paramétrico de referência (Hassan et al., 2024) varia entre autores, o modelo aceita ambas as convenções — verifique a definição do artigo e ajuste o parâmetro convencao_helice antes de dimensionar a manufatura.</w:t>
          </w:r>
        </w:sdtContent>
      </w:sdt>
    </w:p>
    <w:p>
      <w:pPr>
        <w:pStyle w:val="Normal"/>
        <w:numPr>
          <w:ilvl w:val="0"/>
          <w:numId w:val="11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Regiões funcionais e manufatura</w:t>
      </w:r>
      <w:r>
        <w:rPr>
          <w:rFonts w:ascii="Arial" w:hAnsi="Arial"/>
          <w:color w:val="000000"/>
          <w:lang w:val="pt-BR"/>
        </w:rPr>
        <w:t>: o modelo já materializa a divisão da pá em regiões funcionais — corpo torcido (varredura helicoidal) e cilindros de encaixe nas extremidades (Rouway et al., 2021). Para a impressão FFF, exporte a pá isolada (pal_helicoidal) em STL e, se necessário, adicione o afilamento da ponta na etapa CAE. A torção é dada por linear_extrude(twist=...), que mantém a pá sobre o cilindro de raio R com a corda tangencial — a cinemática correta de uma Darrieus helicoidal.</w:t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ficha de especificação do gerador</w:t>
      </w:r>
      <w:r>
        <w:rPr>
          <w:rFonts w:ascii="Arial" w:hAnsi="Arial"/>
          <w:color w:val="000000"/>
          <w:lang w:val="pt-BR"/>
        </w:rPr>
        <w:t xml:space="preserve"> — o item 3 do "Conteúdo proposto" está apenas descrito, sem a ficha propriamente dita. Segue o bloco pronto para colar, imediatamente após o código OpenSCAD (antes das "Notas de uso e decisões de projeto", ou ao final do Anexo E):</w:t>
      </w:r>
    </w:p>
    <w:p>
      <w:pPr>
        <w:pStyle w:val="Normal"/>
        <w:pBdr>
          <w:bottom w:val="single" w:sz="6" w:space="1" w:color="000000"/>
        </w:pBdr>
        <w:spacing w:before="240" w:after="24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3. Ficha de especificação do gerador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 xml:space="preserve">Requisitos derivados do dimensionamento da Fase 4 (caso-padrão: 100 W, vento de projeto 8 m/s, C_P 0,40, </w:t>
      </w:r>
      <w:r>
        <w:rPr>
          <w:rFonts w:ascii="Arial" w:hAnsi="Arial"/>
          <w:color w:val="000000"/>
        </w:rPr>
        <w:t>σ</w:t>
      </w:r>
      <w:r>
        <w:rPr>
          <w:rFonts w:ascii="Arial" w:hAnsi="Arial"/>
          <w:color w:val="000000"/>
          <w:lang w:val="pt-BR"/>
        </w:rPr>
        <w:t xml:space="preserve"> = 0,3, Ar = 2,6, </w:t>
      </w:r>
      <w:r>
        <w:rPr>
          <w:rFonts w:ascii="Arial" w:hAnsi="Arial"/>
          <w:color w:val="000000"/>
        </w:rPr>
        <w:t>λ</w:t>
      </w:r>
      <w:r>
        <w:rPr>
          <w:rFonts w:ascii="Arial" w:hAnsi="Arial"/>
          <w:color w:val="000000"/>
          <w:lang w:val="pt-BR"/>
        </w:rPr>
        <w:t xml:space="preserve"> = 3,75) e das referências de conversão eletromecânica validadas em contexto educacional.</w:t>
      </w:r>
    </w:p>
    <w:tbl>
      <w:tblPr>
        <w:tblStyle w:val="a2"/>
        <w:tblW w:w="89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939"/>
        <w:gridCol w:w="4246"/>
        <w:gridCol w:w="1800"/>
      </w:tblGrid>
      <w:tr>
        <w:trPr/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Requisito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Valor / referência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Fonte</w:t>
            </w:r>
          </w:p>
        </w:tc>
      </w:tr>
      <w:tr>
        <w:trPr/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Potência nominal-alvo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100 W (faixa do projeto: 100 W – 1 kW, validada para microgeração)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caso-padrão Anexo D</w:t>
            </w:r>
          </w:p>
        </w:tc>
      </w:tr>
      <w:tr>
        <w:trPr/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Vento de projeto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8 m/s (caso-padrão Anexo D; substituir pela medição do sítio)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caso-padrão Anexo D</w:t>
            </w:r>
          </w:p>
        </w:tc>
      </w:tr>
      <w:tr>
        <w:trPr/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Rotação de operação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sdt>
              <w:sdtPr>
                <w:tag w:val="goog_rdk_12"/>
                <w:id w:val="1054357848"/>
              </w:sdtPr>
              <w:sdtContent>
                <w:r>
                  <w:rPr>
                    <w:rFonts w:eastAsia="Cardo" w:cs="Cardo" w:ascii="Arial" w:hAnsi="Arial"/>
                    <w:color w:val="000000"/>
                  </w:rPr>
                </w:r>
                <w:r>
                  <w:rPr>
                    <w:rFonts w:eastAsia="Cardo" w:cs="Cardo" w:ascii="Arial" w:hAnsi="Arial"/>
                    <w:color w:val="000000"/>
                  </w:rPr>
                  <w:t>ω</w:t>
                </w:r>
                <w:r>
                  <w:rPr>
                    <w:rFonts w:eastAsia="Cardo" w:cs="Cardo" w:ascii="Arial" w:hAnsi="Arial"/>
                    <w:color w:val="000000"/>
                    <w:lang w:val="pt-BR"/>
                  </w:rPr>
                  <w:t xml:space="preserve"> = </w:t>
                </w:r>
                <w:r>
                  <w:rPr>
                    <w:rFonts w:eastAsia="Cardo" w:cs="Cardo" w:ascii="Arial" w:hAnsi="Arial"/>
                    <w:color w:val="000000"/>
                  </w:rPr>
                  <w:t>λ</w:t>
                </w:r>
                <w:r>
                  <w:rPr>
                    <w:rFonts w:eastAsia="Cardo" w:cs="Cardo" w:ascii="Arial" w:hAnsi="Arial"/>
                    <w:color w:val="000000"/>
                    <w:lang w:val="pt-BR"/>
                  </w:rPr>
                  <w:t xml:space="preserve">·U/R → </w:t>
                </w:r>
                <w:r>
                  <w:rPr>
                    <w:rFonts w:eastAsia="Cardo" w:cs="Cardo" w:ascii="Arial" w:hAnsi="Arial"/>
                    <w:color w:val="000000"/>
                  </w:rPr>
                  <w:t>ω</w:t>
                </w:r>
                <w:r>
                  <w:rPr>
                    <w:rFonts w:eastAsia="Cardo" w:cs="Cardo" w:ascii="Arial" w:hAnsi="Arial"/>
                    <w:color w:val="000000"/>
                    <w:lang w:val="pt-BR"/>
                  </w:rPr>
                  <w:t xml:space="preserve"> ≈ 108 rad/s ≈ 1.035 rpm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 xml:space="preserve">equações consolidadas do Anexo D </w:t>
            </w:r>
            <w:r>
              <w:rPr>
                <w:rFonts w:ascii="Arial" w:hAnsi="Arial"/>
                <w:lang w:val="pt-BR"/>
              </w:rPr>
              <w:t>(Wilhelm et al., 2017)</w:t>
            </w:r>
          </w:p>
        </w:tc>
      </w:tr>
      <w:tr>
        <w:trPr/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Faixa de rotação de referência (benchmark SD7080)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sdt>
              <w:sdtPr>
                <w:tag w:val="goog_rdk_13"/>
                <w:id w:val="-1953781246"/>
              </w:sdtPr>
              <w:sdtContent>
                <w:r>
                  <w:rPr>
                    <w:rFonts w:eastAsia="Cardo" w:cs="Cardo" w:ascii="Arial" w:hAnsi="Arial"/>
                    <w:color w:val="000000"/>
                  </w:rPr>
                </w:r>
                <w:r>
                  <w:rPr>
                    <w:rFonts w:eastAsia="Cardo" w:cs="Cardo" w:ascii="Arial" w:hAnsi="Arial"/>
                    <w:color w:val="000000"/>
                  </w:rPr>
                  <w:t>2 m/s → 264 rpm (~10 W); 8 m/s → 1.116 rpm (50% P_nom); 12 m/s → 1.640 rpm (P_nom)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(Suresh et al., 2024)</w:t>
            </w:r>
          </w:p>
        </w:tc>
      </w:tr>
      <w:tr>
        <w:trPr/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Topologia de referência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 xml:space="preserve">PMSG axial de fluxo axial </w:t>
            </w:r>
            <w:r>
              <w:rPr>
                <w:rFonts w:ascii="Arial" w:hAnsi="Arial"/>
                <w:i/>
                <w:iCs/>
                <w:color w:val="000000"/>
                <w:lang w:val="pt-BR"/>
              </w:rPr>
              <w:t>coreless</w:t>
            </w:r>
            <w:r>
              <w:rPr>
                <w:rFonts w:ascii="Arial" w:hAnsi="Arial"/>
                <w:color w:val="000000"/>
                <w:lang w:val="pt-BR"/>
              </w:rPr>
              <w:t xml:space="preserve"> (sem núcleo), baixo custo e alta eficiência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(Khan et al., 2023)</w:t>
            </w:r>
          </w:p>
        </w:tc>
      </w:tr>
      <w:tr>
        <w:trPr/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Desempenho de referência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10,73 W a ~80 rpm; projeto para 1 kW; eficiência de produção 35% superior ao gerador convencional (em carga e sem carga)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(Khan et al., 2023)</w:t>
            </w:r>
          </w:p>
        </w:tc>
      </w:tr>
      <w:tr>
        <w:trPr/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Tensão de saída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[a definir com o sistema de conversão — retificador/carregador de baterias]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—</w:t>
            </w:r>
          </w:p>
        </w:tc>
      </w:tr>
      <w:tr>
        <w:trPr/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Instrumentação e monitoramento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Geração em velocidade mínima de vento e classificação de falhas por IA (abordagem PBL de diagnóstico de turbinas)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(Khan et al., 2023)</w:t>
            </w:r>
          </w:p>
        </w:tc>
      </w:tr>
    </w:tbl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</w:rPr>
        <w:t>Notas da ficha:</w:t>
      </w:r>
    </w:p>
    <w:p>
      <w:pPr>
        <w:pStyle w:val="Normal"/>
        <w:numPr>
          <w:ilvl w:val="0"/>
          <w:numId w:val="12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Rotação de operação</w:t>
      </w:r>
      <w:sdt>
        <w:sdtPr>
          <w:tag w:val="goog_rdk_14"/>
          <w:id w:val="1031379890"/>
        </w:sdtPr>
        <w:sdtContent>
          <w:r>
            <w:rPr>
              <w:rFonts w:ascii="Arial" w:hAnsi="Arial"/>
              <w:b/>
              <w:bCs/>
              <w:color w:val="000000"/>
              <w:lang w:val="pt-BR"/>
            </w:rPr>
          </w:r>
          <w:r>
            <w:rPr>
              <w:rFonts w:eastAsia="Gungsuh" w:cs="Gungsuh" w:ascii="Arial" w:hAnsi="Arial"/>
              <w:color w:val="000000"/>
              <w:lang w:val="pt-BR"/>
            </w:rPr>
            <w:t xml:space="preserve">: o valor de ≈ 1.035 rpm é derivado diretamente da equação documentada </w:t>
          </w:r>
          <w:r>
            <w:rPr>
              <w:rFonts w:eastAsia="Gungsuh" w:cs="Gungsuh" w:ascii="Arial" w:hAnsi="Arial"/>
              <w:color w:val="000000"/>
            </w:rPr>
            <w:t>ω</w:t>
          </w:r>
          <w:r>
            <w:rPr>
              <w:rFonts w:eastAsia="Gungsuh" w:cs="Gungsuh" w:ascii="Arial" w:hAnsi="Arial"/>
              <w:color w:val="000000"/>
              <w:lang w:val="pt-BR"/>
            </w:rPr>
            <w:t xml:space="preserve"> = </w:t>
          </w:r>
          <w:r>
            <w:rPr>
              <w:rFonts w:eastAsia="Gungsuh" w:cs="Gungsuh" w:ascii="Arial" w:hAnsi="Arial"/>
              <w:color w:val="000000"/>
            </w:rPr>
            <w:t>λ</w:t>
          </w:r>
          <w:r>
            <w:rPr>
              <w:rFonts w:eastAsia="Gungsuh" w:cs="Gungsuh" w:ascii="Arial" w:hAnsi="Arial"/>
              <w:color w:val="000000"/>
              <w:lang w:val="pt-BR"/>
            </w:rPr>
            <w:t>·U/R (Anexo D (Wilhelm et al., 2017)) aplicada ao caso-padrão (</w:t>
          </w:r>
          <w:r>
            <w:rPr>
              <w:rFonts w:eastAsia="Gungsuh" w:cs="Gungsuh" w:ascii="Arial" w:hAnsi="Arial"/>
              <w:color w:val="000000"/>
            </w:rPr>
            <w:t>λ</w:t>
          </w:r>
          <w:r>
            <w:rPr>
              <w:rFonts w:eastAsia="Gungsuh" w:cs="Gungsuh" w:ascii="Arial" w:hAnsi="Arial"/>
              <w:color w:val="000000"/>
              <w:lang w:val="pt-BR"/>
            </w:rPr>
            <w:t xml:space="preserve"> = 3,75; U = 8 m/s; R = 0,2769 m) — recalculá-lo com a saída do script da Fase 4 para o caso real da comunidade.</w:t>
          </w:r>
        </w:sdtContent>
      </w:sdt>
    </w:p>
    <w:p>
      <w:pPr>
        <w:pStyle w:val="Normal"/>
        <w:numPr>
          <w:ilvl w:val="0"/>
          <w:numId w:val="12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Tensão de saída</w:t>
      </w:r>
      <w:r>
        <w:rPr>
          <w:rFonts w:ascii="Arial" w:hAnsi="Arial"/>
          <w:color w:val="000000"/>
          <w:lang w:val="pt-BR"/>
        </w:rPr>
        <w:t>: campo a preencher pela equipe após a definição da carga (tensão do barramento CC, retificador e controlador de carga), pois não há valor verificado nas fontes da biblioteca.</w:t>
      </w:r>
    </w:p>
    <w:p>
      <w:pPr>
        <w:pStyle w:val="Normal"/>
        <w:numPr>
          <w:ilvl w:val="0"/>
          <w:numId w:val="12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Topologia ímãs permanentes sem caixa</w:t>
      </w:r>
      <w:r>
        <w:rPr>
          <w:rFonts w:ascii="Arial" w:hAnsi="Arial"/>
          <w:color w:val="000000"/>
          <w:lang w:val="pt-BR"/>
        </w:rPr>
        <w:t xml:space="preserve">: a referência educacional validada ((Khan et al., 2023)) demonstra gerador axial </w:t>
      </w:r>
      <w:r>
        <w:rPr>
          <w:rFonts w:ascii="Arial" w:hAnsi="Arial"/>
          <w:i/>
          <w:iCs/>
          <w:color w:val="000000"/>
          <w:lang w:val="pt-BR"/>
        </w:rPr>
        <w:t>coreless</w:t>
      </w:r>
      <w:r>
        <w:rPr>
          <w:rFonts w:ascii="Arial" w:hAnsi="Arial"/>
          <w:color w:val="000000"/>
          <w:lang w:val="pt-BR"/>
        </w:rPr>
        <w:t xml:space="preserve"> de baixo custo, adequado ao acoplamento direto com o rotor Darrieus — elimina caixa multiplicadora, reduzindo manutenção (vantagem da topologia VAWT com gerador no solo) (Hassan et al., 2024).</w:t>
      </w:r>
    </w:p>
    <w:p>
      <w:pPr>
        <w:pStyle w:val="Normal"/>
        <w:numPr>
          <w:ilvl w:val="0"/>
          <w:numId w:val="12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Alinhamento com o Anexo F</w:t>
      </w:r>
      <w:r>
        <w:rPr>
          <w:rFonts w:ascii="Arial" w:hAnsi="Arial"/>
          <w:color w:val="000000"/>
          <w:lang w:val="pt-BR"/>
        </w:rPr>
        <w:t>: a curva C_P–</w:t>
      </w:r>
      <w:r>
        <w:rPr>
          <w:rFonts w:ascii="Arial" w:hAnsi="Arial"/>
          <w:color w:val="000000"/>
        </w:rPr>
        <w:t>λ</w:t>
      </w:r>
      <w:r>
        <w:rPr>
          <w:rFonts w:ascii="Arial" w:hAnsi="Arial"/>
          <w:color w:val="000000"/>
          <w:lang w:val="pt-BR"/>
        </w:rPr>
        <w:t xml:space="preserve"> do protótipo em túnel de vento fornecerá a potência mecânica de entrada real do gerador, permitindo validar o rendimento da conversão eletromecânica frente à referência de 35% de ganho (Khan et al., 2023).</w:t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pBdr>
          <w:bottom w:val="single" w:sz="6" w:space="1" w:color="000000"/>
        </w:pBdr>
        <w:spacing w:before="240" w:after="24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2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Anexo F — Fase 6: Protótipo funcional e resultados de bancada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Objetivo:</w:t>
      </w:r>
      <w:r>
        <w:rPr>
          <w:rFonts w:ascii="Arial" w:hAnsi="Arial"/>
          <w:color w:val="000000"/>
          <w:lang w:val="pt-BR"/>
        </w:rPr>
        <w:t xml:space="preserve"> roteirizar a otimização de parâmetros de impressão, a fabricação das pás, a montagem e os testes de bancada.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</w:rPr>
        <w:t>Conteúdo proposto:</w:t>
      </w:r>
    </w:p>
    <w:p>
      <w:pPr>
        <w:pStyle w:val="Normal"/>
        <w:numPr>
          <w:ilvl w:val="0"/>
          <w:numId w:val="13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Matriz DOE de 27 testes</w:t>
      </w:r>
      <w:r>
        <w:rPr>
          <w:rFonts w:ascii="Arial" w:hAnsi="Arial"/>
          <w:color w:val="000000"/>
          <w:lang w:val="pt-BR"/>
        </w:rPr>
        <w:t xml:space="preserve"> — fatorial completo com 3 fatores × 3 níveis (teor de fibra, velocidade de impressão e ângulo de varredura), conforme o estudo de pás SCFR-PLA (Said et al., 2025), conduzido na abordagem pedagógica de projeto de experimentos com impressão 3D (Unzueta &amp; Eguren, 2023). Respostas a medir: resistência à tração, módulo elástico e deformação; saída: combinação ótima de parâmetros para as pás.</w:t>
      </w:r>
    </w:p>
    <w:p>
      <w:pPr>
        <w:pStyle w:val="Normal"/>
        <w:numPr>
          <w:ilvl w:val="0"/>
          <w:numId w:val="13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Ficha de parâmetros de impressão por material</w:t>
      </w:r>
      <w:r>
        <w:rPr>
          <w:rFonts w:ascii="Arial" w:hAnsi="Arial"/>
          <w:color w:val="000000"/>
          <w:lang w:val="pt-BR"/>
        </w:rPr>
        <w:t xml:space="preserve"> (dados verificados):</w:t>
      </w:r>
    </w:p>
    <w:tbl>
      <w:tblPr>
        <w:tblStyle w:val="a3"/>
        <w:tblW w:w="89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635"/>
        <w:gridCol w:w="1139"/>
        <w:gridCol w:w="1200"/>
        <w:gridCol w:w="2191"/>
        <w:gridCol w:w="2775"/>
      </w:tblGrid>
      <w:tr>
        <w:trPr/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Material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Bico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Mesa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Camada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Velocidade</w:t>
            </w:r>
          </w:p>
        </w:tc>
      </w:tr>
      <w:tr>
        <w:trPr/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PLA/CF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210 °C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60 °C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0,3 mm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 xml:space="preserve">50 mm/s </w:t>
            </w:r>
            <w:r>
              <w:rPr>
                <w:rFonts w:ascii="Arial" w:hAnsi="Arial"/>
              </w:rPr>
              <w:t>(Patel et al., 2023, p. 100210)</w:t>
            </w:r>
          </w:p>
        </w:tc>
      </w:tr>
      <w:tr>
        <w:trPr/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PETG/CF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230–250 °C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80–110 °C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—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 xml:space="preserve">70–90 mm/s </w:t>
            </w:r>
            <w:r>
              <w:rPr>
                <w:rFonts w:ascii="Arial" w:hAnsi="Arial"/>
              </w:rPr>
              <w:t>(Patel et al., 2023)</w:t>
            </w:r>
          </w:p>
        </w:tc>
      </w:tr>
      <w:tr>
        <w:trPr/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ABS/CF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~250 °C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mesa quente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—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(Patel et al., 2023)</w:t>
            </w:r>
          </w:p>
        </w:tc>
      </w:tr>
      <w:tr>
        <w:trPr/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ASA/CF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90–120 °C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—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(Patel et al., 2023)</w:t>
            </w:r>
          </w:p>
        </w:tc>
      </w:tr>
    </w:tbl>
    <w:p>
      <w:pPr>
        <w:pStyle w:val="Normal"/>
        <w:numPr>
          <w:ilvl w:val="0"/>
          <w:numId w:val="2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Protocolo de teste de bancada (túnel de vento)</w:t>
      </w:r>
      <w:r>
        <w:rPr>
          <w:rFonts w:ascii="Arial" w:hAnsi="Arial"/>
          <w:color w:val="000000"/>
          <w:lang w:val="pt-BR"/>
        </w:rPr>
        <w:t xml:space="preserve">: medição simultânea de velocidade U, rotação </w:t>
      </w:r>
      <w:r>
        <w:rPr>
          <w:rFonts w:ascii="Arial" w:hAnsi="Arial"/>
          <w:color w:val="000000"/>
        </w:rPr>
        <w:t>ω</w:t>
      </w:r>
      <w:r>
        <w:rPr>
          <w:rFonts w:ascii="Arial" w:hAnsi="Arial"/>
          <w:color w:val="000000"/>
          <w:lang w:val="pt-BR"/>
        </w:rPr>
        <w:t xml:space="preserve"> e potência elétrica P; cálculo de C_P e </w:t>
      </w:r>
      <w:r>
        <w:rPr>
          <w:rFonts w:ascii="Arial" w:hAnsi="Arial"/>
          <w:color w:val="000000"/>
        </w:rPr>
        <w:t>λ</w:t>
      </w:r>
      <w:r>
        <w:rPr>
          <w:rFonts w:ascii="Arial" w:hAnsi="Arial"/>
          <w:color w:val="000000"/>
          <w:lang w:val="pt-BR"/>
        </w:rPr>
        <w:t>; registros para a curva C_P–</w:t>
      </w:r>
      <w:r>
        <w:rPr>
          <w:rFonts w:ascii="Arial" w:hAnsi="Arial"/>
          <w:color w:val="000000"/>
        </w:rPr>
        <w:t>λ</w:t>
      </w:r>
      <w:r>
        <w:rPr>
          <w:rFonts w:ascii="Arial" w:hAnsi="Arial"/>
          <w:color w:val="000000"/>
          <w:lang w:val="pt-BR"/>
        </w:rPr>
        <w:t xml:space="preserve">. Referências de validação: H-Darrieus de PETG/CF (0,20 m × 0,22 m) com C_P máximo de 0,21 em TSR 0,12 (Colorado et al., 2024); </w:t>
      </w:r>
    </w:p>
    <w:p>
      <w:pPr>
        <w:pStyle w:val="Normal"/>
        <w:numPr>
          <w:ilvl w:val="0"/>
          <w:numId w:val="2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Registro de ciclo de vida do protótipo</w:t>
      </w:r>
      <w:r>
        <w:rPr>
          <w:rFonts w:ascii="Arial" w:hAnsi="Arial"/>
          <w:color w:val="000000"/>
          <w:lang w:val="pt-BR"/>
        </w:rPr>
        <w:t>: analisar o ciclo de vida do protótipo (Colorado et al., 2024); registrar rota de fim de vida (desmontagem para reciclagem ou reutilização (Colorado et al., 2024)).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Entregável:</w:t>
      </w:r>
      <w:r>
        <w:rPr>
          <w:rFonts w:ascii="Arial" w:hAnsi="Arial"/>
          <w:color w:val="000000"/>
          <w:lang w:val="pt-BR"/>
        </w:rPr>
        <w:t xml:space="preserve"> protótipo funcional + registros de parâmetros de processo + resultados de bancada.</w:t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 xml:space="preserve">Protocolo de teste de bancada — incorporando a medição da potência elétrica de saída do PMSG e o fechamento do balanço de eficiência do conjunto rotor-gerador. Os instrumentos, procedimentos e valores de referência são ancorados nos protocolos experimentais das fontes: a bancada de túnel de vento da microturbina SD7080/PLA com multímetro e carga resistiva </w:t>
      </w:r>
      <w:r>
        <w:rPr>
          <w:rFonts w:ascii="Arial" w:hAnsi="Arial"/>
          <w:lang w:val="pt-BR"/>
        </w:rPr>
        <w:t>(Suresh et al., 2024)</w:t>
      </w:r>
      <w:r>
        <w:rPr>
          <w:rFonts w:ascii="Arial" w:hAnsi="Arial"/>
          <w:color w:val="000000"/>
          <w:lang w:val="pt-BR"/>
        </w:rPr>
        <w:t xml:space="preserve">, a instrumentação com sensor de torque e encoder da H-Darrieus de laboratório </w:t>
      </w:r>
      <w:r>
        <w:rPr>
          <w:rFonts w:ascii="Arial" w:hAnsi="Arial"/>
          <w:lang w:val="pt-BR"/>
        </w:rPr>
        <w:t>(Colorado et al., 2024)</w:t>
      </w:r>
      <w:r>
        <w:rPr>
          <w:rFonts w:ascii="Arial" w:hAnsi="Arial"/>
          <w:color w:val="000000"/>
          <w:lang w:val="pt-BR"/>
        </w:rPr>
        <w:t xml:space="preserve"> e o gerador axial </w:t>
      </w:r>
      <w:r>
        <w:rPr>
          <w:rFonts w:ascii="Arial" w:hAnsi="Arial"/>
          <w:i/>
          <w:iCs/>
          <w:color w:val="000000"/>
          <w:lang w:val="pt-BR"/>
        </w:rPr>
        <w:t>coreless</w:t>
      </w:r>
      <w:r>
        <w:rPr>
          <w:rFonts w:ascii="Arial" w:hAnsi="Arial"/>
          <w:color w:val="000000"/>
          <w:lang w:val="pt-BR"/>
        </w:rPr>
        <w:t xml:space="preserve"> validado em contexto educacional </w:t>
      </w:r>
      <w:r>
        <w:rPr>
          <w:rFonts w:ascii="Arial" w:hAnsi="Arial"/>
          <w:lang w:val="pt-BR"/>
        </w:rPr>
        <w:t>(Khan et al., 2023)</w:t>
      </w:r>
      <w:r>
        <w:rPr>
          <w:rFonts w:ascii="Arial" w:hAnsi="Arial"/>
          <w:color w:val="000000"/>
          <w:lang w:val="pt-BR"/>
        </w:rPr>
        <w:t>. Segue o bloco pronto para substituir o item 3 atual do Anexo F:</w:t>
      </w:r>
    </w:p>
    <w:p>
      <w:pPr>
        <w:pStyle w:val="Normal"/>
        <w:pBdr>
          <w:bottom w:val="single" w:sz="6" w:space="1" w:color="000000"/>
        </w:pBdr>
        <w:spacing w:before="240" w:after="24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3. Protocolo de teste de bancada (túnel de vento) — com medição da potência elétrica de saída do PMSG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3.1 Grandezas e instrumentação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A bancada mede simultaneamente as grandezas de entrada (vento), de conversão (rotação/torque) e de saída (potência elétrica), fechando o balanço energético do conjunto rotor-gerador.</w:t>
      </w:r>
    </w:p>
    <w:tbl>
      <w:tblPr>
        <w:tblStyle w:val="a4"/>
        <w:tblW w:w="89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330"/>
        <w:gridCol w:w="3405"/>
        <w:gridCol w:w="2205"/>
      </w:tblGrid>
      <w:tr>
        <w:trPr/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Grandeza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Instrumento (referência de bancada)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Fonte</w:t>
            </w:r>
          </w:p>
        </w:tc>
      </w:tr>
      <w:tr>
        <w:trPr/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Velocidade do vento U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Anemômetro digital (ex.: Lutron AM 4201; faixa 0,4–30 m/s)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(Suresh et al., 2024, p. 10)</w:t>
            </w:r>
          </w:p>
        </w:tc>
      </w:tr>
      <w:tr>
        <w:trPr/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Rotação ω (rpm)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Tacômetro digital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(Suresh et al., 2024, p. 10)</w:t>
            </w:r>
          </w:p>
        </w:tc>
      </w:tr>
      <w:tr>
        <w:trPr/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Torque T (opcional, p/ P_mec direta)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Sensor de torque com encoder acoplado ao eixo (ex.: Futek TRS605) com display (ex.: IHH500 Pro)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(Colorado et al., 2024, p. 7)</w:t>
            </w:r>
          </w:p>
        </w:tc>
      </w:tr>
      <w:tr>
        <w:trPr/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Tensão V e corrente I de saída do PMSG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Multímetro digital (ex.: Lutron DT830D) nos terminais do gerador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(Suresh et al., 2024, p. 10)</w:t>
            </w:r>
          </w:p>
        </w:tc>
      </w:tr>
      <w:tr>
        <w:trPr/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Carga elétrica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Carga resistiva — ex.: duas lâmpadas LED de 50 W em paralelo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(Suresh et al., 2024, p. 10)</w:t>
            </w:r>
          </w:p>
        </w:tc>
      </w:tr>
      <w:tr>
        <w:trPr/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Carga variável (opcional)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Banco de cargas (</w:t>
            </w:r>
            <w:r>
              <w:rPr>
                <w:rFonts w:ascii="Arial" w:hAnsi="Arial"/>
                <w:i/>
                <w:iCs/>
                <w:color w:val="000000"/>
                <w:lang w:val="pt-BR"/>
              </w:rPr>
              <w:t>load bank</w:t>
            </w:r>
            <w:r>
              <w:rPr>
                <w:rFonts w:ascii="Arial" w:hAnsi="Arial"/>
                <w:color w:val="000000"/>
                <w:lang w:val="pt-BR"/>
              </w:rPr>
              <w:t>) ou motor com sistema de controle atuando como carga, permitindo fixar diferentes TSR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(Colorado et al., 2024, p. 7; Khan et al., 2023, p. 24)</w:t>
            </w:r>
          </w:p>
        </w:tc>
      </w:tr>
    </w:tbl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</w:rPr>
        <w:t>3.2 Procedimento</w:t>
      </w:r>
    </w:p>
    <w:p>
      <w:pPr>
        <w:pStyle w:val="Normal"/>
        <w:numPr>
          <w:ilvl w:val="0"/>
          <w:numId w:val="3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Dispor o ventilador com controle de velocidade em uma extremidade do túnel e a turbina na extremidade oposta, com o rotor alinhado ao escoamento (Suresh et al., 2024, p. 10).</w:t>
      </w:r>
    </w:p>
    <w:p>
      <w:pPr>
        <w:pStyle w:val="Normal"/>
        <w:numPr>
          <w:ilvl w:val="0"/>
          <w:numId w:val="3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Percorrer o intervalo operacional de U a partir do cut-in (~2–3 m/s) até 12 m/s; acima de 13 m/s observou-se vibração de origem aeroelástica em pás de PLA, recomendando-se não avaliar além de 12 m/s (Suresh et al., 2024, p. 11).</w:t>
      </w:r>
    </w:p>
    <w:p>
      <w:pPr>
        <w:pStyle w:val="Normal"/>
        <w:numPr>
          <w:ilvl w:val="0"/>
          <w:numId w:val="3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 xml:space="preserve">Em cada velocidade estabilizada (passos de 0,5–1 m/s), registrar </w:t>
      </w:r>
      <w:r>
        <w:rPr>
          <w:rFonts w:ascii="Arial" w:hAnsi="Arial"/>
          <w:b/>
          <w:bCs/>
          <w:color w:val="000000"/>
          <w:lang w:val="pt-BR"/>
        </w:rPr>
        <w:t>simultaneamente</w:t>
      </w:r>
      <w:r>
        <w:rPr>
          <w:rFonts w:ascii="Arial" w:hAnsi="Arial"/>
          <w:color w:val="000000"/>
          <w:lang w:val="pt-BR"/>
        </w:rPr>
        <w:t xml:space="preserve">: U, rotação (rpm), tensão V e corrente I nos terminais do PMSG sob carga, e calcular a potência elétrica de saída como </w:t>
      </w:r>
      <w:r>
        <w:rPr>
          <w:rFonts w:ascii="Arial" w:hAnsi="Arial"/>
          <w:b/>
          <w:bCs/>
          <w:color w:val="000000"/>
          <w:lang w:val="pt-BR"/>
        </w:rPr>
        <w:t>P_el = V × I</w:t>
      </w:r>
      <w:r>
        <w:rPr>
          <w:rFonts w:ascii="Arial" w:hAnsi="Arial"/>
          <w:color w:val="000000"/>
          <w:lang w:val="pt-BR"/>
        </w:rPr>
        <w:t xml:space="preserve"> (Khan et al., 2023, p. 24).</w:t>
      </w:r>
    </w:p>
    <w:p>
      <w:pPr>
        <w:pStyle w:val="Normal"/>
        <w:numPr>
          <w:ilvl w:val="0"/>
          <w:numId w:val="3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 xml:space="preserve">Com o sensor de torque e encoder (configuração opcional), registrar torque e rotação para obter a potência mecânica </w:t>
      </w:r>
      <w:r>
        <w:rPr>
          <w:rFonts w:ascii="Arial" w:hAnsi="Arial"/>
          <w:b/>
          <w:bCs/>
          <w:color w:val="000000"/>
          <w:lang w:val="pt-BR"/>
        </w:rPr>
        <w:t xml:space="preserve">P_mec = T × </w:t>
      </w:r>
      <w:r>
        <w:rPr>
          <w:rFonts w:ascii="Arial" w:hAnsi="Arial"/>
          <w:b/>
          <w:bCs/>
          <w:color w:val="000000"/>
        </w:rPr>
        <w:t>ω</w:t>
      </w:r>
      <w:r>
        <w:rPr>
          <w:rFonts w:ascii="Arial" w:hAnsi="Arial"/>
          <w:color w:val="000000"/>
          <w:lang w:val="pt-BR"/>
        </w:rPr>
        <w:t xml:space="preserve"> e as curvas </w:t>
      </w:r>
      <w:r>
        <w:rPr>
          <w:rFonts w:ascii="Arial" w:hAnsi="Arial"/>
          <w:b/>
          <w:bCs/>
          <w:color w:val="000000"/>
          <w:lang w:val="pt-BR"/>
        </w:rPr>
        <w:t>C_P–</w:t>
      </w:r>
      <w:r>
        <w:rPr>
          <w:rFonts w:ascii="Arial" w:hAnsi="Arial"/>
          <w:b/>
          <w:bCs/>
          <w:color w:val="000000"/>
        </w:rPr>
        <w:t>λ</w:t>
      </w:r>
      <w:r>
        <w:rPr>
          <w:rFonts w:ascii="Arial" w:hAnsi="Arial"/>
          <w:color w:val="000000"/>
          <w:lang w:val="pt-BR"/>
        </w:rPr>
        <w:t xml:space="preserve"> — procedimento que reproduz a medição que resultou no C_P máximo de 0,21 da H-Darrieus de referência (Colorado et al., 2024, p. 7).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3.3 Balanço de eficiência do conjunto rotor-gerador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Com as três potências disponíveis, o balanço é fechado pelas relações:</w:t>
      </w:r>
    </w:p>
    <w:p>
      <w:pPr>
        <w:pStyle w:val="Normal"/>
        <w:numPr>
          <w:ilvl w:val="0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Potência do vento: ;</w:t>
      </w:r>
    </w:p>
    <w:p>
      <w:pPr>
        <w:pStyle w:val="Normal"/>
        <w:numPr>
          <w:ilvl w:val="0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Eficiência do conjunto: ;</w:t>
      </w:r>
    </w:p>
    <w:p>
      <w:pPr>
        <w:pStyle w:val="Normal"/>
        <w:numPr>
          <w:ilvl w:val="0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Eficiência do gerador:  (com P_mec medida pelo torquímetro);</w:t>
      </w:r>
    </w:p>
    <w:p>
      <w:pPr>
        <w:pStyle w:val="Normal"/>
        <w:numPr>
          <w:ilvl w:val="0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Coeficiente de potência: , de modo que 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Critérios de validação do balanço:</w:t>
      </w:r>
    </w:p>
    <w:p>
      <w:pPr>
        <w:pStyle w:val="Normal"/>
        <w:numPr>
          <w:ilvl w:val="0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Referência de perdas mecânicas/elétricas</w:t>
      </w:r>
      <w:r>
        <w:rPr>
          <w:rFonts w:ascii="Arial" w:hAnsi="Arial"/>
          <w:color w:val="000000"/>
          <w:lang w:val="pt-BR"/>
        </w:rPr>
        <w:t xml:space="preserve">: a equação de potência da H-Darrieus de referência incorpora um fator de eficiência </w:t>
      </w:r>
      <w:r>
        <w:rPr>
          <w:rFonts w:ascii="Arial" w:hAnsi="Arial"/>
          <w:color w:val="000000"/>
        </w:rPr>
        <w:t>η</w:t>
      </w:r>
      <w:r>
        <w:rPr>
          <w:rFonts w:ascii="Arial" w:hAnsi="Arial"/>
          <w:color w:val="000000"/>
          <w:lang w:val="pt-BR"/>
        </w:rPr>
        <w:t xml:space="preserve"> = 0,75 para as perdas mecânicas e elétricas na conversão de energia mecânica em elétrica (perdas como calor nos condutores), a ser comparado ao </w:t>
      </w:r>
      <w:r>
        <w:rPr>
          <w:rFonts w:ascii="Arial" w:hAnsi="Arial"/>
          <w:color w:val="000000"/>
        </w:rPr>
        <w:t>η</w:t>
      </w:r>
      <w:r>
        <w:rPr>
          <w:rFonts w:ascii="Arial" w:hAnsi="Arial"/>
          <w:color w:val="000000"/>
          <w:lang w:val="pt-BR"/>
        </w:rPr>
        <w:t>_ger medido (Colorado et al., 2024, p. 3).</w:t>
      </w:r>
    </w:p>
    <w:p>
      <w:pPr>
        <w:pStyle w:val="Normal"/>
        <w:numPr>
          <w:ilvl w:val="0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Referência de ganho do gerador</w:t>
      </w:r>
      <w:r>
        <w:rPr>
          <w:rFonts w:ascii="Arial" w:hAnsi="Arial"/>
          <w:color w:val="000000"/>
          <w:lang w:val="pt-BR"/>
        </w:rPr>
        <w:t xml:space="preserve">: o gerador axial de fluxo axial </w:t>
      </w:r>
      <w:r>
        <w:rPr>
          <w:rFonts w:ascii="Arial" w:hAnsi="Arial"/>
          <w:i/>
          <w:iCs/>
          <w:color w:val="000000"/>
          <w:lang w:val="pt-BR"/>
        </w:rPr>
        <w:t>coreless</w:t>
      </w:r>
      <w:r>
        <w:rPr>
          <w:rFonts w:ascii="Arial" w:hAnsi="Arial"/>
          <w:color w:val="000000"/>
          <w:lang w:val="pt-BR"/>
        </w:rPr>
        <w:t xml:space="preserve"> apresentou desempenho </w:t>
      </w:r>
      <w:r>
        <w:rPr>
          <w:rFonts w:ascii="Arial" w:hAnsi="Arial"/>
          <w:b/>
          <w:bCs/>
          <w:color w:val="000000"/>
          <w:lang w:val="pt-BR"/>
        </w:rPr>
        <w:t>35% superior em eficiência de produção</w:t>
      </w:r>
      <w:r>
        <w:rPr>
          <w:rFonts w:ascii="Arial" w:hAnsi="Arial"/>
          <w:color w:val="000000"/>
          <w:lang w:val="pt-BR"/>
        </w:rPr>
        <w:t>, em condições com carga e sem carga, frente ao gerador radial convencional (Khan et al., 2023, p. 24).</w:t>
      </w:r>
    </w:p>
    <w:p>
      <w:pPr>
        <w:pStyle w:val="Normal"/>
        <w:numPr>
          <w:ilvl w:val="0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Diagnóstico das perdas</w:t>
      </w:r>
      <w:sdt>
        <w:sdtPr>
          <w:tag w:val="goog_rdk_15"/>
          <w:id w:val="1422488154"/>
        </w:sdtPr>
        <w:sdtContent>
          <w:r>
            <w:rPr>
              <w:rFonts w:ascii="Arial" w:hAnsi="Arial"/>
              <w:b/>
              <w:bCs/>
              <w:color w:val="000000"/>
              <w:lang w:val="pt-BR"/>
            </w:rPr>
          </w:r>
          <w:r>
            <w:rPr>
              <w:rFonts w:eastAsia="Cardo" w:cs="Cardo" w:ascii="Arial" w:hAnsi="Arial"/>
              <w:color w:val="000000"/>
              <w:lang w:val="pt-BR"/>
            </w:rPr>
            <w:t>: identificar e registrar separadamente as perdas mecânicas (atrito dos mancais) e elétricas (perdas no cobre/ferro do gerador e no retificador), de modo que a soma das parcelas feche o balanço P_vento → P_mec → P_el.</w:t>
          </w:r>
        </w:sdtContent>
      </w:sdt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3.4 Valores de referência para validação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Os registros de bancada devem ser confrontados com os seguintes valores medidos publicados:</w:t>
      </w:r>
    </w:p>
    <w:tbl>
      <w:tblPr>
        <w:tblStyle w:val="a5"/>
        <w:tblW w:w="90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980"/>
        <w:gridCol w:w="4049"/>
      </w:tblGrid>
      <w:tr>
        <w:trPr/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Referência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Valor medido</w:t>
            </w:r>
          </w:p>
        </w:tc>
      </w:tr>
      <w:tr>
        <w:trPr/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H-Darrieus PETG/CF (laboratório)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 xml:space="preserve">C_P máx = 0,21 a TSR 0,12; P_el = 0,52 W a 6 m/s e 198 rpm </w:t>
            </w:r>
            <w:r>
              <w:rPr>
                <w:rFonts w:ascii="Arial" w:hAnsi="Arial"/>
                <w:lang w:val="pt-BR"/>
              </w:rPr>
              <w:t>(Colorado et al., 2024, p. 7)</w:t>
            </w:r>
          </w:p>
        </w:tc>
      </w:tr>
      <w:tr>
        <w:trPr/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Microturbina SD7080/PLA (100 W)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 xml:space="preserve">Partida a 264 rpm com vento de 2 m/s; saída medida por multímetro na faixa de 2–13 m/s, com carga de duas lâmpadas LED de 50 W </w:t>
            </w:r>
            <w:r>
              <w:rPr>
                <w:rFonts w:ascii="Arial" w:hAnsi="Arial"/>
                <w:lang w:val="pt-BR"/>
              </w:rPr>
              <w:t>(Suresh et al., 2024, p. 11)</w:t>
            </w:r>
          </w:p>
        </w:tc>
      </w:tr>
      <w:tr>
        <w:trPr/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 xml:space="preserve">Gerador axial flux </w:t>
            </w:r>
            <w:r>
              <w:rPr>
                <w:rFonts w:ascii="Arial" w:hAnsi="Arial"/>
                <w:i/>
                <w:iCs/>
                <w:color w:val="000000"/>
              </w:rPr>
              <w:t>coreless</w:t>
            </w:r>
            <w:r>
              <w:rPr>
                <w:rFonts w:ascii="Arial" w:hAnsi="Arial"/>
                <w:color w:val="000000"/>
              </w:rPr>
              <w:t xml:space="preserve"> (1 kW, rooftop)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 xml:space="preserve">10,73 W a ~80 rpm; 300 W a 200 rpm; 100 V e 700 W a 400 rpm </w:t>
            </w:r>
            <w:r>
              <w:rPr>
                <w:rFonts w:ascii="Arial" w:hAnsi="Arial"/>
              </w:rPr>
              <w:t>(Khan et al., 2023, p. 24)</w:t>
            </w:r>
          </w:p>
        </w:tc>
      </w:tr>
      <w:tr>
        <w:trPr/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Curva P_el(U) do gerador axial flux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sdt>
              <w:sdtPr>
                <w:tag w:val="goog_rdk_16"/>
                <w:id w:val="-1375921801"/>
              </w:sdtPr>
              <w:sdtContent>
                <w:r>
                  <w:rPr>
                    <w:rFonts w:eastAsia="Cardo" w:cs="Cardo" w:ascii="Arial" w:hAnsi="Arial"/>
                    <w:color w:val="000000"/>
                  </w:rPr>
                </w:r>
                <w:r>
                  <w:rPr>
                    <w:rFonts w:eastAsia="Cardo" w:cs="Cardo" w:ascii="Arial" w:hAnsi="Arial"/>
                    <w:color w:val="000000"/>
                  </w:rPr>
                  <w:t xml:space="preserve">3 m/s → 218 rpm → 0,11 W; 5 m/s → 437 rpm → 0,78 W; 7 m/s → 627 rpm → 1,28 W </w:t>
                </w:r>
              </w:sdtContent>
            </w:sdt>
            <w:r>
              <w:rPr>
                <w:rFonts w:ascii="Arial" w:hAnsi="Arial"/>
              </w:rPr>
              <w:t>(Khan et al., 2023, p. 18)</w:t>
            </w:r>
          </w:p>
        </w:tc>
      </w:tr>
    </w:tbl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</w:rPr>
        <w:t>3.5 Registros e curvas</w:t>
      </w:r>
    </w:p>
    <w:p>
      <w:pPr>
        <w:pStyle w:val="Normal"/>
        <w:numPr>
          <w:ilvl w:val="0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Tabela de medição</w:t>
      </w:r>
      <w:r>
        <w:rPr>
          <w:rFonts w:ascii="Arial" w:hAnsi="Arial"/>
          <w:color w:val="000000"/>
          <w:lang w:val="pt-BR"/>
        </w:rPr>
        <w:t xml:space="preserve"> com colunas: U (m/s), rotação (rpm), V (V), I (A), P_el (W), P_mec (W, se torquímetro), C_P, </w:t>
      </w:r>
      <w:r>
        <w:rPr>
          <w:rFonts w:ascii="Arial" w:hAnsi="Arial"/>
          <w:color w:val="000000"/>
        </w:rPr>
        <w:t>λ</w:t>
      </w:r>
      <w:r>
        <w:rPr>
          <w:rFonts w:ascii="Arial" w:hAnsi="Arial"/>
          <w:color w:val="000000"/>
          <w:lang w:val="pt-BR"/>
        </w:rPr>
        <w:t xml:space="preserve">, </w:t>
      </w:r>
      <w:r>
        <w:rPr>
          <w:rFonts w:ascii="Arial" w:hAnsi="Arial"/>
          <w:color w:val="000000"/>
        </w:rPr>
        <w:t>η</w:t>
      </w:r>
      <w:r>
        <w:rPr>
          <w:rFonts w:ascii="Arial" w:hAnsi="Arial"/>
          <w:color w:val="000000"/>
          <w:lang w:val="pt-BR"/>
        </w:rPr>
        <w:t xml:space="preserve">_ger, </w:t>
      </w:r>
      <w:r>
        <w:rPr>
          <w:rFonts w:ascii="Arial" w:hAnsi="Arial"/>
          <w:color w:val="000000"/>
        </w:rPr>
        <w:t>η</w:t>
      </w:r>
      <w:r>
        <w:rPr>
          <w:rFonts w:ascii="Arial" w:hAnsi="Arial"/>
          <w:color w:val="000000"/>
          <w:lang w:val="pt-BR"/>
        </w:rPr>
        <w:t>_conjunto — preenchida a cada ponto de vento.</w:t>
      </w:r>
    </w:p>
    <w:p>
      <w:pPr>
        <w:pStyle w:val="Normal"/>
        <w:numPr>
          <w:ilvl w:val="0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Curvas</w:t>
      </w:r>
      <w:r>
        <w:rPr>
          <w:rFonts w:ascii="Arial" w:hAnsi="Arial"/>
          <w:color w:val="000000"/>
          <w:lang w:val="pt-BR"/>
        </w:rPr>
        <w:t xml:space="preserve">: P_el(U) — potência elétrica de saída vs. vento; </w:t>
      </w:r>
      <w:r>
        <w:rPr>
          <w:rFonts w:ascii="Arial" w:hAnsi="Arial"/>
          <w:color w:val="000000"/>
        </w:rPr>
        <w:t>η</w:t>
      </w:r>
      <w:r>
        <w:rPr>
          <w:rFonts w:ascii="Arial" w:hAnsi="Arial"/>
          <w:color w:val="000000"/>
          <w:lang w:val="pt-BR"/>
        </w:rPr>
        <w:t>_ger(U) — eficiência do gerador; e C_P–</w:t>
      </w:r>
      <w:r>
        <w:rPr>
          <w:rFonts w:ascii="Arial" w:hAnsi="Arial"/>
          <w:color w:val="000000"/>
        </w:rPr>
        <w:t>λ</w:t>
      </w:r>
      <w:r>
        <w:rPr>
          <w:rFonts w:ascii="Arial" w:hAnsi="Arial"/>
          <w:color w:val="000000"/>
          <w:lang w:val="pt-BR"/>
        </w:rPr>
        <w:t xml:space="preserve"> (quando houver torquímetro).</w:t>
      </w:r>
    </w:p>
    <w:p>
      <w:pPr>
        <w:pStyle w:val="Normal"/>
        <w:numPr>
          <w:ilvl w:val="0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Fechamento do balanço</w:t>
      </w:r>
      <w:r>
        <w:rPr>
          <w:rFonts w:ascii="Arial" w:hAnsi="Arial"/>
          <w:color w:val="000000"/>
          <w:lang w:val="pt-BR"/>
        </w:rPr>
        <w:t>: comparar a energia elétrica medida no período com a estimada pelo modelo da Fase 4; recalibrar o C_P de projeto e realimentar o registro de ciclo de vida do item 4 do Anexo F com a eficiência real medida, pois a eficiência de conversão influencia diretamente a energia entregue e o balanço ambiental do sistema (Colorado et al., 2024, p. 3).</w:t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pBdr>
          <w:bottom w:val="single" w:sz="6" w:space="1" w:color="000000"/>
        </w:pBdr>
        <w:spacing w:before="240" w:after="24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2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Anexo G — Fase 7: Relatório de monitoramento e pacote didático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Objetivo:</w:t>
      </w:r>
      <w:r>
        <w:rPr>
          <w:rFonts w:ascii="Arial" w:hAnsi="Arial"/>
          <w:color w:val="000000"/>
          <w:lang w:val="pt-BR"/>
        </w:rPr>
        <w:t xml:space="preserve"> roteirizar a instalação piloto, o monitoramento e a avaliação de competências SHES, e a estrutura do pacote didático de replicação.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</w:rPr>
        <w:t>Conteúdo proposto:</w:t>
      </w:r>
    </w:p>
    <w:p>
      <w:pPr>
        <w:pStyle w:val="Normal"/>
        <w:numPr>
          <w:ilvl w:val="0"/>
          <w:numId w:val="4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Roteiro de monitoramento</w:t>
      </w:r>
      <w:r>
        <w:rPr>
          <w:rFonts w:ascii="Arial" w:hAnsi="Arial"/>
          <w:color w:val="000000"/>
          <w:lang w:val="pt-BR"/>
        </w:rPr>
        <w:t xml:space="preserve"> com três blocos de indicadores:</w:t>
      </w:r>
    </w:p>
    <w:p>
      <w:pPr>
        <w:pStyle w:val="Normal"/>
        <w:numPr>
          <w:ilvl w:val="1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Técnicos: energia gerada (kWh/período), disponibilidade, manutenções;</w:t>
      </w:r>
    </w:p>
    <w:p>
      <w:pPr>
        <w:pStyle w:val="Normal"/>
        <w:numPr>
          <w:ilvl w:val="1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Sociais: aceitação da comunidade, uso efetivo, capacitação de moradores para operação;</w:t>
      </w:r>
    </w:p>
    <w:p>
      <w:pPr>
        <w:pStyle w:val="Normal"/>
        <w:numPr>
          <w:ilvl w:val="1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Ambientais: verificação do LCA previsto no Anexo F em operação real.</w:t>
      </w:r>
    </w:p>
    <w:p>
      <w:pPr>
        <w:pStyle w:val="Normal"/>
        <w:numPr>
          <w:ilvl w:val="0"/>
          <w:numId w:val="4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Rubricas de avaliação de competências SHES</w:t>
      </w:r>
      <w:r>
        <w:rPr>
          <w:rFonts w:ascii="Arial" w:hAnsi="Arial"/>
          <w:color w:val="000000"/>
          <w:lang w:val="pt-BR"/>
        </w:rPr>
        <w:t xml:space="preserve"> — uma rubrica por competência baseada na abordagem SHES (Focht &amp; Barresi, 2018; Focht &amp; Bell, 2018), com níveis propostos (ex.: "iniciante", "em desenvolvimento", "adequado", "avançado") e instrumentos: portfólio, autoavaliação, avaliação por pares, observação direta e avaliação das apresentações quanto ao mérito técnico e à integração das dimensões de sustentabilidade.</w:t>
      </w:r>
    </w:p>
    <w:p>
      <w:pPr>
        <w:pStyle w:val="Normal"/>
        <w:numPr>
          <w:ilvl w:val="0"/>
          <w:numId w:val="4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Estrutura do pacote didático</w:t>
      </w:r>
      <w:r>
        <w:rPr>
          <w:rFonts w:ascii="Arial" w:hAnsi="Arial"/>
          <w:color w:val="000000"/>
          <w:lang w:val="pt-BR"/>
        </w:rPr>
        <w:t>: guia do itinerário (as sete fases), os modelos dos Anexos A–F preenchidos como exemplo, materiais de oficina (slides, roteiros de bancada) e artigo de divulgação; alinhamento aos ODS 4, 7, 9, 11, 12 e 13 (e demais ODS do marco, quando aplicável).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Subsídios:</w:t>
      </w:r>
      <w:r>
        <w:rPr>
          <w:rFonts w:ascii="Arial" w:hAnsi="Arial"/>
          <w:color w:val="000000"/>
          <w:lang w:val="pt-BR"/>
        </w:rPr>
        <w:t xml:space="preserve"> evidências educacionais de motivação dos estudantes em PBL de energias renováveis </w:t>
      </w:r>
      <w:r>
        <w:rPr>
          <w:rFonts w:ascii="Arial" w:hAnsi="Arial"/>
          <w:lang w:val="pt-BR"/>
        </w:rPr>
        <w:t>(Ariza &amp; Olatunde-Aiyedun, 2023)</w:t>
      </w:r>
      <w:r>
        <w:rPr>
          <w:rFonts w:ascii="Arial" w:hAnsi="Arial"/>
          <w:color w:val="000000"/>
          <w:lang w:val="pt-BR"/>
        </w:rPr>
        <w:t xml:space="preserve"> e satisfação de 97% na integração CAD/CAE/CAM </w:t>
      </w:r>
      <w:r>
        <w:rPr>
          <w:rFonts w:ascii="Arial" w:hAnsi="Arial"/>
          <w:lang w:val="pt-BR"/>
        </w:rPr>
        <w:t>(Fernandes et al., 2020)</w:t>
      </w:r>
      <w:r>
        <w:rPr>
          <w:rFonts w:ascii="Arial" w:hAnsi="Arial"/>
          <w:color w:val="000000"/>
          <w:lang w:val="pt-BR"/>
        </w:rPr>
        <w:t xml:space="preserve"> servem de linha de base para comparar os resultados de avaliação do itinerário.</w:t>
      </w:r>
    </w:p>
    <w:p>
      <w:pPr>
        <w:pStyle w:val="Normal"/>
        <w:pBdr>
          <w:bottom w:val="single" w:sz="6" w:space="1" w:color="000000"/>
        </w:pBdr>
        <w:spacing w:before="240" w:after="24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Pensamento holístico e sistêmico</w:t>
      </w:r>
      <w:r>
        <w:rPr>
          <w:rFonts w:ascii="Arial" w:hAnsi="Arial"/>
          <w:color w:val="000000"/>
          <w:lang w:val="pt-BR"/>
        </w:rPr>
        <w:t xml:space="preserve"> — a primeira da lista do itinerário e a mais diretamente mobilizada nas sete fases — como modelo de referência para o Anexo G. A escolha se justifica porque essa competência é a que melhor permite calibrar o método: uma vez validada sua estrutura (critérios, níveis, instrumentos e evidências), as demais rubricas (transdisciplinaridade, complexidade, adaptabilidade, diversidade, colaboração e planejamento) seguem o mesmo gabarito com os critérios trocados.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 xml:space="preserve">A fundamentação dos critérios usa fontes verificáveis: a natureza interconectada dos sistemas de energia — dinâmica, retroalimentações, atrasos e complexidade, com o "sistema controlado" se auto-adaptando em resposta a políticas, infraestrutura, preços e educação </w:t>
      </w:r>
      <w:r>
        <w:rPr>
          <w:rFonts w:ascii="Arial" w:hAnsi="Arial"/>
          <w:lang w:val="pt-BR"/>
        </w:rPr>
        <w:t>(Morte et al., 2023, p. 624)</w:t>
      </w:r>
      <w:r>
        <w:rPr>
          <w:rFonts w:ascii="Arial" w:hAnsi="Arial"/>
          <w:color w:val="000000"/>
          <w:lang w:val="pt-BR"/>
        </w:rPr>
        <w:t xml:space="preserve"> —; os padrões de pensamento integrativo, sistêmico e multiescalar no projeto para sustentabilidade forte </w:t>
      </w:r>
      <w:r>
        <w:rPr>
          <w:rFonts w:ascii="Arial" w:hAnsi="Arial"/>
          <w:lang w:val="pt-BR"/>
        </w:rPr>
        <w:t>(Cisternas et al., 2024, p. 100224)</w:t>
      </w:r>
      <w:r>
        <w:rPr>
          <w:rFonts w:ascii="Arial" w:hAnsi="Arial"/>
          <w:color w:val="000000"/>
          <w:lang w:val="pt-BR"/>
        </w:rPr>
        <w:t xml:space="preserve">; e a evidência de que a resolução de problemas complexos em grupo desenvolve competências reais para o trabalho e a ação social transformadora, com o exercício metacognitivo de "aprender a aprender" e a heteroavaliação crítica entre pares </w:t>
      </w:r>
      <w:r>
        <w:rPr>
          <w:rFonts w:ascii="Arial" w:hAnsi="Arial"/>
          <w:lang w:val="pt-BR"/>
        </w:rPr>
        <w:t>(Ulazia &amp; Ibarra‐Berastegi, 2020, p. 2504)</w:t>
      </w:r>
      <w:r>
        <w:rPr>
          <w:rFonts w:ascii="Arial" w:hAnsi="Arial"/>
          <w:color w:val="000000"/>
          <w:lang w:val="pt-BR"/>
        </w:rPr>
        <w:t>.</w:t>
      </w:r>
    </w:p>
    <w:p>
      <w:pPr>
        <w:pStyle w:val="Normal"/>
        <w:pBdr>
          <w:bottom w:val="single" w:sz="6" w:space="1" w:color="000000"/>
        </w:pBdr>
        <w:spacing w:before="240" w:after="24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2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Anexo G — Rubrica de referência: Competência "Pensamento holístico e sistêmico"</w:t>
      </w:r>
    </w:p>
    <w:p>
      <w:pPr>
        <w:pStyle w:val="Heading3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G.1 Definição da competência (para o enunciado da rubrica)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Capacidade de compreender a situação-problema como um sistema socioambiental integrado — reconhecendo a interdependência entre os subsystems humanos (sociais, econômicos, políticos) e ambientais (ecológicos, biofísicos) —, mapeando elementos, fronteiras, escalas e retroalimentações, e utilizando essa visão sistêmica para fundamentar as decisões de engenharia do gerador eólico ao longo das sete fases do itinerário.</w:t>
      </w:r>
    </w:p>
    <w:p>
      <w:pPr>
        <w:pStyle w:val="Heading3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G.2 Critérios de avaliação (C1–C5)</w:t>
      </w:r>
    </w:p>
    <w:tbl>
      <w:tblPr>
        <w:tblStyle w:val="a6"/>
        <w:tblW w:w="89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59"/>
        <w:gridCol w:w="2010"/>
        <w:gridCol w:w="3825"/>
        <w:gridCol w:w="2175"/>
      </w:tblGrid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Código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Critério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O que observa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Fases em que a evidência é produzida</w:t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C1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Sistematização do sistema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Mapeia os elementos do sistema (comunidade, carga, vento, recursos materiais, atores institucionais, ambiente) e suas interdependências, em vez de tratar o problema como variáveis isoladas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Fases 1–2</w:t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C2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Fronteiras e escalas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Define e justifica as fronteiras do sistema (espaciais, temporais e institucionais) e articula múltiplas escalas — do componente (pá, gerador) ao sistema (comunidade, bacia eólica, cadeia de materiais)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Fases 1, 3 e 4</w:t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C3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000000"/>
                <w:lang w:val="pt-BR"/>
              </w:rPr>
              <w:t>Integração das dimensões nas decisões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Incorpora as dimensões técnica, social, econômica e ambiental nas decisões de projeto (ex.: escolha do material conciliando desempenho, custo, durabilidade UV e reciclabilidade)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Fases 3, 5 e 6</w:t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C4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Retroalimentações e dinâmica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Identifica ciclos de retroalimentação do sistema (ex.: disponibilidade de vento × uso × manutenção; custo de energia × adoção; iterabilidade entre fases do itinerário) e os usa para revisar decisões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Fases 4–7</w:t>
            </w:r>
          </w:p>
        </w:tc>
      </w:tr>
      <w:tr>
        <w:trPr/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C5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Reflexão e metacognição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Explicita o próprio raciocínio sistêmico, revisa hipóteses a partir de evidências (ensaio de bancada, monitoramento) e transfere o aprendizado para novos contextos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Fases 6–7</w:t>
            </w:r>
          </w:p>
        </w:tc>
      </w:tr>
    </w:tbl>
    <w:p>
      <w:pPr>
        <w:pStyle w:val="Heading3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G.3 Matriz da rubrica (níveis de desempenho)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Escala de 4 níveis, com pesos sugeridos por critério (total 100%):</w:t>
      </w:r>
    </w:p>
    <w:tbl>
      <w:tblPr>
        <w:tblStyle w:val="a7"/>
        <w:tblW w:w="88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335"/>
        <w:gridCol w:w="1814"/>
        <w:gridCol w:w="1545"/>
        <w:gridCol w:w="2100"/>
        <w:gridCol w:w="2101"/>
      </w:tblGrid>
      <w:tr>
        <w:trPr/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Critério (peso)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Nível 1 — Iniciante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Nível 2 — Em desenvolvimento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Nível 3 — Proficiente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Nível 4 — Avançado</w:t>
            </w:r>
          </w:p>
        </w:tc>
      </w:tr>
      <w:tr>
        <w:trPr/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C1 — Sistematização (25%)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Descreve o problema como lista de requisitos técnicos isolados; não relaciona a comunidade ao sistema técnico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Identifica os principais elementos (comunidade, vento, carga), mas as relações são parciais ou unidirecionais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Mapeia elementos e interdependências humano-ambientais de forma coerente no dossiê e no relatório de revisão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O mapa de interdependências é completo, validado com a comunidade e revisado ao longo do projeto; antecipações de efeitos indiretos são documentadas</w:t>
            </w:r>
          </w:p>
        </w:tc>
      </w:tr>
      <w:tr>
        <w:trPr/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C2 — Fronteiras e escalas (20%)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Não explicita fronteiras; mistura escalas sem critério (ex.: trata a pá e a comunidade na mesma granularidade)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Define fronteiras básicas, mas sem justificativa; considera ao menos duas escalas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Define e justifica fronteiras do sistema e articula as escalas do componente à comunidade de forma explícita na documentação técnica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sdt>
              <w:sdtPr>
                <w:tag w:val="goog_rdk_17"/>
                <w:id w:val="1607546115"/>
              </w:sdtPr>
              <w:sdtContent>
                <w:r>
                  <w:rPr>
                    <w:rFonts w:eastAsia="Cardo" w:cs="Cardo" w:ascii="Arial" w:hAnsi="Arial"/>
                    <w:color w:val="000000"/>
                    <w:lang w:val="pt-BR"/>
                  </w:rPr>
                </w:r>
                <w:r>
                  <w:rPr>
                    <w:rFonts w:eastAsia="Cardo" w:cs="Cardo" w:ascii="Arial" w:hAnsi="Arial"/>
                    <w:color w:val="000000"/>
                    <w:lang w:val="pt-BR"/>
                  </w:rPr>
                  <w:t>Articula múltiplas escalas (componente → rotor → comunidade → cadeia de materiais → ciclo de vida) com justificativas revisáveis e consequências práticas para o projeto</w:t>
                </w:r>
              </w:sdtContent>
            </w:sdt>
          </w:p>
        </w:tc>
      </w:tr>
      <w:tr>
        <w:trPr/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C3 — Integração nas decisões (25%)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Decisões de projeto puramente técnicas, sem registro das dimensões sociais, econômicas ou ambientais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Considera dimensões adicionais, mas de forma acessória ou apenas em uma etapa (ex.: só no material)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Integra as dimensões de sustentabilidade nas decisões principais (material, geometria, gerador, implantação) com justificativa registrada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As decisões demonstram equilíbrio explícito entre dimensões com trade-offs documentados e revistos quando novas evidências surgem</w:t>
            </w:r>
          </w:p>
        </w:tc>
      </w:tr>
      <w:tr>
        <w:trPr/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C4 — Retroalimentações (15%)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Não identifica ciclos de retroalimentação; trata o projeto como sequência linear de tarefas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Identifica ao menos um ciclo (ex.: itinerário iterativo), sem usá-lo para revisar decisões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Identifica retroalimentações relevantes e as utiliza para reorientar o projeto entre as fases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Modela explicitamente os ciclos do sistema (ex.: vento × uso × manutenção; custo × adoção) e os usa para antecipar comportamentos e revisar o projeto de forma documentada</w:t>
            </w:r>
          </w:p>
        </w:tc>
      </w:tr>
      <w:tr>
        <w:trPr/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C5 — Reflexão e metacognição (15%)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Não explicita o raciocínio; mantém hipóteses iniciais mesmo diante de evidências contrárias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Reflete sobre o processo em momentos isolados (ex.: relatório final apenas)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Explicita o raciocínio sistêmico no portfólio e revisa hipóteses com base nas evidências de bancada e de campo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Demonstra metacognição contínua ("aprender a aprender"): transfere explicitamente o raciocínio sistêmico para novos problemas e orienta colegas nesse movimento</w:t>
            </w:r>
          </w:p>
        </w:tc>
      </w:tr>
    </w:tbl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Pontuação</w:t>
      </w:r>
      <w:sdt>
        <w:sdtPr>
          <w:tag w:val="goog_rdk_18"/>
          <w:id w:val="-658507647"/>
        </w:sdtPr>
        <w:sdtContent>
          <w:r>
            <w:rPr>
              <w:rFonts w:ascii="Arial" w:hAnsi="Arial"/>
              <w:b/>
              <w:bCs/>
              <w:color w:val="000000"/>
              <w:lang w:val="pt-BR"/>
            </w:rPr>
          </w:r>
          <w:r>
            <w:rPr>
              <w:rFonts w:eastAsia="Cardo" w:cs="Cardo" w:ascii="Arial" w:hAnsi="Arial"/>
              <w:color w:val="000000"/>
              <w:lang w:val="pt-BR"/>
            </w:rPr>
            <w:t xml:space="preserve">: nota do critério = nível (1–4); nota da competência = </w:t>
          </w:r>
          <w:r>
            <w:rPr>
              <w:rFonts w:eastAsia="Cardo" w:cs="Cardo" w:ascii="Arial" w:hAnsi="Arial"/>
              <w:color w:val="000000"/>
            </w:rPr>
            <w:t>Σ</w:t>
          </w:r>
          <w:r>
            <w:rPr>
              <w:rFonts w:eastAsia="Cardo" w:cs="Cardo" w:ascii="Arial" w:hAnsi="Arial"/>
              <w:color w:val="000000"/>
              <w:lang w:val="pt-BR"/>
            </w:rPr>
            <w:t>(nível × peso). Sugestão de escala final: &lt; 2,0 — reprovado na competência (retomar com tutoria); 2,0–2,7 — em desenvolvimento; 2,8–3,4 — proficiente; ≥ 3,5 — avançado.</w:t>
          </w:r>
        </w:sdtContent>
      </w:sdt>
    </w:p>
    <w:p>
      <w:pPr>
        <w:pStyle w:val="Heading3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G.4 Instrumentos e evidências (triangulação)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A nota final da competência deve ser composta pela triangulação de quatro instrumentos, com pesos sugeridos:</w:t>
      </w:r>
    </w:p>
    <w:tbl>
      <w:tblPr>
        <w:tblStyle w:val="a8"/>
        <w:tblW w:w="89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745"/>
        <w:gridCol w:w="4335"/>
        <w:gridCol w:w="1845"/>
      </w:tblGrid>
      <w:tr>
        <w:trPr/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Instrumento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Evidência observada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7" w:val="clear"/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Peso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Portfólio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Mapa do sistema (C1, C2), justificativas de trade-offs (C3), registro das revisões entre fases (C4) — produzido nos Anexos A–F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40%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Observação direta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Conduta nas reuniões de equipe e tutoria: articulação de escalas, questionamento de fronteiras, uso de evidências para revisar decisões (C2–C5)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25%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Avaliação por pares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 xml:space="preserve">Heteroavaliação dentro da equipe: contribuição para o raciocínio coletivo e para o "aprender a aprender" do grupo (C1, C5) — prática coerente com a crítica entre pares documentada em PBL de energias renováveis </w:t>
            </w:r>
            <w:r>
              <w:rPr>
                <w:rFonts w:ascii="Arial" w:hAnsi="Arial"/>
                <w:lang w:val="pt-BR"/>
              </w:rPr>
              <w:t>(Ulazia &amp; Ibarra‐Berastegi, 2020, p. 2504)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20%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Autoavaliação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lang w:val="pt-BR"/>
              </w:rPr>
              <w:t>Autorrelato estruturado com base na própria rubrica (C5), com exemplos concretos de revisão de hipóteses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44" w:after="7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15%</w:t>
            </w:r>
          </w:p>
        </w:tc>
      </w:tr>
    </w:tbl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As apresentações das atividades são avaliadas em separado quanto ao conteúdo técnico e à integração das dimensões de sustentabilidade, servindo de evidência complementar — não substitutiva — para C3.</w:t>
      </w:r>
    </w:p>
    <w:p>
      <w:pPr>
        <w:pStyle w:val="Heading3"/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G.5 Rúbrica de aplicação (roteiro do avaliador)</w:t>
      </w:r>
    </w:p>
    <w:p>
      <w:pPr>
        <w:pStyle w:val="Normal"/>
        <w:numPr>
          <w:ilvl w:val="0"/>
          <w:numId w:val="5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Calibração inicial</w:t>
      </w:r>
      <w:r>
        <w:rPr>
          <w:rFonts w:ascii="Arial" w:hAnsi="Arial"/>
          <w:color w:val="000000"/>
          <w:lang w:val="pt-BR"/>
        </w:rPr>
        <w:t>: antes da primeira aplicação, a equipe docente avalia coletivamente um portfólio-piloto e negocia o nível de cada critério, reduzindo a variabilidade entre avaliadores.</w:t>
      </w:r>
    </w:p>
    <w:p>
      <w:pPr>
        <w:pStyle w:val="Normal"/>
        <w:numPr>
          <w:ilvl w:val="0"/>
          <w:numId w:val="5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Momentos de aplicação</w:t>
      </w:r>
      <w:r>
        <w:rPr>
          <w:rFonts w:ascii="Arial" w:hAnsi="Arial"/>
          <w:color w:val="000000"/>
          <w:lang w:val="pt-BR"/>
        </w:rPr>
        <w:t>: três janelas — ao final da Fase 3 (diagnóstico formativo, sem nota), ao final da Fase 6 (formativa com devolutiva) e ao final da Fase 7 (somativa). A evolução entre janelas é, ela própria, evidência de C4 e C5.</w:t>
      </w:r>
    </w:p>
    <w:p>
      <w:pPr>
        <w:pStyle w:val="Normal"/>
        <w:numPr>
          <w:ilvl w:val="0"/>
          <w:numId w:val="5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Evidência mínima</w:t>
      </w:r>
      <w:r>
        <w:rPr>
          <w:rFonts w:ascii="Arial" w:hAnsi="Arial"/>
          <w:color w:val="000000"/>
          <w:lang w:val="pt-BR"/>
        </w:rPr>
        <w:t>: nenhuma nota pode ser atribuída a um critério sem ao menos uma evidência documental (Anexos A–G) ou registrada de observação.</w:t>
      </w:r>
    </w:p>
    <w:p>
      <w:pPr>
        <w:pStyle w:val="Normal"/>
        <w:numPr>
          <w:ilvl w:val="0"/>
          <w:numId w:val="5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Devolutiva</w:t>
      </w:r>
      <w:r>
        <w:rPr>
          <w:rFonts w:ascii="Arial" w:hAnsi="Arial"/>
          <w:color w:val="000000"/>
          <w:lang w:val="pt-BR"/>
        </w:rPr>
        <w:t>: para cada critério abaixo de "proficiente", indicar a evidência faltante e a fase em que ela deve ser (re)produzida.</w:t>
      </w:r>
    </w:p>
    <w:p>
      <w:pPr>
        <w:pStyle w:val="Normal"/>
        <w:numPr>
          <w:ilvl w:val="0"/>
          <w:numId w:val="5"/>
        </w:numPr>
        <w:pBdr/>
        <w:jc w:val="both"/>
        <w:rPr>
          <w:rFonts w:ascii="Arial" w:hAnsi="Arial"/>
        </w:rPr>
      </w:pPr>
      <w:r>
        <w:rPr>
          <w:rFonts w:ascii="Arial" w:hAnsi="Arial"/>
          <w:b/>
          <w:bCs/>
          <w:color w:val="000000"/>
          <w:lang w:val="pt-BR"/>
        </w:rPr>
        <w:t>Uso como modelo</w:t>
      </w:r>
      <w:r>
        <w:rPr>
          <w:rFonts w:ascii="Arial" w:hAnsi="Arial"/>
          <w:color w:val="000000"/>
          <w:lang w:val="pt-BR"/>
        </w:rPr>
        <w:t>: para as demais competências (transdisciplinaridade, complexidade, adaptabilidade, diversidade, colaboração com partes interessadas, planejamento de projetos), manter a estrutura — definição, 5 critérios, 4 níveis, pesos, triangulação e janelas — substituindo os descritores pelos comportamentos específicos de cada competência.</w:t>
      </w:r>
    </w:p>
    <w:p>
      <w:pPr>
        <w:pStyle w:val="Heading3"/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G.6 Alinhamento com a literatura de base</w:t>
      </w:r>
    </w:p>
    <w:p>
      <w:pPr>
        <w:pStyle w:val="Normal"/>
        <w:numPr>
          <w:ilvl w:val="0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A natureza sistêmica dos problemas de energia — dinâmica, retroalimentações, atrasos e complexidade, com sistemas que se auto-adaptam a políticas, infraestrutura, preços e educação — fundamenta os critérios C1 e C4 (Morte et al., 2023, p. 624).</w:t>
      </w:r>
    </w:p>
    <w:p>
      <w:pPr>
        <w:pStyle w:val="Normal"/>
        <w:numPr>
          <w:ilvl w:val="0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Os padrões de pensamento integrativo, sistêmico e multiescalar, validados em processo de design para sustentabilidade forte, fundamentam o critério C2 (Cisternas et al., 2024, p. 100224).</w:t>
      </w:r>
    </w:p>
    <w:p>
      <w:pPr>
        <w:pStyle w:val="Normal"/>
        <w:numPr>
          <w:ilvl w:val="0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A evidência de que a resolução de problemas complexos em grupo desenvolve competências reais para o trabalho e a ação social transformadora, com metacognição e crítica entre pares, fundamenta os critérios C5 e o instrumento de avaliação por pares (Ulazia &amp; Ibarra‐Berastegi, 2020, p. 2504).</w:t>
      </w:r>
    </w:p>
    <w:p>
      <w:pPr>
        <w:pStyle w:val="Normal"/>
        <w:numPr>
          <w:ilvl w:val="0"/>
          <w:numId w:val="1"/>
        </w:numPr>
        <w:pBdr/>
        <w:jc w:val="both"/>
        <w:rPr>
          <w:rFonts w:ascii="Arial" w:hAnsi="Arial"/>
        </w:rPr>
      </w:pPr>
      <w:r>
        <w:rPr>
          <w:rFonts w:ascii="Arial" w:hAnsi="Arial"/>
          <w:color w:val="000000"/>
          <w:lang w:val="pt-BR"/>
        </w:rPr>
        <w:t>A integração das dimensões de sustentabilidade às competências técnicas de engenharia, desafio documentado no ensino de energias renováveis, justifica o critério C3 e a avaliação das apresentações (Ariza &amp; Olatunde-Aiyedun, 2023, p. 10278).</w:t>
      </w:r>
    </w:p>
    <w:p>
      <w:pPr>
        <w:pStyle w:val="Normal"/>
        <w:pBdr/>
        <w:jc w:val="both"/>
        <w:rPr>
          <w:rFonts w:ascii="Arial" w:hAnsi="Arial"/>
          <w:sz w:val="26"/>
          <w:szCs w:val="26"/>
          <w:lang w:val="pt-BR"/>
        </w:rPr>
      </w:pPr>
      <w:r>
        <w:rPr>
          <w:rFonts w:ascii="Arial" w:hAnsi="Arial"/>
          <w:sz w:val="26"/>
          <w:szCs w:val="26"/>
          <w:lang w:val="pt-BR"/>
        </w:rPr>
      </w:r>
    </w:p>
    <w:p>
      <w:pPr>
        <w:pStyle w:val="Normal"/>
        <w:pBdr/>
        <w:jc w:val="both"/>
        <w:rPr>
          <w:rFonts w:ascii="Arial" w:hAnsi="Arial"/>
        </w:rPr>
      </w:pPr>
      <w:r>
        <w:rPr>
          <w:rFonts w:ascii="Arial" w:hAnsi="Arial"/>
          <w:sz w:val="26"/>
          <w:szCs w:val="26"/>
          <w:lang w:val="pt-BR"/>
        </w:rPr>
        <w:t>R</w:t>
      </w:r>
      <w:r>
        <w:rPr>
          <w:rFonts w:ascii="Arial" w:hAnsi="Arial"/>
          <w:color w:val="000000"/>
          <w:sz w:val="26"/>
          <w:szCs w:val="26"/>
          <w:lang w:val="pt-BR"/>
        </w:rPr>
        <w:t>eferências</w:t>
      </w:r>
    </w:p>
    <w:p>
      <w:pPr>
        <w:pStyle w:val="Normal"/>
        <w:pBdr/>
        <w:ind w:hanging="720" w:left="720"/>
        <w:jc w:val="both"/>
        <w:rPr>
          <w:rFonts w:ascii="Arial" w:hAnsi="Arial"/>
        </w:rPr>
      </w:pPr>
      <w:bookmarkStart w:id="0" w:name="bookmark=id.i9pl23l7s28l"/>
      <w:bookmarkEnd w:id="0"/>
      <w:r>
        <w:rPr>
          <w:rFonts w:ascii="Arial" w:hAnsi="Arial"/>
          <w:color w:val="000000"/>
          <w:lang w:val="pt-BR"/>
        </w:rPr>
        <w:t xml:space="preserve">  </w:t>
      </w:r>
      <w:r>
        <w:rPr>
          <w:rFonts w:ascii="Arial" w:hAnsi="Arial"/>
          <w:color w:val="000000"/>
          <w:lang w:val="pt-BR"/>
        </w:rPr>
        <w:t xml:space="preserve">Ariza, J. Á., &amp; Olatunde-Aiyedun, T. G. (2023). </w:t>
      </w:r>
      <w:r>
        <w:rPr>
          <w:rFonts w:ascii="Arial" w:hAnsi="Arial"/>
          <w:color w:val="000000"/>
        </w:rPr>
        <w:t xml:space="preserve">Bringing Project-Based Learning into Renewable and Sustainable Energy Education: A Case Study on the Development of the Electric Vehicle EOLO. </w:t>
      </w:r>
      <w:r>
        <w:rPr>
          <w:rFonts w:ascii="Arial" w:hAnsi="Arial"/>
          <w:i/>
          <w:iCs/>
          <w:color w:val="000000"/>
        </w:rPr>
        <w:t>Sustainability</w:t>
      </w:r>
      <w:r>
        <w:rPr>
          <w:rFonts w:ascii="Arial" w:hAnsi="Arial"/>
          <w:color w:val="000000"/>
        </w:rPr>
        <w:t xml:space="preserve">, </w:t>
      </w:r>
      <w:r>
        <w:rPr>
          <w:rFonts w:ascii="Arial" w:hAnsi="Arial"/>
          <w:i/>
          <w:iCs/>
          <w:color w:val="000000"/>
        </w:rPr>
        <w:t>15</w:t>
      </w:r>
      <w:r>
        <w:rPr>
          <w:rFonts w:ascii="Arial" w:hAnsi="Arial"/>
          <w:color w:val="000000"/>
        </w:rPr>
        <w:t>(13), 10275. https://doi.org/10.3390/su151310275</w:t>
      </w:r>
    </w:p>
    <w:p>
      <w:pPr>
        <w:pStyle w:val="Normal"/>
        <w:pBdr/>
        <w:ind w:hanging="720" w:left="720"/>
        <w:jc w:val="both"/>
        <w:rPr>
          <w:rFonts w:ascii="Arial" w:hAnsi="Arial"/>
        </w:rPr>
      </w:pPr>
      <w:bookmarkStart w:id="1" w:name="bookmark=id.avy4hjwn2m6g"/>
      <w:bookmarkEnd w:id="1"/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color w:val="000000"/>
        </w:rPr>
        <w:t xml:space="preserve">Cisternas, M. E., Faucheu, J., Troussier, N., &amp; Laforest, V. (2024). Implementing strong sustainability in a design process. </w:t>
      </w:r>
      <w:r>
        <w:rPr>
          <w:rFonts w:ascii="Arial" w:hAnsi="Arial"/>
          <w:i/>
          <w:iCs/>
          <w:color w:val="000000"/>
          <w:lang w:val="pt-BR"/>
        </w:rPr>
        <w:t>Cleaner Environmental Systems</w:t>
      </w:r>
      <w:r>
        <w:rPr>
          <w:rFonts w:ascii="Arial" w:hAnsi="Arial"/>
          <w:color w:val="000000"/>
          <w:lang w:val="pt-BR"/>
        </w:rPr>
        <w:t xml:space="preserve">, </w:t>
      </w:r>
      <w:r>
        <w:rPr>
          <w:rFonts w:ascii="Arial" w:hAnsi="Arial"/>
          <w:i/>
          <w:iCs/>
          <w:color w:val="000000"/>
          <w:lang w:val="pt-BR"/>
        </w:rPr>
        <w:t>15</w:t>
      </w:r>
      <w:r>
        <w:rPr>
          <w:rFonts w:ascii="Arial" w:hAnsi="Arial"/>
          <w:color w:val="000000"/>
          <w:lang w:val="pt-BR"/>
        </w:rPr>
        <w:t>, 100224. https://doi.org/10.1016/j.cesys.2024.100224</w:t>
      </w:r>
    </w:p>
    <w:p>
      <w:pPr>
        <w:pStyle w:val="JenniRefBody"/>
        <w:rPr>
          <w:rFonts w:ascii="Arial" w:hAnsi="Arial"/>
        </w:rPr>
      </w:pPr>
      <w:bookmarkStart w:id="2" w:name="bookmark=id.rt2vumfnrcy8"/>
      <w:bookmarkEnd w:id="2"/>
      <w:r>
        <w:rPr>
          <w:rFonts w:ascii="Arial" w:hAnsi="Arial"/>
        </w:rPr>
        <w:t xml:space="preserve"> </w:t>
      </w:r>
      <w:r>
        <w:rPr>
          <w:rFonts w:ascii="Arial" w:hAnsi="Arial"/>
          <w:sz w:val="20"/>
          <w:szCs w:val="20"/>
        </w:rPr>
        <w:t xml:space="preserve"> </w:t>
      </w:r>
      <w:bookmarkStart w:id="3" w:name="3ea6e743b3eb6e415c412d85291da52f"/>
      <w:r>
        <w:rPr>
          <w:rFonts w:ascii="Arial" w:hAnsi="Arial"/>
          <w:sz w:val="20"/>
          <w:szCs w:val="20"/>
        </w:rPr>
        <w:t xml:space="preserve">COLORADO, H. A.; CHICA, E.; OLIVERA, A. </w:t>
      </w:r>
      <w:r>
        <w:rPr>
          <w:rFonts w:ascii="Arial" w:hAnsi="Arial"/>
          <w:b/>
          <w:bCs/>
          <w:sz w:val="20"/>
          <w:szCs w:val="20"/>
        </w:rPr>
        <w:t>Design and Manufacturing with 3D Printing and Life Cycle Analysis of a Recyclable Polymer-Based H-Darrieus Wind Turbine</w:t>
      </w:r>
      <w:r>
        <w:rPr>
          <w:rFonts w:ascii="Arial" w:hAnsi="Arial"/>
          <w:sz w:val="20"/>
          <w:szCs w:val="20"/>
        </w:rPr>
        <w:t>. 2024. Disponível em: https://doi.org/10.30919/es1156. Acesso em: jul. 2026.</w:t>
      </w:r>
      <w:r>
        <w:rPr>
          <w:rFonts w:ascii="Arial" w:hAnsi="Arial"/>
          <w:sz w:val="24"/>
          <w:szCs w:val="24"/>
        </w:rPr>
        <w:t xml:space="preserve"> </w:t>
      </w:r>
      <w:bookmarkEnd w:id="3"/>
    </w:p>
    <w:p>
      <w:pPr>
        <w:pStyle w:val="Normal"/>
        <w:rPr>
          <w:rFonts w:ascii="Arial" w:hAnsi="Arial"/>
        </w:rPr>
      </w:pPr>
      <w:bookmarkStart w:id="4" w:name="bookmark=id.cnrrfglpl85a"/>
      <w:bookmarkEnd w:id="4"/>
      <w:r>
        <w:rPr>
          <w:rFonts w:ascii="Arial" w:hAnsi="Arial"/>
          <w:color w:val="000000"/>
          <w:lang w:val="pt-BR"/>
        </w:rPr>
        <w:t xml:space="preserve">  </w:t>
      </w:r>
      <w:r>
        <w:rPr>
          <w:rFonts w:ascii="Arial" w:hAnsi="Arial"/>
          <w:color w:val="000000"/>
          <w:lang w:val="pt-BR"/>
        </w:rPr>
        <w:t xml:space="preserve">Díaz-Canul, F., Aguilar, J. O., Hau, N. R., Simá, E., &amp; Jaramillo, Ó. A. (2025). </w:t>
      </w:r>
      <w:r>
        <w:rPr>
          <w:rFonts w:ascii="Arial" w:hAnsi="Arial"/>
          <w:color w:val="000000"/>
        </w:rPr>
        <w:t xml:space="preserve">Design of Low-Power Vertical-Axis Wind Turbine Based on Parametric Method. </w:t>
      </w:r>
      <w:r>
        <w:rPr>
          <w:rFonts w:ascii="Arial" w:hAnsi="Arial"/>
          <w:i/>
          <w:iCs/>
          <w:color w:val="000000"/>
        </w:rPr>
        <w:t>Wind</w:t>
      </w:r>
      <w:r>
        <w:rPr>
          <w:rFonts w:ascii="Arial" w:hAnsi="Arial"/>
          <w:color w:val="000000"/>
        </w:rPr>
        <w:t xml:space="preserve">, </w:t>
      </w:r>
      <w:r>
        <w:rPr>
          <w:rFonts w:ascii="Arial" w:hAnsi="Arial"/>
          <w:i/>
          <w:iCs/>
          <w:color w:val="000000"/>
        </w:rPr>
        <w:t>5</w:t>
      </w:r>
      <w:r>
        <w:rPr>
          <w:rFonts w:ascii="Arial" w:hAnsi="Arial"/>
          <w:color w:val="000000"/>
        </w:rPr>
        <w:t>(4), 35. https://doi.org/10.3390/wind5040035</w:t>
      </w:r>
    </w:p>
    <w:p>
      <w:pPr>
        <w:pStyle w:val="Normal"/>
        <w:pBdr/>
        <w:ind w:hanging="720" w:left="720"/>
        <w:jc w:val="both"/>
        <w:rPr>
          <w:rFonts w:ascii="Arial" w:hAnsi="Arial"/>
        </w:rPr>
      </w:pPr>
      <w:bookmarkStart w:id="5" w:name="bookmark=id.17gmurmslalq"/>
      <w:bookmarkEnd w:id="5"/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color w:val="000000"/>
        </w:rPr>
        <w:t xml:space="preserve">Ezhilan, J. J., Damodaran, A., &amp; Ashok, K. G. (2024). Decentralized approach for incorporating waste wind turbine blades into 3D printing filaments using mechanical recycling. </w:t>
      </w:r>
      <w:r>
        <w:rPr>
          <w:rFonts w:ascii="Arial" w:hAnsi="Arial"/>
          <w:i/>
          <w:iCs/>
          <w:color w:val="000000"/>
          <w:lang w:val="pt-BR"/>
        </w:rPr>
        <w:t>Polymer Composites</w:t>
      </w:r>
      <w:r>
        <w:rPr>
          <w:rFonts w:ascii="Arial" w:hAnsi="Arial"/>
          <w:color w:val="000000"/>
          <w:lang w:val="pt-BR"/>
        </w:rPr>
        <w:t xml:space="preserve">, </w:t>
      </w:r>
      <w:r>
        <w:rPr>
          <w:rFonts w:ascii="Arial" w:hAnsi="Arial"/>
          <w:i/>
          <w:iCs/>
          <w:color w:val="000000"/>
          <w:lang w:val="pt-BR"/>
        </w:rPr>
        <w:t>46</w:t>
      </w:r>
      <w:r>
        <w:rPr>
          <w:rFonts w:ascii="Arial" w:hAnsi="Arial"/>
          <w:color w:val="000000"/>
          <w:lang w:val="pt-BR"/>
        </w:rPr>
        <w:t>(3), 2319–2332. https://doi.org/10.1002/pc.29107</w:t>
      </w:r>
    </w:p>
    <w:p>
      <w:pPr>
        <w:pStyle w:val="Normal"/>
        <w:pBdr/>
        <w:ind w:hanging="720" w:left="720"/>
        <w:jc w:val="both"/>
        <w:rPr>
          <w:rFonts w:ascii="Arial" w:hAnsi="Arial"/>
        </w:rPr>
      </w:pPr>
      <w:bookmarkStart w:id="6" w:name="bookmark=id.wzei4occhyg3"/>
      <w:bookmarkEnd w:id="6"/>
      <w:r>
        <w:rPr>
          <w:rFonts w:ascii="Arial" w:hAnsi="Arial"/>
          <w:color w:val="000000"/>
          <w:lang w:val="pt-BR"/>
        </w:rPr>
        <w:t xml:space="preserve">  </w:t>
      </w:r>
      <w:r>
        <w:rPr>
          <w:rFonts w:ascii="Arial" w:hAnsi="Arial"/>
          <w:color w:val="000000"/>
          <w:lang w:val="pt-BR"/>
        </w:rPr>
        <w:t xml:space="preserve">Fernandes, F. A. O., Júnior, N. F., Daleffe, A., Fritzen, D., &amp; Sousa, R. J. A. de. </w:t>
      </w:r>
      <w:r>
        <w:rPr>
          <w:rFonts w:ascii="Arial" w:hAnsi="Arial"/>
          <w:color w:val="000000"/>
        </w:rPr>
        <w:t xml:space="preserve">(2020). Integrating CAD/CAE/CAM in Engineering Curricula: A Project-Based Learning Approach. </w:t>
      </w:r>
      <w:r>
        <w:rPr>
          <w:rFonts w:ascii="Arial" w:hAnsi="Arial"/>
          <w:i/>
          <w:iCs/>
          <w:color w:val="000000"/>
        </w:rPr>
        <w:t>Education Sciences</w:t>
      </w:r>
      <w:r>
        <w:rPr>
          <w:rFonts w:ascii="Arial" w:hAnsi="Arial"/>
          <w:color w:val="000000"/>
        </w:rPr>
        <w:t xml:space="preserve">, </w:t>
      </w:r>
      <w:r>
        <w:rPr>
          <w:rFonts w:ascii="Arial" w:hAnsi="Arial"/>
          <w:i/>
          <w:iCs/>
          <w:color w:val="000000"/>
        </w:rPr>
        <w:t>10</w:t>
      </w:r>
      <w:r>
        <w:rPr>
          <w:rFonts w:ascii="Arial" w:hAnsi="Arial"/>
          <w:color w:val="000000"/>
        </w:rPr>
        <w:t>(5), 125. https://doi.org/10.3390/educsci10050125</w:t>
      </w:r>
    </w:p>
    <w:p>
      <w:pPr>
        <w:pStyle w:val="Normal"/>
        <w:pBdr/>
        <w:ind w:hanging="720" w:left="720"/>
        <w:jc w:val="both"/>
        <w:rPr>
          <w:rFonts w:ascii="Arial" w:hAnsi="Arial"/>
        </w:rPr>
      </w:pPr>
      <w:bookmarkStart w:id="7" w:name="bookmark=id.s4bc77xs6tdw"/>
      <w:bookmarkEnd w:id="7"/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color w:val="000000"/>
        </w:rPr>
        <w:t xml:space="preserve">Focht, W., &amp; Barresi, P. A. (2018). </w:t>
      </w:r>
      <w:r>
        <w:rPr>
          <w:rFonts w:ascii="Arial" w:hAnsi="Arial"/>
          <w:i/>
          <w:iCs/>
          <w:color w:val="000000"/>
        </w:rPr>
        <w:t>The SHES approach to sustainability education</w:t>
      </w:r>
      <w:r>
        <w:rPr>
          <w:rFonts w:ascii="Arial" w:hAnsi="Arial"/>
          <w:color w:val="000000"/>
        </w:rPr>
        <w:t xml:space="preserve"> (pp. 62–80). https://doi.org/10.4324/9781351171601-6</w:t>
      </w:r>
    </w:p>
    <w:p>
      <w:pPr>
        <w:pStyle w:val="Normal"/>
        <w:pBdr/>
        <w:ind w:hanging="720" w:left="720"/>
        <w:jc w:val="both"/>
        <w:rPr>
          <w:rFonts w:ascii="Arial" w:hAnsi="Arial"/>
        </w:rPr>
      </w:pPr>
      <w:bookmarkStart w:id="8" w:name="bookmark=id.asb8w973amcl"/>
      <w:bookmarkEnd w:id="8"/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color w:val="000000"/>
        </w:rPr>
        <w:t xml:space="preserve">Focht, W., &amp; Bell, D. V. J. (2018). </w:t>
      </w:r>
      <w:r>
        <w:rPr>
          <w:rFonts w:ascii="Arial" w:hAnsi="Arial"/>
          <w:i/>
          <w:iCs/>
          <w:color w:val="000000"/>
        </w:rPr>
        <w:t>Why education for sustainable human and environmental systems?</w:t>
      </w:r>
      <w:r>
        <w:rPr>
          <w:rFonts w:ascii="Arial" w:hAnsi="Arial"/>
          <w:color w:val="000000"/>
        </w:rPr>
        <w:t xml:space="preserve"> (pp. 3–18). https://doi.org/10.4324/9781351171601-2</w:t>
      </w:r>
    </w:p>
    <w:p>
      <w:pPr>
        <w:pStyle w:val="Normal"/>
        <w:pBdr/>
        <w:ind w:hanging="720" w:left="720"/>
        <w:jc w:val="both"/>
        <w:rPr>
          <w:rFonts w:ascii="Arial" w:hAnsi="Arial"/>
        </w:rPr>
      </w:pPr>
      <w:bookmarkStart w:id="9" w:name="bookmark=id.c5i1a2sjoxqc"/>
      <w:bookmarkEnd w:id="9"/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color w:val="000000"/>
        </w:rPr>
        <w:t xml:space="preserve">Ghabezi, P., Sam-Daliri, O., Flanagan, T., Walls, M., &amp; Harrison, N. M. (2024). Circular economy innovation: A deep investigation on 3D printing of industrial waste polypropylene and carbon fibre composites. </w:t>
      </w:r>
      <w:r>
        <w:rPr>
          <w:rFonts w:ascii="Arial" w:hAnsi="Arial"/>
          <w:i/>
          <w:iCs/>
          <w:color w:val="000000"/>
        </w:rPr>
        <w:t>Resources Conservation and Recycling</w:t>
      </w:r>
      <w:r>
        <w:rPr>
          <w:rFonts w:ascii="Arial" w:hAnsi="Arial"/>
          <w:color w:val="000000"/>
        </w:rPr>
        <w:t xml:space="preserve">, </w:t>
      </w:r>
      <w:r>
        <w:rPr>
          <w:rFonts w:ascii="Arial" w:hAnsi="Arial"/>
          <w:i/>
          <w:iCs/>
          <w:color w:val="000000"/>
        </w:rPr>
        <w:t>206</w:t>
      </w:r>
      <w:r>
        <w:rPr>
          <w:rFonts w:ascii="Arial" w:hAnsi="Arial"/>
          <w:color w:val="000000"/>
        </w:rPr>
        <w:t>, 107667. https://doi.org/10.1016/j.resconrec.2024.107667</w:t>
      </w:r>
    </w:p>
    <w:p>
      <w:pPr>
        <w:pStyle w:val="Normal"/>
        <w:pBdr/>
        <w:ind w:hanging="720" w:left="720"/>
        <w:jc w:val="both"/>
        <w:rPr>
          <w:rFonts w:ascii="Arial" w:hAnsi="Arial"/>
        </w:rPr>
      </w:pPr>
      <w:bookmarkStart w:id="10" w:name="bookmark=id.25vsh3ga392l"/>
      <w:bookmarkEnd w:id="10"/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color w:val="000000"/>
        </w:rPr>
        <w:t xml:space="preserve">Ghane, D., &amp; Wakchaure, V. (2024). Parametric Analysis and Design Considerations for Micro Wind Turbines: A Comprehensive Review. </w:t>
      </w:r>
      <w:r>
        <w:rPr>
          <w:rFonts w:ascii="Arial" w:hAnsi="Arial"/>
          <w:i/>
          <w:iCs/>
          <w:color w:val="000000"/>
        </w:rPr>
        <w:t>Energy Engineering</w:t>
      </w:r>
      <w:r>
        <w:rPr>
          <w:rFonts w:ascii="Arial" w:hAnsi="Arial"/>
          <w:color w:val="000000"/>
        </w:rPr>
        <w:t xml:space="preserve">, </w:t>
      </w:r>
      <w:r>
        <w:rPr>
          <w:rFonts w:ascii="Arial" w:hAnsi="Arial"/>
          <w:i/>
          <w:iCs/>
          <w:color w:val="000000"/>
        </w:rPr>
        <w:t>121</w:t>
      </w:r>
      <w:r>
        <w:rPr>
          <w:rFonts w:ascii="Arial" w:hAnsi="Arial"/>
          <w:color w:val="000000"/>
        </w:rPr>
        <w:t>(11), 3199–3220. https://doi.org/10.32604/ee.2024.050952</w:t>
      </w:r>
    </w:p>
    <w:p>
      <w:pPr>
        <w:pStyle w:val="Normal"/>
        <w:pBdr/>
        <w:ind w:hanging="720" w:left="720"/>
        <w:jc w:val="both"/>
        <w:rPr>
          <w:rFonts w:ascii="Arial" w:hAnsi="Arial"/>
        </w:rPr>
      </w:pPr>
      <w:bookmarkStart w:id="11" w:name="bookmark=id.j8zffxldwgfv"/>
      <w:bookmarkEnd w:id="11"/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color w:val="000000"/>
        </w:rPr>
        <w:t xml:space="preserve">Hassan, W. U., Jalal, A., Bilal, M. A., Buzal, M. Z., Asghar, H., &amp; Ali, U. (2024). Parametric analysis of a helical-bladed vertical axis wind turbine. </w:t>
      </w:r>
      <w:r>
        <w:rPr>
          <w:rFonts w:ascii="Arial" w:hAnsi="Arial"/>
          <w:i/>
          <w:iCs/>
          <w:color w:val="000000"/>
        </w:rPr>
        <w:t>Journal of Ocean Engineering and Marine Energy</w:t>
      </w:r>
      <w:r>
        <w:rPr>
          <w:rFonts w:ascii="Arial" w:hAnsi="Arial"/>
          <w:color w:val="000000"/>
        </w:rPr>
        <w:t xml:space="preserve">, </w:t>
      </w:r>
      <w:r>
        <w:rPr>
          <w:rFonts w:ascii="Arial" w:hAnsi="Arial"/>
          <w:i/>
          <w:iCs/>
          <w:color w:val="000000"/>
        </w:rPr>
        <w:t>10</w:t>
      </w:r>
      <w:r>
        <w:rPr>
          <w:rFonts w:ascii="Arial" w:hAnsi="Arial"/>
          <w:color w:val="000000"/>
        </w:rPr>
        <w:t>(2), 383–398. https://doi.org/10.1007/s40722-024-00318-0</w:t>
      </w:r>
    </w:p>
    <w:p>
      <w:pPr>
        <w:pStyle w:val="Normal"/>
        <w:pBdr/>
        <w:ind w:hanging="720" w:left="720"/>
        <w:jc w:val="both"/>
        <w:rPr>
          <w:rFonts w:ascii="Arial" w:hAnsi="Arial"/>
        </w:rPr>
      </w:pPr>
      <w:bookmarkStart w:id="12" w:name="bookmark=id.w7z9gxl8mxbp"/>
      <w:bookmarkEnd w:id="12"/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color w:val="000000"/>
        </w:rPr>
        <w:t xml:space="preserve">Khan, T. A., Alam, M. M., Rizvi, S., Shahid, Z., &amp; Mazliham, M. S. (2023). Introducing AI applications in engineering education (PBL): An implementation of power generation at minimum wind velocity and turbine faults classification using AI. </w:t>
      </w:r>
      <w:r>
        <w:rPr>
          <w:rFonts w:ascii="Arial" w:hAnsi="Arial"/>
          <w:i/>
          <w:iCs/>
          <w:color w:val="000000"/>
        </w:rPr>
        <w:t>Computer Applications in Engineering Education</w:t>
      </w:r>
      <w:r>
        <w:rPr>
          <w:rFonts w:ascii="Arial" w:hAnsi="Arial"/>
          <w:color w:val="000000"/>
        </w:rPr>
        <w:t xml:space="preserve">, </w:t>
      </w:r>
      <w:r>
        <w:rPr>
          <w:rFonts w:ascii="Arial" w:hAnsi="Arial"/>
          <w:i/>
          <w:iCs/>
          <w:color w:val="000000"/>
        </w:rPr>
        <w:t>32</w:t>
      </w:r>
      <w:r>
        <w:rPr>
          <w:rFonts w:ascii="Arial" w:hAnsi="Arial"/>
          <w:color w:val="000000"/>
        </w:rPr>
        <w:t>(1). https://doi.org/10.1002/cae.22691</w:t>
      </w:r>
    </w:p>
    <w:p>
      <w:pPr>
        <w:pStyle w:val="Normal"/>
        <w:pBdr/>
        <w:ind w:hanging="720" w:left="720"/>
        <w:jc w:val="both"/>
        <w:rPr>
          <w:rFonts w:ascii="Arial" w:hAnsi="Arial"/>
        </w:rPr>
      </w:pPr>
      <w:bookmarkStart w:id="13" w:name="bookmark=id.bspnnyrpqry1"/>
      <w:bookmarkEnd w:id="13"/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color w:val="000000"/>
        </w:rPr>
        <w:t xml:space="preserve">Lozano, R., Merrill, M. Y., Sammalisto, K., Ceulemans, K., &amp; Lozano, F. J. (2017). Connecting Competences and Pedagogical Approaches for Sustainable Development in Higher Education: A Literature Review and Framework Proposal. </w:t>
      </w:r>
      <w:r>
        <w:rPr>
          <w:rFonts w:ascii="Arial" w:hAnsi="Arial"/>
          <w:i/>
          <w:iCs/>
          <w:color w:val="000000"/>
          <w:lang w:val="pt-BR"/>
        </w:rPr>
        <w:t>Sustainability</w:t>
      </w:r>
      <w:r>
        <w:rPr>
          <w:rFonts w:ascii="Arial" w:hAnsi="Arial"/>
          <w:color w:val="000000"/>
          <w:lang w:val="pt-BR"/>
        </w:rPr>
        <w:t xml:space="preserve">, </w:t>
      </w:r>
      <w:r>
        <w:rPr>
          <w:rFonts w:ascii="Arial" w:hAnsi="Arial"/>
          <w:i/>
          <w:iCs/>
          <w:color w:val="000000"/>
          <w:lang w:val="pt-BR"/>
        </w:rPr>
        <w:t>9</w:t>
      </w:r>
      <w:r>
        <w:rPr>
          <w:rFonts w:ascii="Arial" w:hAnsi="Arial"/>
          <w:color w:val="000000"/>
          <w:lang w:val="pt-BR"/>
        </w:rPr>
        <w:t>(10), 1889. https://doi.org/10.3390/su9101889</w:t>
      </w:r>
    </w:p>
    <w:p>
      <w:pPr>
        <w:pStyle w:val="Normal"/>
        <w:pBdr/>
        <w:ind w:hanging="720" w:left="720"/>
        <w:jc w:val="both"/>
        <w:rPr>
          <w:rFonts w:ascii="Arial" w:hAnsi="Arial"/>
        </w:rPr>
      </w:pPr>
      <w:bookmarkStart w:id="14" w:name="bookmark=id.ykv45asv7mgi"/>
      <w:bookmarkEnd w:id="14"/>
      <w:r>
        <w:rPr>
          <w:rFonts w:ascii="Arial" w:hAnsi="Arial"/>
          <w:color w:val="000000"/>
          <w:lang w:val="pt-BR"/>
        </w:rPr>
        <w:t xml:space="preserve">  </w:t>
      </w:r>
      <w:r>
        <w:rPr>
          <w:rFonts w:ascii="Arial" w:hAnsi="Arial"/>
          <w:color w:val="000000"/>
          <w:lang w:val="pt-BR"/>
        </w:rPr>
        <w:t xml:space="preserve">Morte, I. B. B., Araújo, O. de Q. F., Morgado, C. do R. V., &amp; Medeiros, J. L. de. </w:t>
      </w:r>
      <w:r>
        <w:rPr>
          <w:rFonts w:ascii="Arial" w:hAnsi="Arial"/>
          <w:color w:val="000000"/>
        </w:rPr>
        <w:t xml:space="preserve">(2023). Electrification and decarbonization: a critical review of interconnected sectors, policies, and sustainable development goals. </w:t>
      </w:r>
      <w:r>
        <w:rPr>
          <w:rFonts w:ascii="Arial" w:hAnsi="Arial"/>
          <w:i/>
          <w:iCs/>
          <w:color w:val="000000"/>
        </w:rPr>
        <w:t>Energy Storage and Saving</w:t>
      </w:r>
      <w:r>
        <w:rPr>
          <w:rFonts w:ascii="Arial" w:hAnsi="Arial"/>
          <w:color w:val="000000"/>
        </w:rPr>
        <w:t xml:space="preserve">, </w:t>
      </w:r>
      <w:r>
        <w:rPr>
          <w:rFonts w:ascii="Arial" w:hAnsi="Arial"/>
          <w:i/>
          <w:iCs/>
          <w:color w:val="000000"/>
        </w:rPr>
        <w:t>2</w:t>
      </w:r>
      <w:r>
        <w:rPr>
          <w:rFonts w:ascii="Arial" w:hAnsi="Arial"/>
          <w:color w:val="000000"/>
        </w:rPr>
        <w:t>(4), 615–630. https://doi.org/10.1016/j.enss.2023.08.004</w:t>
      </w:r>
    </w:p>
    <w:p>
      <w:pPr>
        <w:pStyle w:val="Normal"/>
        <w:pBdr/>
        <w:ind w:hanging="720" w:left="720"/>
        <w:jc w:val="both"/>
        <w:rPr>
          <w:rFonts w:ascii="Arial" w:hAnsi="Arial"/>
        </w:rPr>
      </w:pPr>
      <w:bookmarkStart w:id="15" w:name="bookmark=id.n0b1cuf1bgtc"/>
      <w:bookmarkEnd w:id="15"/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color w:val="000000"/>
        </w:rPr>
        <w:t xml:space="preserve">Patel, K. S., Shah, D. B., Joshi, S., &amp; Patel, K. M. (2023). Developments in 3D printing of carbon fiber reinforced polymer containing recycled plastic waste: A review. </w:t>
      </w:r>
      <w:r>
        <w:rPr>
          <w:rFonts w:ascii="Arial" w:hAnsi="Arial"/>
          <w:i/>
          <w:iCs/>
          <w:color w:val="000000"/>
        </w:rPr>
        <w:t>Cleaner Materials</w:t>
      </w:r>
      <w:r>
        <w:rPr>
          <w:rFonts w:ascii="Arial" w:hAnsi="Arial"/>
          <w:color w:val="000000"/>
        </w:rPr>
        <w:t xml:space="preserve">, </w:t>
      </w:r>
      <w:r>
        <w:rPr>
          <w:rFonts w:ascii="Arial" w:hAnsi="Arial"/>
          <w:i/>
          <w:iCs/>
          <w:color w:val="000000"/>
        </w:rPr>
        <w:t>9</w:t>
      </w:r>
      <w:r>
        <w:rPr>
          <w:rFonts w:ascii="Arial" w:hAnsi="Arial"/>
          <w:color w:val="000000"/>
        </w:rPr>
        <w:t>, 100207. https://doi.org/10.1016/j.clema.2023.100207</w:t>
      </w:r>
    </w:p>
    <w:p>
      <w:pPr>
        <w:pStyle w:val="Normal"/>
        <w:pBdr/>
        <w:ind w:hanging="720" w:left="720"/>
        <w:jc w:val="both"/>
        <w:rPr>
          <w:rFonts w:ascii="Arial" w:hAnsi="Arial"/>
        </w:rPr>
      </w:pPr>
      <w:bookmarkStart w:id="16" w:name="bookmark=id.kun2s1q45v64"/>
      <w:bookmarkEnd w:id="16"/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color w:val="000000"/>
        </w:rPr>
        <w:t xml:space="preserve">Rouway, M., Tarfaoui, M., Chakhchaoui, N., Omari, L. H., Fraija, F., &amp; Cherkaοui, O. (2021). Additive Manufacturing and Composite Materials for Marine Energy: Case of Tidal Turbine. </w:t>
      </w:r>
      <w:r>
        <w:rPr>
          <w:rFonts w:ascii="Arial" w:hAnsi="Arial"/>
          <w:i/>
          <w:iCs/>
          <w:color w:val="000000"/>
        </w:rPr>
        <w:t>3D Printing and Additive Manufacturing</w:t>
      </w:r>
      <w:r>
        <w:rPr>
          <w:rFonts w:ascii="Arial" w:hAnsi="Arial"/>
          <w:color w:val="000000"/>
        </w:rPr>
        <w:t xml:space="preserve">, </w:t>
      </w:r>
      <w:r>
        <w:rPr>
          <w:rFonts w:ascii="Arial" w:hAnsi="Arial"/>
          <w:i/>
          <w:iCs/>
          <w:color w:val="000000"/>
        </w:rPr>
        <w:t>10</w:t>
      </w:r>
      <w:r>
        <w:rPr>
          <w:rFonts w:ascii="Arial" w:hAnsi="Arial"/>
          <w:color w:val="000000"/>
        </w:rPr>
        <w:t>(6), 1309–1319. https://doi.org/10.1089/3dp.2021.0194</w:t>
      </w:r>
    </w:p>
    <w:p>
      <w:pPr>
        <w:pStyle w:val="Normal"/>
        <w:pBdr/>
        <w:ind w:hanging="720" w:left="720"/>
        <w:jc w:val="both"/>
        <w:rPr>
          <w:rFonts w:ascii="Arial" w:hAnsi="Arial"/>
        </w:rPr>
      </w:pPr>
      <w:bookmarkStart w:id="17" w:name="bookmark=id.wdz0gdoggyrd"/>
      <w:bookmarkEnd w:id="17"/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color w:val="000000"/>
        </w:rPr>
        <w:t xml:space="preserve">Said, L. B., Karray, S., Zghal, W., Hentati, H., Ayadi, B., Chabir, A., &amp; Alhadri, M. (2025). Investigation of Short Carbon Fiber-Reinforced Polylactic Acid Composites Blades for Horizontal Axis Wind Turbines: Mechanical Strength and Energy Efficiency of Fused Filament Fabrication-Printed Blades. </w:t>
      </w:r>
      <w:r>
        <w:rPr>
          <w:rFonts w:ascii="Arial" w:hAnsi="Arial"/>
          <w:i/>
          <w:iCs/>
          <w:color w:val="000000"/>
        </w:rPr>
        <w:t>Journal of Composites Science</w:t>
      </w:r>
      <w:r>
        <w:rPr>
          <w:rFonts w:ascii="Arial" w:hAnsi="Arial"/>
          <w:color w:val="000000"/>
        </w:rPr>
        <w:t xml:space="preserve">, </w:t>
      </w:r>
      <w:r>
        <w:rPr>
          <w:rFonts w:ascii="Arial" w:hAnsi="Arial"/>
          <w:i/>
          <w:iCs/>
          <w:color w:val="000000"/>
        </w:rPr>
        <w:t>9</w:t>
      </w:r>
      <w:r>
        <w:rPr>
          <w:rFonts w:ascii="Arial" w:hAnsi="Arial"/>
          <w:color w:val="000000"/>
        </w:rPr>
        <w:t>(3), 118. https://doi.org/10.3390/jcs9030118</w:t>
      </w:r>
    </w:p>
    <w:p>
      <w:pPr>
        <w:pStyle w:val="Normal"/>
        <w:pBdr/>
        <w:ind w:hanging="720" w:left="720"/>
        <w:jc w:val="both"/>
        <w:rPr>
          <w:rFonts w:ascii="Arial" w:hAnsi="Arial"/>
        </w:rPr>
      </w:pPr>
      <w:bookmarkStart w:id="18" w:name="bookmark=id.s59pnwj9y8tn"/>
      <w:bookmarkEnd w:id="18"/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color w:val="000000"/>
        </w:rPr>
        <w:t xml:space="preserve">Suresh, A., S, R. kumar, Aljafari, B., &amp; Babu, T. S. (2024). Investigations of the performance of 3D printed micro wind turbine composed of PLA material. </w:t>
      </w:r>
      <w:r>
        <w:rPr>
          <w:rFonts w:ascii="Arial" w:hAnsi="Arial"/>
          <w:i/>
          <w:iCs/>
          <w:color w:val="000000"/>
          <w:lang w:val="pt-BR"/>
        </w:rPr>
        <w:t>Heliyon</w:t>
      </w:r>
      <w:r>
        <w:rPr>
          <w:rFonts w:ascii="Arial" w:hAnsi="Arial"/>
          <w:color w:val="000000"/>
          <w:lang w:val="pt-BR"/>
        </w:rPr>
        <w:t xml:space="preserve">, </w:t>
      </w:r>
      <w:r>
        <w:rPr>
          <w:rFonts w:ascii="Arial" w:hAnsi="Arial"/>
          <w:i/>
          <w:iCs/>
          <w:color w:val="000000"/>
          <w:lang w:val="pt-BR"/>
        </w:rPr>
        <w:t>10</w:t>
      </w:r>
      <w:r>
        <w:rPr>
          <w:rFonts w:ascii="Arial" w:hAnsi="Arial"/>
          <w:color w:val="000000"/>
          <w:lang w:val="pt-BR"/>
        </w:rPr>
        <w:t>(3). https://doi.org/10.1016/j.heliyon.2024.e25356</w:t>
      </w:r>
    </w:p>
    <w:p>
      <w:pPr>
        <w:pStyle w:val="Normal"/>
        <w:pBdr/>
        <w:ind w:hanging="720" w:left="720"/>
        <w:jc w:val="both"/>
        <w:rPr>
          <w:rFonts w:ascii="Arial" w:hAnsi="Arial"/>
        </w:rPr>
      </w:pPr>
      <w:bookmarkStart w:id="19" w:name="bookmark=id.tzqojxlpw7gt"/>
      <w:bookmarkEnd w:id="19"/>
      <w:r>
        <w:rPr>
          <w:rFonts w:ascii="Arial" w:hAnsi="Arial"/>
          <w:color w:val="000000"/>
          <w:lang w:val="pt-BR"/>
        </w:rPr>
        <w:t xml:space="preserve">  </w:t>
      </w:r>
      <w:r>
        <w:rPr>
          <w:rFonts w:ascii="Arial" w:hAnsi="Arial"/>
          <w:color w:val="000000"/>
          <w:lang w:val="pt-BR"/>
        </w:rPr>
        <w:t xml:space="preserve">Ulazia, A., &amp; Ibarra‐Berastegi, G. (2020). </w:t>
      </w:r>
      <w:r>
        <w:rPr>
          <w:rFonts w:ascii="Arial" w:hAnsi="Arial"/>
          <w:color w:val="000000"/>
        </w:rPr>
        <w:t xml:space="preserve">Problem-Based Learning in University Studies on Renewable Energies: Case of a Laboratory Windpump. </w:t>
      </w:r>
      <w:r>
        <w:rPr>
          <w:rFonts w:ascii="Arial" w:hAnsi="Arial"/>
          <w:i/>
          <w:iCs/>
          <w:color w:val="000000"/>
        </w:rPr>
        <w:t>Sustainability</w:t>
      </w:r>
      <w:r>
        <w:rPr>
          <w:rFonts w:ascii="Arial" w:hAnsi="Arial"/>
          <w:color w:val="000000"/>
        </w:rPr>
        <w:t xml:space="preserve">, </w:t>
      </w:r>
      <w:r>
        <w:rPr>
          <w:rFonts w:ascii="Arial" w:hAnsi="Arial"/>
          <w:i/>
          <w:iCs/>
          <w:color w:val="000000"/>
        </w:rPr>
        <w:t>12</w:t>
      </w:r>
      <w:r>
        <w:rPr>
          <w:rFonts w:ascii="Arial" w:hAnsi="Arial"/>
          <w:color w:val="000000"/>
        </w:rPr>
        <w:t>(6), 2495. https://doi.org/10.3390/su12062495</w:t>
      </w:r>
    </w:p>
    <w:p>
      <w:pPr>
        <w:pStyle w:val="Normal"/>
        <w:pBdr/>
        <w:ind w:hanging="720" w:left="720"/>
        <w:jc w:val="both"/>
        <w:rPr>
          <w:rFonts w:ascii="Arial" w:hAnsi="Arial"/>
        </w:rPr>
      </w:pPr>
      <w:bookmarkStart w:id="20" w:name="bookmark=id.1fztlx591v3"/>
      <w:bookmarkEnd w:id="20"/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color w:val="000000"/>
        </w:rPr>
        <w:t xml:space="preserve">Unzueta, G., &amp; Eguren, J. A. (2023). Implementation of project-based learning for design of experiments using 3D printing. </w:t>
      </w:r>
      <w:r>
        <w:rPr>
          <w:rFonts w:ascii="Arial" w:hAnsi="Arial"/>
          <w:i/>
          <w:iCs/>
          <w:color w:val="000000"/>
        </w:rPr>
        <w:t>Journal of Industrial Engineering and Management</w:t>
      </w:r>
      <w:r>
        <w:rPr>
          <w:rFonts w:ascii="Arial" w:hAnsi="Arial"/>
          <w:color w:val="000000"/>
        </w:rPr>
        <w:t xml:space="preserve">, </w:t>
      </w:r>
      <w:r>
        <w:rPr>
          <w:rFonts w:ascii="Arial" w:hAnsi="Arial"/>
          <w:i/>
          <w:iCs/>
          <w:color w:val="000000"/>
        </w:rPr>
        <w:t>16</w:t>
      </w:r>
      <w:r>
        <w:rPr>
          <w:rFonts w:ascii="Arial" w:hAnsi="Arial"/>
          <w:color w:val="000000"/>
        </w:rPr>
        <w:t>(2), 263. https://doi.org/10.3926/jiem.5254</w:t>
      </w:r>
    </w:p>
    <w:p>
      <w:pPr>
        <w:pStyle w:val="Normal"/>
        <w:pBdr/>
        <w:spacing w:before="144" w:after="72"/>
        <w:ind w:hanging="720" w:left="720"/>
        <w:jc w:val="both"/>
        <w:rPr>
          <w:rFonts w:ascii="Arial" w:hAnsi="Arial"/>
        </w:rPr>
      </w:pPr>
      <w:bookmarkStart w:id="21" w:name="bookmark=id.jpd7dnbmec86"/>
      <w:bookmarkEnd w:id="21"/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color w:val="000000"/>
        </w:rPr>
        <w:t xml:space="preserve">Wilhelm, J., Nix, A. C., Panther, C., Huebsch, W., &amp; Smith, J. E. (2017). Dynamic Circulation Control for a Vertical Axis Wind Turbine using Virtual Solidity Matching. </w:t>
      </w:r>
      <w:r>
        <w:rPr>
          <w:rFonts w:ascii="Arial" w:hAnsi="Arial"/>
          <w:i/>
          <w:iCs/>
          <w:color w:val="000000"/>
        </w:rPr>
        <w:t>Smart Grid and Renewable Energy</w:t>
      </w:r>
      <w:r>
        <w:rPr>
          <w:rFonts w:ascii="Arial" w:hAnsi="Arial"/>
          <w:color w:val="000000"/>
        </w:rPr>
        <w:t xml:space="preserve">, </w:t>
      </w:r>
      <w:r>
        <w:rPr>
          <w:rFonts w:ascii="Arial" w:hAnsi="Arial"/>
          <w:i/>
          <w:iCs/>
          <w:color w:val="000000"/>
        </w:rPr>
        <w:t>8</w:t>
      </w:r>
      <w:r>
        <w:rPr>
          <w:rFonts w:ascii="Arial" w:hAnsi="Arial"/>
          <w:color w:val="000000"/>
        </w:rPr>
        <w:t>(4), 99–113. https://doi.org/10.4236/sgre.2017.84007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1" w:fontKey="{01014A78-CABC-4EF0-12AC-5CD89AEFDE01}"/>
    <w:embedBold r:id="rId2" w:fontKey="{02014A78-CABC-4EF0-12AC-5CD89AEFDE02}"/>
  </w:font>
  <w:font w:name="Liberation Serif">
    <w:altName w:val="Times New Roman"/>
    <w:charset w:val="01"/>
    <w:family w:val="roman"/>
    <w:pitch w:val="variable"/>
    <w:embedRegular r:id="rId3" w:fontKey="{03014A78-CABC-4EF0-12AC-5CD89AEFDE03}"/>
    <w:embedBold r:id="rId4" w:fontKey="{04014A78-CABC-4EF0-12AC-5CD89AEFDE04}"/>
    <w:embedItalic r:id="rId5" w:fontKey="{05014A78-CABC-4EF0-12AC-5CD89AEFDE05}"/>
    <w:embedBoldItalic r:id="rId6" w:fontKey="{06014A78-CABC-4EF0-12AC-5CD89AEFDE06}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Consolas">
    <w:charset w:val="01"/>
    <w:family w:val="roman"/>
    <w:pitch w:val="variable"/>
    <w:embedRegular r:id="rId11" w:fontKey="{0B014A78-CABC-4EF0-12AC-5CD89AEFDE0B}"/>
  </w:font>
  <w:font w:name="Georgia">
    <w:charset w:val="01"/>
    <w:family w:val="roman"/>
    <w:pitch w:val="variable"/>
    <w:embedRegular r:id="rId12" w:fontKey="{0C014A78-CABC-4EF0-12AC-5CD89AEFDE0C}"/>
    <w:embedItalic r:id="rId13" w:fontKey="{0D014A78-CABC-4EF0-12AC-5CD89AEFDE0D}"/>
  </w:font>
  <w:font w:name="Arial">
    <w:charset w:val="01"/>
    <w:family w:val="swiss"/>
    <w:pitch w:val="variable"/>
    <w:embedRegular r:id="rId1" w:fontKey="{01014A78-CABC-4EF0-12AC-5CD89AEFDE01}"/>
    <w:embedBold r:id="rId2" w:fontKey="{02014A78-CABC-4EF0-12AC-5CD89AEFDE02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4" w:fontKey="{0E014A78-CABC-4EF0-12AC-5CD89AEFDE0E}"/>
    <w:embedBold r:id="rId15" w:fontKey="{0F014A78-CABC-4EF0-12AC-5CD89AEFDE0F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"/>
      <w:lvlJc w:val="left"/>
      <w:pPr>
        <w:tabs>
          <w:tab w:val="num" w:pos="0"/>
        </w:tabs>
        <w:ind w:left="6480" w:hanging="360"/>
      </w:pPr>
      <w:rPr/>
    </w:lvl>
  </w:abstractNum>
  <w:abstractNum w:abstractNumId="13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"/>
      <w:lvlJc w:val="left"/>
      <w:pPr>
        <w:tabs>
          <w:tab w:val="num" w:pos="0"/>
        </w:tabs>
        <w:ind w:left="6480" w:hanging="360"/>
      </w:pPr>
      <w:rPr/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144" w:after="72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pBdr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/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/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/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/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notaderodapChar" w:customStyle="1">
    <w:name w:val="Texto de nota de rodapé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denotadefimChar" w:customStyle="1">
    <w:name w:val="Texto de nota de fim Char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d29b6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pBdr/>
    </w:pPr>
    <w:rPr>
      <w:color w:val="000000"/>
      <w:sz w:val="56"/>
      <w:szCs w:val="56"/>
    </w:rPr>
  </w:style>
  <w:style w:type="paragraph" w:styleId="Forte1" w:customStyle="1">
    <w:name w:val="Forte1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TextodenotaderodapChar"/>
    <w:uiPriority w:val="99"/>
    <w:semiHidden/>
    <w:unhideWhenUsed/>
    <w:pPr>
      <w:spacing w:before="144" w:after="0"/>
    </w:pPr>
    <w:rPr/>
  </w:style>
  <w:style w:type="paragraph" w:styleId="EndnoteText">
    <w:name w:val="Endnote Text"/>
    <w:basedOn w:val="Normal"/>
    <w:link w:val="TextodenotadefimChar"/>
    <w:uiPriority w:val="99"/>
    <w:semiHidden/>
    <w:unhideWhenUsed/>
    <w:pPr>
      <w:spacing w:before="144" w:after="0"/>
    </w:pPr>
    <w:rPr/>
  </w:style>
  <w:style w:type="paragraph" w:styleId="JenniRefHeader" w:customStyle="1">
    <w:name w:val="JenniRefHeader"/>
    <w:basedOn w:val="Heading2"/>
    <w:next w:val="Normal"/>
    <w:qFormat/>
    <w:pPr/>
    <w:rPr>
      <w:color w:val="000000"/>
    </w:rPr>
  </w:style>
  <w:style w:type="paragraph" w:styleId="JenniRefBody" w:customStyle="1">
    <w:name w:val="JenniRefBody"/>
    <w:basedOn w:val="Normal"/>
    <w:next w:val="Normal"/>
    <w:qFormat/>
    <w:pPr/>
    <w:rPr>
      <w:color w:val="000000"/>
    </w:rPr>
  </w:style>
  <w:style w:type="paragraph" w:styleId="JenniTableCaption" w:customStyle="1">
    <w:name w:val="JenniTableCaption"/>
    <w:basedOn w:val="Normal"/>
    <w:next w:val="Normal"/>
    <w:qFormat/>
    <w:pPr>
      <w:spacing w:before="144" w:after="120"/>
    </w:pPr>
    <w:rPr>
      <w:i/>
      <w:iCs/>
    </w:rPr>
  </w:style>
  <w:style w:type="paragraph" w:styleId="JenniFigureCaption" w:customStyle="1">
    <w:name w:val="JenniFigureCaption"/>
    <w:basedOn w:val="Normal"/>
    <w:next w:val="Normal"/>
    <w:qFormat/>
    <w:pPr>
      <w:spacing w:before="144" w:after="120"/>
    </w:pPr>
    <w:rPr>
      <w:i/>
      <w:iCs/>
    </w:rPr>
  </w:style>
  <w:style w:type="paragraph" w:styleId="JenniCodeBlock" w:customStyle="1">
    <w:name w:val="JenniCodeBlock"/>
    <w:basedOn w:val="Normal"/>
    <w:next w:val="Normal"/>
    <w:qFormat/>
    <w:pPr/>
    <w:rPr>
      <w:rFonts w:ascii="Consolas" w:hAnsi="Consolas" w:eastAsia="Consolas" w:cs="Consolas"/>
    </w:rPr>
  </w:style>
  <w:style w:type="paragraph" w:styleId="JenniCodeLanguage" w:customStyle="1">
    <w:name w:val="JenniCodeLanguage"/>
    <w:basedOn w:val="Normal"/>
    <w:next w:val="JenniCodeBlock"/>
    <w:qFormat/>
    <w:pPr>
      <w:spacing w:before="144" w:after="60"/>
    </w:pPr>
    <w:rPr>
      <w:i/>
      <w:iCs/>
      <w:color w:val="71717A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chafik.com/openscad2/" TargetMode="External"/><Relationship Id="rId3" Type="http://schemas.openxmlformats.org/officeDocument/2006/relationships/hyperlink" Target="https://openscad.cloud/openscad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nM2vLMrhF4i/GF9cHnfQ2rjuA6Q==">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LibreOffice/24.2.7.2$Linux_X86_64 LibreOffice_project/420$Build-2</Application>
  <AppVersion>15.0000</AppVersion>
  <Pages>15</Pages>
  <Words>6036</Words>
  <Characters>33387</Characters>
  <CharactersWithSpaces>39111</CharactersWithSpaces>
  <Paragraphs>351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2026-10-07T13:45:00Z</dcterms:created>
  <dc:creator>Andrei Leandro Morsch Franco</dc:creator>
  <dc:description/>
  <dc:language>pt-BR</dc:language>
  <cp:lastModifiedBy/>
  <dcterms:modified xsi:type="dcterms:W3CDTF">2026-10-18T21:49:39Z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