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3A24" w14:textId="77777777" w:rsidR="003450B1" w:rsidRPr="000358E5" w:rsidRDefault="00EE2FCE">
      <w:pPr>
        <w:pStyle w:val="Ttulo"/>
        <w:rPr>
          <w:lang w:val="pt-BR"/>
        </w:rPr>
      </w:pPr>
      <w:r w:rsidRPr="000358E5">
        <w:rPr>
          <w:lang w:val="pt-BR"/>
        </w:rPr>
        <w:t>Itinerário cálculo turbina_rev0</w:t>
      </w:r>
      <w:r w:rsidRPr="000358E5">
        <w:rPr>
          <w:lang w:val="pt-BR"/>
        </w:rPr>
        <w:t>1</w:t>
      </w:r>
    </w:p>
    <w:p w14:paraId="4AA63F9C" w14:textId="77777777" w:rsidR="003450B1" w:rsidRPr="000358E5" w:rsidRDefault="00EE2FCE">
      <w:pPr>
        <w:rPr>
          <w:lang w:val="pt-BR"/>
        </w:rPr>
      </w:pPr>
      <w:r w:rsidRPr="000358E5">
        <w:rPr>
          <w:color w:val="000000"/>
          <w:lang w:val="pt-BR"/>
        </w:rPr>
        <w:t>Itinerário de cáculo, versão com as atribuições corrigidas para marcadores numéricos:</w:t>
      </w:r>
    </w:p>
    <w:p w14:paraId="66E316EA" w14:textId="77777777" w:rsidR="003450B1" w:rsidRDefault="00EE2FCE">
      <w:pPr>
        <w:pStyle w:val="Ttulo2"/>
      </w:pPr>
      <w:proofErr w:type="spellStart"/>
      <w:r>
        <w:rPr>
          <w:color w:val="000000"/>
        </w:rPr>
        <w:t>Esquema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geral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itinerário</w:t>
      </w:r>
      <w:proofErr w:type="spellEnd"/>
    </w:p>
    <w:p w14:paraId="30F307A5" w14:textId="77777777" w:rsidR="003450B1" w:rsidRDefault="003450B1"/>
    <w:p w14:paraId="76790959" w14:textId="77777777" w:rsidR="003450B1" w:rsidRDefault="00EE2FCE">
      <w:pPr>
        <w:jc w:val="center"/>
      </w:pPr>
      <w:r>
        <w:rPr>
          <w:noProof/>
        </w:rPr>
        <w:drawing>
          <wp:inline distT="114300" distB="114300" distL="114300" distR="114300" wp14:anchorId="7039917A" wp14:editId="6B8EDA8C">
            <wp:extent cx="2108312" cy="72532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312" cy="7253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89551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lastRenderedPageBreak/>
        <w:t xml:space="preserve">Este itinerário consolida duas metodologias presentes na sua biblioteca: a </w:t>
      </w:r>
      <w:r w:rsidRPr="000358E5">
        <w:rPr>
          <w:b/>
          <w:bCs/>
          <w:color w:val="000000"/>
          <w:lang w:val="pt-BR"/>
        </w:rPr>
        <w:t>abordagem paramétrica para VAWT de baixa potência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, que cobre o processo do perfil aerodinâmico à seleção final do rotor, e a </w:t>
      </w:r>
      <w:r w:rsidRPr="000358E5">
        <w:rPr>
          <w:b/>
          <w:bCs/>
          <w:color w:val="000000"/>
          <w:lang w:val="pt-BR"/>
        </w:rPr>
        <w:t>análise paramétrica de VAWT helicoidal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, que acrescenta a etapa de geometria helicoidal e as análises estrutural/modal.</w:t>
      </w:r>
    </w:p>
    <w:p w14:paraId="7335132C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0 — Recurso eólico e definição de projeto</w:t>
      </w:r>
    </w:p>
    <w:p w14:paraId="562D7B84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O ponto de partida é caracterizar o local: a velocidade média do vento determina tanto a potência esperada quanto a faixa de Reynolds de operação — e Reynolds é o fator que mais penaliza turbinas pequenas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. No projeto de referência, para uma velocidade média representativa de </w:t>
      </w:r>
      <w:r w:rsidRPr="000358E5">
        <w:rPr>
          <w:b/>
          <w:bCs/>
          <w:color w:val="000000"/>
          <w:lang w:val="pt-BR"/>
        </w:rPr>
        <w:t>5 m/s</w:t>
      </w:r>
      <w:r w:rsidRPr="000358E5">
        <w:rPr>
          <w:color w:val="000000"/>
          <w:lang w:val="pt-BR"/>
        </w:rPr>
        <w:t xml:space="preserve">, o rotor atinge </w:t>
      </w:r>
      <w:r w:rsidRPr="000358E5">
        <w:rPr>
          <w:b/>
          <w:bCs/>
          <w:color w:val="000000"/>
          <w:lang w:val="pt-BR"/>
        </w:rPr>
        <w:t>136 W a 220 rpm</w:t>
      </w:r>
      <w:r w:rsidRPr="000358E5">
        <w:rPr>
          <w:color w:val="000000"/>
          <w:lang w:val="pt-BR"/>
        </w:rPr>
        <w:t xml:space="preserve">; em condições de vento mais forte (9 m/s), a potência prevista sobe para </w:t>
      </w:r>
      <w:r w:rsidRPr="000358E5">
        <w:rPr>
          <w:b/>
          <w:bCs/>
          <w:color w:val="000000"/>
          <w:lang w:val="pt-BR"/>
        </w:rPr>
        <w:t>932 W a 380 rpm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2025, p. 35)</w:t>
      </w:r>
      <w:r w:rsidRPr="000358E5">
        <w:rPr>
          <w:color w:val="000000"/>
          <w:lang w:val="pt-BR"/>
        </w:rPr>
        <w:t xml:space="preserve">. Defina também o regime de uso: urbano/residencial implica ventos fracos e intermitentes, o que torna o </w:t>
      </w:r>
      <w:r w:rsidRPr="000358E5">
        <w:rPr>
          <w:b/>
          <w:bCs/>
          <w:color w:val="000000"/>
          <w:lang w:val="pt-BR"/>
        </w:rPr>
        <w:t>torque de partida</w:t>
      </w:r>
      <w:r w:rsidRPr="000358E5">
        <w:rPr>
          <w:color w:val="000000"/>
          <w:lang w:val="pt-BR"/>
        </w:rPr>
        <w:t xml:space="preserve"> um critério central de seleção </w:t>
      </w:r>
      <w:r w:rsidRPr="000358E5">
        <w:rPr>
          <w:lang w:val="pt-BR"/>
        </w:rPr>
        <w:t>(Díaz-Canul et al., 2025, p. 36)</w:t>
      </w:r>
      <w:r w:rsidRPr="000358E5">
        <w:rPr>
          <w:color w:val="000000"/>
          <w:lang w:val="pt-BR"/>
        </w:rPr>
        <w:t>.</w:t>
      </w:r>
    </w:p>
    <w:p w14:paraId="29E84C99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1 — Seleção de topologia e de perfil aerodinâmico</w:t>
      </w:r>
    </w:p>
    <w:p w14:paraId="4FCF54A9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Escolha da topologia.</w:t>
      </w:r>
      <w:r w:rsidRPr="000358E5">
        <w:rPr>
          <w:color w:val="000000"/>
          <w:lang w:val="pt-BR"/>
        </w:rPr>
        <w:t xml:space="preserve"> Para baixa potência (&lt; 1 kW), o H-Darrieus de pás retas é a base da metodologia paramétrica, que considera variação de altura de pá (H), corda (c), raio (r), solidez (</w:t>
      </w:r>
      <w:r>
        <w:rPr>
          <w:color w:val="000000"/>
        </w:rPr>
        <w:t>σ</w:t>
      </w:r>
      <w:r w:rsidRPr="000358E5">
        <w:rPr>
          <w:color w:val="000000"/>
          <w:lang w:val="pt-BR"/>
        </w:rPr>
        <w:t xml:space="preserve">), número de pás (N) e razão H/R </w:t>
      </w:r>
      <w:r w:rsidRPr="000358E5">
        <w:rPr>
          <w:lang w:val="pt-BR"/>
        </w:rPr>
        <w:t>(Díaz-Canul et al., 2025, p. 36)</w:t>
      </w:r>
      <w:r w:rsidRPr="000358E5">
        <w:rPr>
          <w:color w:val="000000"/>
          <w:lang w:val="pt-BR"/>
        </w:rPr>
        <w:t xml:space="preserve">. Há também a variante </w:t>
      </w:r>
      <w:r w:rsidRPr="000358E5">
        <w:rPr>
          <w:b/>
          <w:bCs/>
          <w:color w:val="000000"/>
          <w:lang w:val="pt-BR"/>
        </w:rPr>
        <w:t>helicoidal</w:t>
      </w:r>
      <w:r w:rsidRPr="000358E5">
        <w:rPr>
          <w:color w:val="000000"/>
          <w:lang w:val="pt-BR"/>
        </w:rPr>
        <w:t xml:space="preserve">, que usa </w:t>
      </w:r>
      <w:proofErr w:type="gramStart"/>
      <w:r w:rsidRPr="000358E5">
        <w:rPr>
          <w:color w:val="000000"/>
          <w:lang w:val="pt-BR"/>
        </w:rPr>
        <w:t>o mesmo perfil</w:t>
      </w:r>
      <w:proofErr w:type="gramEnd"/>
      <w:r w:rsidRPr="000358E5">
        <w:rPr>
          <w:color w:val="000000"/>
          <w:lang w:val="pt-BR"/>
        </w:rPr>
        <w:t xml:space="preserve"> porém com torção ao longo da altura — no estudo de referência, </w:t>
      </w:r>
      <w:sdt>
        <w:sdtPr>
          <w:tag w:val="goog_rdk_0"/>
          <w:id w:val="-1703046098"/>
        </w:sdtPr>
        <w:sdtEndPr/>
        <w:sdtContent>
          <w:r w:rsidRPr="000358E5">
            <w:rPr>
              <w:rFonts w:ascii="Gungsuh" w:eastAsia="Gungsuh" w:hAnsi="Gungsuh" w:cs="Gungsuh"/>
              <w:b/>
              <w:bCs/>
              <w:color w:val="000000"/>
              <w:lang w:val="pt-BR"/>
            </w:rPr>
            <w:t>perfil NACA 0018 com ângulo de hélice constante de 25° e ângulo de passo de −2°</w:t>
          </w:r>
        </w:sdtContent>
      </w:sdt>
      <w:r w:rsidRPr="000358E5">
        <w:rPr>
          <w:color w:val="000000"/>
          <w:lang w:val="pt-BR"/>
        </w:rPr>
        <w:t xml:space="preserve">, com corda, número de pás, diâmetro do rotor e comprimento de pá como propriedades aerodinâmicas-chave </w:t>
      </w:r>
      <w:r w:rsidRPr="000358E5">
        <w:rPr>
          <w:lang w:val="pt-BR"/>
        </w:rPr>
        <w:t>(Hassan et al., 2024, p. 386)</w:t>
      </w:r>
      <w:r w:rsidRPr="000358E5">
        <w:rPr>
          <w:color w:val="000000"/>
          <w:lang w:val="pt-BR"/>
        </w:rPr>
        <w:t>.</w:t>
      </w:r>
    </w:p>
    <w:p w14:paraId="5FEFB162" w14:textId="77777777" w:rsidR="003450B1" w:rsidRDefault="00EE2FCE">
      <w:pPr>
        <w:jc w:val="both"/>
      </w:pPr>
      <w:r w:rsidRPr="000358E5">
        <w:rPr>
          <w:b/>
          <w:bCs/>
          <w:color w:val="000000"/>
          <w:lang w:val="pt-BR"/>
        </w:rPr>
        <w:t>Seleção do perfil.</w:t>
      </w:r>
      <w:r w:rsidRPr="000358E5">
        <w:rPr>
          <w:color w:val="000000"/>
          <w:lang w:val="pt-BR"/>
        </w:rPr>
        <w:t xml:space="preserve"> Avalie um conjunto de perfis com polares geradas em XFoil para múltiplos Reynolds. O estudo de referência avaliou </w:t>
      </w:r>
      <w:r w:rsidRPr="000358E5">
        <w:rPr>
          <w:b/>
          <w:bCs/>
          <w:color w:val="000000"/>
          <w:lang w:val="pt-BR"/>
        </w:rPr>
        <w:t>nove perfis</w:t>
      </w:r>
      <w:r w:rsidRPr="000358E5">
        <w:rPr>
          <w:color w:val="000000"/>
          <w:lang w:val="pt-BR"/>
        </w:rPr>
        <w:t xml:space="preserve"> — seis simétricos (NACA 0021, S1046, Joukowski 21, NACA 0018, Trainer 60, Eppler 479) e três assimétricos (DU 06-W-200, NASA SC(s) 0518, S833)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.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critérios</w:t>
      </w:r>
      <w:proofErr w:type="spellEnd"/>
      <w:r>
        <w:rPr>
          <w:color w:val="000000"/>
        </w:rPr>
        <w:t>:</w:t>
      </w:r>
    </w:p>
    <w:p w14:paraId="0974DC37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 xml:space="preserve">Comportamento linear de CL × </w:t>
      </w:r>
      <w:r>
        <w:rPr>
          <w:b/>
          <w:bCs/>
          <w:color w:val="000000"/>
        </w:rPr>
        <w:t>α</w:t>
      </w:r>
      <w:r w:rsidRPr="000358E5">
        <w:rPr>
          <w:color w:val="000000"/>
          <w:lang w:val="pt-BR"/>
        </w:rPr>
        <w:t xml:space="preserve"> na faixa de operação;</w:t>
      </w:r>
    </w:p>
    <w:p w14:paraId="6330D4C3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Estabilidade em Reynolds baixos</w:t>
      </w:r>
      <w:r w:rsidRPr="000358E5">
        <w:rPr>
          <w:color w:val="000000"/>
          <w:lang w:val="pt-BR"/>
        </w:rPr>
        <w:t xml:space="preserve">: abaixo de </w:t>
      </w:r>
      <w:r w:rsidRPr="000358E5">
        <w:rPr>
          <w:b/>
          <w:bCs/>
          <w:color w:val="000000"/>
          <w:lang w:val="pt-BR"/>
        </w:rPr>
        <w:t>50×10³</w:t>
      </w:r>
      <w:r w:rsidRPr="000358E5">
        <w:rPr>
          <w:color w:val="000000"/>
          <w:lang w:val="pt-BR"/>
        </w:rPr>
        <w:t xml:space="preserve"> ocorre queda abrupta de desempenho — a faixa estável recomendada é </w:t>
      </w:r>
      <w:r w:rsidRPr="000358E5">
        <w:rPr>
          <w:b/>
          <w:bCs/>
          <w:color w:val="000000"/>
          <w:lang w:val="pt-BR"/>
        </w:rPr>
        <w:t>100×10³–200×10³</w:t>
      </w:r>
      <w:r w:rsidRPr="000358E5">
        <w:rPr>
          <w:color w:val="000000"/>
          <w:lang w:val="pt-BR"/>
        </w:rPr>
        <w:t xml:space="preserve"> (Díaz-Canul et al., 2025, p. 45);</w:t>
      </w:r>
    </w:p>
    <w:p w14:paraId="635F322D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 xml:space="preserve">Cp máximo em curva Cp × </w:t>
      </w:r>
      <w:r>
        <w:rPr>
          <w:b/>
          <w:bCs/>
          <w:color w:val="000000"/>
        </w:rPr>
        <w:t>λ</w:t>
      </w:r>
      <w:r w:rsidRPr="000358E5">
        <w:rPr>
          <w:color w:val="000000"/>
          <w:lang w:val="pt-BR"/>
        </w:rPr>
        <w:t xml:space="preserve"> (Díaz-Canul et al., 2025).</w:t>
      </w:r>
    </w:p>
    <w:p w14:paraId="5614D36B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Resultado do caso de referência: </w:t>
      </w:r>
      <w:r w:rsidRPr="000358E5">
        <w:rPr>
          <w:b/>
          <w:bCs/>
          <w:color w:val="000000"/>
          <w:lang w:val="pt-BR"/>
        </w:rPr>
        <w:t>S1046 e NACA 0018</w:t>
      </w:r>
      <w:r w:rsidRPr="000358E5">
        <w:rPr>
          <w:color w:val="000000"/>
          <w:lang w:val="pt-BR"/>
        </w:rPr>
        <w:t xml:space="preserve"> foram os melhores — Cp de </w:t>
      </w:r>
      <w:r w:rsidRPr="000358E5">
        <w:rPr>
          <w:b/>
          <w:bCs/>
          <w:color w:val="000000"/>
          <w:lang w:val="pt-BR"/>
        </w:rPr>
        <w:t>0,52 a 5 m/s</w:t>
      </w:r>
      <w:r w:rsidRPr="000358E5">
        <w:rPr>
          <w:color w:val="000000"/>
          <w:lang w:val="pt-BR"/>
        </w:rPr>
        <w:t xml:space="preserve"> e </w:t>
      </w:r>
      <w:r w:rsidRPr="000358E5">
        <w:rPr>
          <w:b/>
          <w:bCs/>
          <w:color w:val="000000"/>
          <w:lang w:val="pt-BR"/>
        </w:rPr>
        <w:t>0,56 a 6 m/s</w:t>
      </w:r>
      <w:sdt>
        <w:sdtPr>
          <w:tag w:val="goog_rdk_1"/>
          <w:id w:val="1336569679"/>
        </w:sdtPr>
        <w:sdtEndPr/>
        <w:sdtContent>
          <w:r w:rsidRPr="000358E5">
            <w:rPr>
              <w:rFonts w:ascii="Cardo" w:eastAsia="Cardo" w:hAnsi="Cardo" w:cs="Cardo"/>
              <w:color w:val="000000"/>
              <w:lang w:val="pt-BR"/>
            </w:rPr>
            <w:t xml:space="preserve">, ambos em </w:t>
          </w:r>
          <w:r>
            <w:rPr>
              <w:rFonts w:ascii="Cardo" w:eastAsia="Cardo" w:hAnsi="Cardo" w:cs="Cardo"/>
              <w:color w:val="000000"/>
            </w:rPr>
            <w:t>λ</w:t>
          </w:r>
          <w:r w:rsidRPr="000358E5">
            <w:rPr>
              <w:rFonts w:ascii="Cardo" w:eastAsia="Cardo" w:hAnsi="Cardo" w:cs="Cardo"/>
              <w:color w:val="000000"/>
              <w:lang w:val="pt-BR"/>
            </w:rPr>
            <w:t xml:space="preserve"> ≈ 3,3 </w:t>
          </w:r>
        </w:sdtContent>
      </w:sdt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. A NACA 0018 (simétrica, espessura 18% da corda, curvatura 0%, espessura máxima a 30% da corda) </w:t>
      </w:r>
      <w:r w:rsidRPr="000358E5">
        <w:rPr>
          <w:lang w:val="pt-BR"/>
        </w:rPr>
        <w:t>(Hassan et al., 2024, p. 385)</w:t>
      </w:r>
      <w:r w:rsidRPr="000358E5">
        <w:rPr>
          <w:color w:val="000000"/>
          <w:lang w:val="pt-BR"/>
        </w:rPr>
        <w:t xml:space="preserve"> apareceu nas duas metodologias como escolha robusta.</w:t>
      </w:r>
    </w:p>
    <w:p w14:paraId="77FF9F5C" w14:textId="77777777" w:rsidR="003450B1" w:rsidRDefault="00EE2FCE">
      <w:pPr>
        <w:jc w:val="both"/>
      </w:pPr>
      <w:r>
        <w:rPr>
          <w:noProof/>
        </w:rPr>
        <w:drawing>
          <wp:inline distT="114300" distB="114300" distL="114300" distR="114300" wp14:anchorId="626315FB" wp14:editId="0E4F3865">
            <wp:extent cx="5731200" cy="419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1976A" w14:textId="77777777" w:rsidR="003450B1" w:rsidRDefault="003450B1">
      <w:pPr>
        <w:pStyle w:val="Ttulo2"/>
        <w:jc w:val="both"/>
        <w:rPr>
          <w:color w:val="000000"/>
        </w:rPr>
      </w:pPr>
    </w:p>
    <w:p w14:paraId="006A9541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2 — Definição do espaço paramétrico</w:t>
      </w:r>
    </w:p>
    <w:p w14:paraId="13EC86A1" w14:textId="77777777" w:rsidR="003450B1" w:rsidRDefault="00EE2FCE">
      <w:pPr>
        <w:jc w:val="both"/>
      </w:pPr>
      <w:r w:rsidRPr="000358E5">
        <w:rPr>
          <w:color w:val="000000"/>
          <w:lang w:val="pt-BR"/>
        </w:rPr>
        <w:t xml:space="preserve">Os parâmetros principais de projeto são: </w:t>
      </w:r>
      <w:r w:rsidRPr="000358E5">
        <w:rPr>
          <w:b/>
          <w:bCs/>
          <w:color w:val="000000"/>
          <w:lang w:val="pt-BR"/>
        </w:rPr>
        <w:t>solidez (</w:t>
      </w:r>
      <w:r>
        <w:rPr>
          <w:b/>
          <w:bCs/>
          <w:color w:val="000000"/>
        </w:rPr>
        <w:t>σ</w:t>
      </w:r>
      <w:r w:rsidRPr="000358E5">
        <w:rPr>
          <w:b/>
          <w:bCs/>
          <w:color w:val="000000"/>
          <w:lang w:val="pt-BR"/>
        </w:rPr>
        <w:t>), razão de aspecto (Ar = H/R), número de pás (N), corda (C), raio (R), altura (H)</w:t>
      </w:r>
      <w:r w:rsidRPr="000358E5">
        <w:rPr>
          <w:color w:val="000000"/>
          <w:lang w:val="pt-BR"/>
        </w:rPr>
        <w:t xml:space="preserve"> e a </w:t>
      </w:r>
      <w:r w:rsidRPr="000358E5">
        <w:rPr>
          <w:b/>
          <w:bCs/>
          <w:color w:val="000000"/>
          <w:lang w:val="pt-BR"/>
        </w:rPr>
        <w:t>área varrida (A)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2025, p. 36)</w:t>
      </w:r>
      <w:r w:rsidRPr="000358E5">
        <w:rPr>
          <w:color w:val="000000"/>
          <w:lang w:val="pt-BR"/>
        </w:rPr>
        <w:t xml:space="preserve">.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recomendados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adotados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estudo</w:t>
      </w:r>
      <w:proofErr w:type="spellEnd"/>
      <w:r>
        <w:rPr>
          <w:color w:val="000000"/>
        </w:rPr>
        <w:t>:</w:t>
      </w:r>
    </w:p>
    <w:tbl>
      <w:tblPr>
        <w:tblStyle w:val="a7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75"/>
        <w:gridCol w:w="4785"/>
      </w:tblGrid>
      <w:tr w:rsidR="003450B1" w14:paraId="12005B37" w14:textId="77777777">
        <w:tc>
          <w:tcPr>
            <w:tcW w:w="4275" w:type="dxa"/>
            <w:shd w:val="clear" w:color="auto" w:fill="E4E4E7"/>
          </w:tcPr>
          <w:p w14:paraId="73F581D0" w14:textId="77777777" w:rsidR="003450B1" w:rsidRDefault="00EE2FCE">
            <w:pPr>
              <w:jc w:val="both"/>
            </w:pPr>
            <w:proofErr w:type="spellStart"/>
            <w:r>
              <w:rPr>
                <w:color w:val="000000"/>
              </w:rPr>
              <w:t>Parâmetro</w:t>
            </w:r>
            <w:proofErr w:type="spellEnd"/>
          </w:p>
        </w:tc>
        <w:tc>
          <w:tcPr>
            <w:tcW w:w="4785" w:type="dxa"/>
            <w:shd w:val="clear" w:color="auto" w:fill="E4E4E7"/>
          </w:tcPr>
          <w:p w14:paraId="2C81FE2A" w14:textId="77777777" w:rsidR="003450B1" w:rsidRDefault="00EE2FCE">
            <w:pPr>
              <w:jc w:val="both"/>
            </w:pPr>
            <w:proofErr w:type="spellStart"/>
            <w:r>
              <w:rPr>
                <w:color w:val="000000"/>
              </w:rPr>
              <w:t>Intervalo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recomendado</w:t>
            </w:r>
            <w:proofErr w:type="spellEnd"/>
          </w:p>
        </w:tc>
      </w:tr>
      <w:tr w:rsidR="003450B1" w14:paraId="3A43701A" w14:textId="77777777">
        <w:tc>
          <w:tcPr>
            <w:tcW w:w="4275" w:type="dxa"/>
          </w:tcPr>
          <w:p w14:paraId="32B80B2C" w14:textId="77777777" w:rsidR="003450B1" w:rsidRDefault="00EE2FCE">
            <w:pPr>
              <w:jc w:val="both"/>
            </w:pPr>
            <w:proofErr w:type="spellStart"/>
            <w:r>
              <w:rPr>
                <w:color w:val="000000"/>
              </w:rPr>
              <w:t>Área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varrida</w:t>
            </w:r>
            <w:proofErr w:type="spellEnd"/>
            <w:r>
              <w:rPr>
                <w:color w:val="000000"/>
              </w:rPr>
              <w:t xml:space="preserve"> A</w:t>
            </w:r>
          </w:p>
        </w:tc>
        <w:tc>
          <w:tcPr>
            <w:tcW w:w="4785" w:type="dxa"/>
          </w:tcPr>
          <w:p w14:paraId="599167AE" w14:textId="77777777" w:rsidR="003450B1" w:rsidRDefault="00EE2FCE">
            <w:pPr>
              <w:jc w:val="both"/>
            </w:pPr>
            <w:r>
              <w:rPr>
                <w:color w:val="000000"/>
              </w:rPr>
              <w:t>4 m² (</w:t>
            </w:r>
            <w:proofErr w:type="spellStart"/>
            <w:r>
              <w:rPr>
                <w:color w:val="000000"/>
              </w:rPr>
              <w:t>restrição</w:t>
            </w:r>
            <w:proofErr w:type="spellEnd"/>
            <w:r>
              <w:rPr>
                <w:color w:val="000000"/>
              </w:rPr>
              <w:t xml:space="preserve"> de entrada)</w:t>
            </w:r>
          </w:p>
        </w:tc>
      </w:tr>
      <w:tr w:rsidR="003450B1" w14:paraId="67AFACF1" w14:textId="77777777">
        <w:tc>
          <w:tcPr>
            <w:tcW w:w="4275" w:type="dxa"/>
          </w:tcPr>
          <w:p w14:paraId="483072E1" w14:textId="77777777" w:rsidR="003450B1" w:rsidRDefault="00EE2FCE">
            <w:pPr>
              <w:jc w:val="both"/>
            </w:pPr>
            <w:proofErr w:type="spellStart"/>
            <w:r>
              <w:rPr>
                <w:color w:val="000000"/>
              </w:rPr>
              <w:t>Solidez</w:t>
            </w:r>
            <w:proofErr w:type="spellEnd"/>
            <w:r>
              <w:rPr>
                <w:color w:val="000000"/>
              </w:rPr>
              <w:t xml:space="preserve"> σ</w:t>
            </w:r>
          </w:p>
        </w:tc>
        <w:tc>
          <w:tcPr>
            <w:tcW w:w="4785" w:type="dxa"/>
          </w:tcPr>
          <w:p w14:paraId="05B40EFD" w14:textId="77777777" w:rsidR="003450B1" w:rsidRDefault="00EE2FCE">
            <w:pPr>
              <w:jc w:val="both"/>
            </w:pPr>
            <w:r>
              <w:rPr>
                <w:color w:val="000000"/>
              </w:rPr>
              <w:t>0,20–0,30</w:t>
            </w:r>
          </w:p>
        </w:tc>
      </w:tr>
      <w:tr w:rsidR="003450B1" w14:paraId="03B7231A" w14:textId="77777777">
        <w:tc>
          <w:tcPr>
            <w:tcW w:w="4275" w:type="dxa"/>
          </w:tcPr>
          <w:p w14:paraId="598A79C2" w14:textId="77777777" w:rsidR="003450B1" w:rsidRPr="000358E5" w:rsidRDefault="00EE2FCE">
            <w:pPr>
              <w:jc w:val="both"/>
              <w:rPr>
                <w:lang w:val="pt-BR"/>
              </w:rPr>
            </w:pPr>
            <w:r w:rsidRPr="000358E5">
              <w:rPr>
                <w:color w:val="000000"/>
                <w:lang w:val="pt-BR"/>
              </w:rPr>
              <w:t>Razão de aspecto Ar = H/R</w:t>
            </w:r>
          </w:p>
        </w:tc>
        <w:tc>
          <w:tcPr>
            <w:tcW w:w="4785" w:type="dxa"/>
          </w:tcPr>
          <w:p w14:paraId="306DEA02" w14:textId="77777777" w:rsidR="003450B1" w:rsidRDefault="00EE2FCE">
            <w:pPr>
              <w:jc w:val="both"/>
            </w:pPr>
            <w:r>
              <w:rPr>
                <w:color w:val="000000"/>
              </w:rPr>
              <w:t>2,6–3,0</w:t>
            </w:r>
          </w:p>
        </w:tc>
      </w:tr>
      <w:tr w:rsidR="003450B1" w14:paraId="4B326FA1" w14:textId="77777777">
        <w:tc>
          <w:tcPr>
            <w:tcW w:w="4275" w:type="dxa"/>
          </w:tcPr>
          <w:p w14:paraId="23CA3DCA" w14:textId="77777777" w:rsidR="003450B1" w:rsidRDefault="00EE2FCE">
            <w:pPr>
              <w:jc w:val="both"/>
            </w:pPr>
            <w:proofErr w:type="spellStart"/>
            <w:r>
              <w:rPr>
                <w:color w:val="000000"/>
              </w:rPr>
              <w:t>Número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pás</w:t>
            </w:r>
            <w:proofErr w:type="spellEnd"/>
            <w:r>
              <w:rPr>
                <w:color w:val="000000"/>
              </w:rPr>
              <w:t xml:space="preserve"> N</w:t>
            </w:r>
          </w:p>
        </w:tc>
        <w:tc>
          <w:tcPr>
            <w:tcW w:w="4785" w:type="dxa"/>
          </w:tcPr>
          <w:p w14:paraId="20B141B5" w14:textId="77777777" w:rsidR="003450B1" w:rsidRDefault="00EE2FCE">
            <w:pPr>
              <w:jc w:val="both"/>
            </w:pPr>
            <w:r>
              <w:rPr>
                <w:color w:val="000000"/>
              </w:rPr>
              <w:t xml:space="preserve">2–5 </w:t>
            </w:r>
            <w:r>
              <w:t>(Díaz-Canul et al., 2025, p. 36)</w:t>
            </w:r>
          </w:p>
        </w:tc>
      </w:tr>
    </w:tbl>
    <w:p w14:paraId="68F15A23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lastRenderedPageBreak/>
        <w:t xml:space="preserve">Há um trade-off estruturante: </w:t>
      </w:r>
      <w:r w:rsidRPr="000358E5">
        <w:rPr>
          <w:b/>
          <w:bCs/>
          <w:color w:val="000000"/>
          <w:lang w:val="pt-BR"/>
        </w:rPr>
        <w:t>menos pás aumentam o Cp</w:t>
      </w:r>
      <w:r w:rsidRPr="000358E5">
        <w:rPr>
          <w:color w:val="000000"/>
          <w:lang w:val="pt-BR"/>
        </w:rPr>
        <w:t xml:space="preserve">, mas reduzem o torque de partida e aumentam a variação de torque ao longo da revolução; </w:t>
      </w:r>
      <w:r w:rsidRPr="000358E5">
        <w:rPr>
          <w:b/>
          <w:bCs/>
          <w:color w:val="000000"/>
          <w:lang w:val="pt-BR"/>
        </w:rPr>
        <w:t>solidez maior favorece partida</w:t>
      </w:r>
      <w:r w:rsidRPr="000358E5">
        <w:rPr>
          <w:color w:val="000000"/>
          <w:lang w:val="pt-BR"/>
        </w:rPr>
        <w:t xml:space="preserve">, porém está diretamente ligada à corda — quanto maior </w:t>
      </w:r>
      <w:r>
        <w:rPr>
          <w:color w:val="000000"/>
        </w:rPr>
        <w:t>σ</w:t>
      </w:r>
      <w:r w:rsidRPr="000358E5">
        <w:rPr>
          <w:color w:val="000000"/>
          <w:lang w:val="pt-BR"/>
        </w:rPr>
        <w:t xml:space="preserve">, maior C e maior o Reynolds, mas o </w:t>
      </w:r>
      <w:r>
        <w:rPr>
          <w:color w:val="000000"/>
        </w:rPr>
        <w:t>λ</w:t>
      </w:r>
      <w:r w:rsidRPr="000358E5">
        <w:rPr>
          <w:color w:val="000000"/>
          <w:lang w:val="pt-BR"/>
        </w:rPr>
        <w:t xml:space="preserve"> ótimo se desloca para valores mais altos </w:t>
      </w:r>
      <w:r w:rsidRPr="000358E5">
        <w:rPr>
          <w:lang w:val="pt-BR"/>
        </w:rPr>
        <w:t>(Díaz-Canul et al., 2025, p. 35)</w:t>
      </w:r>
      <w:r w:rsidRPr="000358E5">
        <w:rPr>
          <w:color w:val="000000"/>
          <w:lang w:val="pt-BR"/>
        </w:rPr>
        <w:t xml:space="preserve">. Pás em maior número reduzem a corda (para manter </w:t>
      </w:r>
      <w:r>
        <w:rPr>
          <w:color w:val="000000"/>
        </w:rPr>
        <w:t>σ</w:t>
      </w:r>
      <w:r w:rsidRPr="000358E5">
        <w:rPr>
          <w:color w:val="000000"/>
          <w:lang w:val="pt-BR"/>
        </w:rPr>
        <w:t xml:space="preserve">), derrubando o Reynolds e o desempenho em baixa velocidade </w:t>
      </w:r>
      <w:r w:rsidRPr="000358E5">
        <w:rPr>
          <w:lang w:val="pt-BR"/>
        </w:rPr>
        <w:t>(Díaz-Canul et al., 2025, p. 45)</w:t>
      </w:r>
      <w:r w:rsidRPr="000358E5">
        <w:rPr>
          <w:color w:val="000000"/>
          <w:lang w:val="pt-BR"/>
        </w:rPr>
        <w:t>.</w:t>
      </w:r>
    </w:p>
    <w:p w14:paraId="0E1BEB13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3 — Dimensionamento paramétrico</w:t>
      </w:r>
    </w:p>
    <w:p w14:paraId="60160321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>Com a área varrida fixa e a razão de aspecto limitada, o raio fica determinado:</w:t>
      </w:r>
    </w:p>
    <w:p w14:paraId="4782F0EA" w14:textId="77777777" w:rsidR="003450B1" w:rsidRDefault="00EE2FCE">
      <w:pPr>
        <w:jc w:val="both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Ar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Ar</m:t>
                  </m:r>
                </m:den>
              </m:f>
            </m:e>
          </m:rad>
        </m:oMath>
      </m:oMathPara>
    </w:p>
    <w:p w14:paraId="05611861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Com A = 4 m²: </w:t>
      </w:r>
      <w:r w:rsidRPr="000358E5">
        <w:rPr>
          <w:b/>
          <w:bCs/>
          <w:color w:val="000000"/>
          <w:lang w:val="pt-BR"/>
        </w:rPr>
        <w:t>R = 0,816 m (Ar = 3)</w:t>
      </w:r>
      <w:r w:rsidRPr="000358E5">
        <w:rPr>
          <w:color w:val="000000"/>
          <w:lang w:val="pt-BR"/>
        </w:rPr>
        <w:t xml:space="preserve"> e </w:t>
      </w:r>
      <w:r w:rsidRPr="000358E5">
        <w:rPr>
          <w:b/>
          <w:bCs/>
          <w:color w:val="000000"/>
          <w:lang w:val="pt-BR"/>
        </w:rPr>
        <w:t>R = 0,877 m (Ar = 2,6)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 A altura é H = Ar·R e a corda vem da solidez:</w:t>
      </w:r>
    </w:p>
    <w:p w14:paraId="78F0ECC5" w14:textId="77777777" w:rsidR="003450B1" w:rsidRDefault="00EE2FCE">
      <w:pPr>
        <w:jc w:val="both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Rσ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DB82FDC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Isso gera a tabela de cordas para cada número de pás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:</w:t>
      </w:r>
    </w:p>
    <w:tbl>
      <w:tblPr>
        <w:tblStyle w:val="a8"/>
        <w:tblW w:w="97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845"/>
        <w:gridCol w:w="2580"/>
      </w:tblGrid>
      <w:tr w:rsidR="003450B1" w14:paraId="192F3258" w14:textId="77777777">
        <w:tc>
          <w:tcPr>
            <w:tcW w:w="2325" w:type="dxa"/>
            <w:shd w:val="clear" w:color="auto" w:fill="E4E4E7"/>
          </w:tcPr>
          <w:p w14:paraId="2E10F326" w14:textId="77777777" w:rsidR="003450B1" w:rsidRDefault="00EE2FCE">
            <w:pPr>
              <w:jc w:val="both"/>
            </w:pPr>
            <w:r>
              <w:rPr>
                <w:color w:val="000000"/>
              </w:rPr>
              <w:t>N</w:t>
            </w:r>
          </w:p>
        </w:tc>
        <w:tc>
          <w:tcPr>
            <w:tcW w:w="4845" w:type="dxa"/>
            <w:shd w:val="clear" w:color="auto" w:fill="E4E4E7"/>
          </w:tcPr>
          <w:p w14:paraId="5B4CC5AE" w14:textId="77777777" w:rsidR="003450B1" w:rsidRDefault="00EE2FCE">
            <w:pPr>
              <w:jc w:val="both"/>
            </w:pPr>
            <w:r>
              <w:rPr>
                <w:color w:val="000000"/>
              </w:rPr>
              <w:t xml:space="preserve">C </w:t>
            </w:r>
            <w:proofErr w:type="spellStart"/>
            <w:r>
              <w:rPr>
                <w:color w:val="000000"/>
              </w:rPr>
              <w:t>mín</w:t>
            </w:r>
            <w:proofErr w:type="spellEnd"/>
            <w:r>
              <w:rPr>
                <w:color w:val="000000"/>
              </w:rPr>
              <w:t xml:space="preserve"> (m)</w:t>
            </w:r>
          </w:p>
        </w:tc>
        <w:tc>
          <w:tcPr>
            <w:tcW w:w="2580" w:type="dxa"/>
            <w:shd w:val="clear" w:color="auto" w:fill="E4E4E7"/>
          </w:tcPr>
          <w:p w14:paraId="2B488BFD" w14:textId="77777777" w:rsidR="003450B1" w:rsidRDefault="00EE2FCE">
            <w:pPr>
              <w:jc w:val="both"/>
            </w:pPr>
            <w:r>
              <w:rPr>
                <w:color w:val="000000"/>
              </w:rPr>
              <w:t xml:space="preserve">C </w:t>
            </w:r>
            <w:proofErr w:type="spellStart"/>
            <w:r>
              <w:rPr>
                <w:color w:val="000000"/>
              </w:rPr>
              <w:t>máx</w:t>
            </w:r>
            <w:proofErr w:type="spellEnd"/>
            <w:r>
              <w:rPr>
                <w:color w:val="000000"/>
              </w:rPr>
              <w:t xml:space="preserve"> (m)</w:t>
            </w:r>
          </w:p>
        </w:tc>
      </w:tr>
      <w:tr w:rsidR="003450B1" w14:paraId="402CCFA3" w14:textId="77777777">
        <w:tc>
          <w:tcPr>
            <w:tcW w:w="2325" w:type="dxa"/>
          </w:tcPr>
          <w:p w14:paraId="42AB0DBF" w14:textId="77777777" w:rsidR="003450B1" w:rsidRDefault="00EE2FCE">
            <w:pPr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4845" w:type="dxa"/>
          </w:tcPr>
          <w:p w14:paraId="373B1F92" w14:textId="77777777" w:rsidR="003450B1" w:rsidRDefault="00EE2FCE">
            <w:pPr>
              <w:jc w:val="both"/>
            </w:pPr>
            <w:r>
              <w:rPr>
                <w:color w:val="000000"/>
              </w:rPr>
              <w:t>0,081</w:t>
            </w:r>
          </w:p>
        </w:tc>
        <w:tc>
          <w:tcPr>
            <w:tcW w:w="2580" w:type="dxa"/>
          </w:tcPr>
          <w:p w14:paraId="7236ECF1" w14:textId="77777777" w:rsidR="003450B1" w:rsidRDefault="00EE2FCE">
            <w:pPr>
              <w:jc w:val="both"/>
            </w:pPr>
            <w:r>
              <w:rPr>
                <w:color w:val="000000"/>
              </w:rPr>
              <w:t>0,131</w:t>
            </w:r>
          </w:p>
        </w:tc>
      </w:tr>
      <w:tr w:rsidR="003450B1" w14:paraId="425D2973" w14:textId="77777777">
        <w:tc>
          <w:tcPr>
            <w:tcW w:w="2325" w:type="dxa"/>
          </w:tcPr>
          <w:p w14:paraId="1226843F" w14:textId="77777777" w:rsidR="003450B1" w:rsidRDefault="00EE2FCE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4845" w:type="dxa"/>
          </w:tcPr>
          <w:p w14:paraId="6AAC2B2B" w14:textId="77777777" w:rsidR="003450B1" w:rsidRDefault="00EE2FCE">
            <w:pPr>
              <w:jc w:val="both"/>
            </w:pPr>
            <w:r>
              <w:rPr>
                <w:color w:val="000000"/>
              </w:rPr>
              <w:t>0,054</w:t>
            </w:r>
          </w:p>
        </w:tc>
        <w:tc>
          <w:tcPr>
            <w:tcW w:w="2580" w:type="dxa"/>
          </w:tcPr>
          <w:p w14:paraId="6A00F8FE" w14:textId="77777777" w:rsidR="003450B1" w:rsidRDefault="00EE2FCE">
            <w:pPr>
              <w:jc w:val="both"/>
            </w:pPr>
            <w:r>
              <w:rPr>
                <w:color w:val="000000"/>
              </w:rPr>
              <w:t>0,087</w:t>
            </w:r>
          </w:p>
        </w:tc>
      </w:tr>
      <w:tr w:rsidR="003450B1" w14:paraId="5C166018" w14:textId="77777777">
        <w:tc>
          <w:tcPr>
            <w:tcW w:w="2325" w:type="dxa"/>
          </w:tcPr>
          <w:p w14:paraId="0B0C0051" w14:textId="77777777" w:rsidR="003450B1" w:rsidRDefault="00EE2FCE">
            <w:pPr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4845" w:type="dxa"/>
          </w:tcPr>
          <w:p w14:paraId="6674C73D" w14:textId="77777777" w:rsidR="003450B1" w:rsidRDefault="00EE2FCE">
            <w:pPr>
              <w:jc w:val="both"/>
            </w:pPr>
            <w:r>
              <w:rPr>
                <w:color w:val="000000"/>
              </w:rPr>
              <w:t>0,040</w:t>
            </w:r>
          </w:p>
        </w:tc>
        <w:tc>
          <w:tcPr>
            <w:tcW w:w="2580" w:type="dxa"/>
          </w:tcPr>
          <w:p w14:paraId="290C689F" w14:textId="77777777" w:rsidR="003450B1" w:rsidRDefault="00EE2FCE">
            <w:pPr>
              <w:jc w:val="both"/>
            </w:pPr>
            <w:r>
              <w:rPr>
                <w:color w:val="000000"/>
              </w:rPr>
              <w:t>0,065</w:t>
            </w:r>
          </w:p>
        </w:tc>
      </w:tr>
      <w:tr w:rsidR="003450B1" w14:paraId="59E9D485" w14:textId="77777777">
        <w:tc>
          <w:tcPr>
            <w:tcW w:w="2325" w:type="dxa"/>
          </w:tcPr>
          <w:p w14:paraId="61716BBB" w14:textId="77777777" w:rsidR="003450B1" w:rsidRDefault="00EE2FCE">
            <w:pPr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4845" w:type="dxa"/>
          </w:tcPr>
          <w:p w14:paraId="573EDE2B" w14:textId="77777777" w:rsidR="003450B1" w:rsidRDefault="00EE2FCE">
            <w:pPr>
              <w:jc w:val="both"/>
            </w:pPr>
            <w:r>
              <w:rPr>
                <w:color w:val="000000"/>
              </w:rPr>
              <w:t>0,032</w:t>
            </w:r>
          </w:p>
        </w:tc>
        <w:tc>
          <w:tcPr>
            <w:tcW w:w="2580" w:type="dxa"/>
          </w:tcPr>
          <w:p w14:paraId="21DDED6B" w14:textId="77777777" w:rsidR="003450B1" w:rsidRDefault="00EE2FCE">
            <w:pPr>
              <w:jc w:val="both"/>
            </w:pPr>
            <w:r>
              <w:rPr>
                <w:color w:val="000000"/>
              </w:rPr>
              <w:t>0,052</w:t>
            </w:r>
          </w:p>
        </w:tc>
      </w:tr>
    </w:tbl>
    <w:p w14:paraId="7A8AEA6C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Na variante helicoidal, a normalização é diferente: raio de </w:t>
      </w:r>
      <w:r w:rsidRPr="000358E5">
        <w:rPr>
          <w:b/>
          <w:bCs/>
          <w:color w:val="000000"/>
          <w:lang w:val="pt-BR"/>
        </w:rPr>
        <w:t>1,44C a 1,68C</w:t>
      </w:r>
      <w:r w:rsidRPr="000358E5">
        <w:rPr>
          <w:color w:val="000000"/>
          <w:lang w:val="pt-BR"/>
        </w:rPr>
        <w:t xml:space="preserve"> e comprimento de pá de </w:t>
      </w:r>
      <w:r w:rsidRPr="000358E5">
        <w:rPr>
          <w:b/>
          <w:bCs/>
          <w:color w:val="000000"/>
          <w:lang w:val="pt-BR"/>
        </w:rPr>
        <w:t>4,0C a 4,48C</w:t>
      </w:r>
      <w:r w:rsidRPr="000358E5">
        <w:rPr>
          <w:color w:val="000000"/>
          <w:lang w:val="pt-BR"/>
        </w:rPr>
        <w:t xml:space="preserve">, com C = 0,125 m — dois valores de raio (1,44C e 1,68C) e três de comprimento (4,0C, 4,32C, 4,48C) </w:t>
      </w:r>
      <w:r w:rsidRPr="000358E5">
        <w:rPr>
          <w:lang w:val="pt-BR"/>
        </w:rPr>
        <w:t>(Hassan et al., 2024, p. 385)</w:t>
      </w:r>
      <w:r w:rsidRPr="000358E5">
        <w:rPr>
          <w:color w:val="000000"/>
          <w:lang w:val="pt-BR"/>
        </w:rPr>
        <w:t xml:space="preserve">. Essas duas parametrizações geram as </w:t>
      </w:r>
      <w:r w:rsidRPr="000358E5">
        <w:rPr>
          <w:b/>
          <w:bCs/>
          <w:color w:val="000000"/>
          <w:lang w:val="pt-BR"/>
        </w:rPr>
        <w:t>alternativas de projeto</w:t>
      </w:r>
      <w:r w:rsidRPr="000358E5">
        <w:rPr>
          <w:color w:val="000000"/>
          <w:lang w:val="pt-BR"/>
        </w:rPr>
        <w:t xml:space="preserve"> — exatamente o insumo para a etapa multicritério da sua tese, se você quiser atrelar o SF-AHP à seleção entre configurações.</w:t>
      </w:r>
    </w:p>
    <w:p w14:paraId="3E5037F5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4 — Simulação aerodinâmica</w:t>
      </w:r>
    </w:p>
    <w:p w14:paraId="267F7C42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A metodologia recomenda ferramentas open-source (QBlade v0.96) com o método </w:t>
      </w:r>
      <w:r w:rsidRPr="000358E5">
        <w:rPr>
          <w:b/>
          <w:bCs/>
          <w:color w:val="000000"/>
          <w:lang w:val="pt-BR"/>
        </w:rPr>
        <w:t>DMS</w:t>
      </w:r>
      <w:r w:rsidRPr="000358E5">
        <w:rPr>
          <w:color w:val="000000"/>
          <w:lang w:val="pt-BR"/>
        </w:rPr>
        <w:t xml:space="preserve"> em duas fases </w:t>
      </w:r>
      <w:r w:rsidRPr="000358E5">
        <w:rPr>
          <w:lang w:val="pt-BR"/>
        </w:rPr>
        <w:t>(Díaz-Canul et al., 2025, p. 36)</w:t>
      </w:r>
      <w:r w:rsidRPr="000358E5">
        <w:rPr>
          <w:color w:val="000000"/>
          <w:lang w:val="pt-BR"/>
        </w:rPr>
        <w:t xml:space="preserve"> — o mesmo arcabouço numérico validado contra dados experimentais de referência </w:t>
      </w:r>
      <w:r w:rsidRPr="000358E5">
        <w:rPr>
          <w:lang w:val="pt-BR"/>
        </w:rPr>
        <w:t>(Díaz-Canul et al., 2025, p. 36)</w:t>
      </w:r>
      <w:r w:rsidRPr="000358E5">
        <w:rPr>
          <w:color w:val="000000"/>
          <w:lang w:val="pt-BR"/>
        </w:rPr>
        <w:t>:</w:t>
      </w:r>
    </w:p>
    <w:p w14:paraId="03CECA0B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1ª fase — triagem por N:</w:t>
      </w:r>
      <w:sdt>
        <w:sdtPr>
          <w:tag w:val="goog_rdk_2"/>
          <w:id w:val="2016486360"/>
        </w:sdtPr>
        <w:sdtEndPr/>
        <w:sdtContent>
          <w:r w:rsidRPr="000358E5">
            <w:rPr>
              <w:rFonts w:ascii="Gungsuh" w:eastAsia="Gungsuh" w:hAnsi="Gungsuh" w:cs="Gungsuh"/>
              <w:color w:val="000000"/>
              <w:lang w:val="pt-BR"/>
            </w:rPr>
            <w:t xml:space="preserve"> oito simulações cobrindo N = 2–5 nos raios mínimo e máximo; o Cp máximo encontrado foi ≈ </w:t>
          </w:r>
        </w:sdtContent>
      </w:sdt>
      <w:r w:rsidRPr="000358E5">
        <w:rPr>
          <w:b/>
          <w:bCs/>
          <w:color w:val="000000"/>
          <w:lang w:val="pt-BR"/>
        </w:rPr>
        <w:t>0,47</w:t>
      </w:r>
      <w:sdt>
        <w:sdtPr>
          <w:tag w:val="goog_rdk_3"/>
          <w:id w:val="1577828144"/>
        </w:sdtPr>
        <w:sdtEndPr/>
        <w:sdtContent>
          <w:r w:rsidRPr="000358E5">
            <w:rPr>
              <w:rFonts w:ascii="Cardo" w:eastAsia="Cardo" w:hAnsi="Cardo" w:cs="Cardo"/>
              <w:color w:val="000000"/>
              <w:lang w:val="pt-BR"/>
            </w:rPr>
            <w:t xml:space="preserve"> para 2 pás (</w:t>
          </w:r>
          <w:r>
            <w:rPr>
              <w:rFonts w:ascii="Cardo" w:eastAsia="Cardo" w:hAnsi="Cardo" w:cs="Cardo"/>
              <w:color w:val="000000"/>
            </w:rPr>
            <w:t>σ</w:t>
          </w:r>
          <w:r w:rsidRPr="000358E5">
            <w:rPr>
              <w:rFonts w:ascii="Cardo" w:eastAsia="Cardo" w:hAnsi="Cardo" w:cs="Cardo"/>
              <w:color w:val="000000"/>
              <w:lang w:val="pt-BR"/>
            </w:rPr>
            <w:t xml:space="preserve"> = 0,3; Ar = 2,6), contra ≈ 0,45 para 3 pás (Díaz-Canul et al., 2025, p. 45);</w:t>
          </w:r>
        </w:sdtContent>
      </w:sdt>
    </w:p>
    <w:p w14:paraId="2F29C836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 xml:space="preserve">2ª fase — varredura </w:t>
      </w:r>
      <w:r>
        <w:rPr>
          <w:b/>
          <w:bCs/>
          <w:color w:val="000000"/>
        </w:rPr>
        <w:t>σ</w:t>
      </w:r>
      <w:r w:rsidRPr="000358E5">
        <w:rPr>
          <w:b/>
          <w:bCs/>
          <w:color w:val="000000"/>
          <w:lang w:val="pt-BR"/>
        </w:rPr>
        <w:t xml:space="preserve"> × Ar:</w:t>
      </w:r>
      <w:r w:rsidRPr="000358E5">
        <w:rPr>
          <w:color w:val="000000"/>
          <w:lang w:val="pt-BR"/>
        </w:rPr>
        <w:t xml:space="preserve"> para N = 2 e N = 3, matriz de </w:t>
      </w:r>
      <w:r w:rsidRPr="000358E5">
        <w:rPr>
          <w:b/>
          <w:bCs/>
          <w:color w:val="000000"/>
          <w:lang w:val="pt-BR"/>
        </w:rPr>
        <w:t>25 combinações</w:t>
      </w:r>
      <w:r w:rsidRPr="000358E5">
        <w:rPr>
          <w:color w:val="000000"/>
          <w:lang w:val="pt-BR"/>
        </w:rPr>
        <w:t xml:space="preserve"> cada (</w:t>
      </w:r>
      <w:r>
        <w:rPr>
          <w:color w:val="000000"/>
        </w:rPr>
        <w:t>σ</w:t>
      </w:r>
      <w:r w:rsidRPr="000358E5">
        <w:rPr>
          <w:color w:val="000000"/>
          <w:lang w:val="pt-BR"/>
        </w:rPr>
        <w:t xml:space="preserve"> = 0,200–0,300 e Ar = 2,6–3,0), com Cp máx variando entre ~0,33 e ~0,45; a tendência dominante é </w:t>
      </w:r>
      <w:r w:rsidRPr="000358E5">
        <w:rPr>
          <w:b/>
          <w:bCs/>
          <w:color w:val="000000"/>
          <w:lang w:val="pt-BR"/>
        </w:rPr>
        <w:t xml:space="preserve">maior </w:t>
      </w:r>
      <w:r>
        <w:rPr>
          <w:b/>
          <w:bCs/>
          <w:color w:val="000000"/>
        </w:rPr>
        <w:t>σ</w:t>
      </w:r>
      <w:r w:rsidRPr="000358E5">
        <w:rPr>
          <w:b/>
          <w:bCs/>
          <w:color w:val="000000"/>
          <w:lang w:val="pt-BR"/>
        </w:rPr>
        <w:t xml:space="preserve"> e menor Ar</w:t>
      </w:r>
      <w:r w:rsidRPr="000358E5">
        <w:rPr>
          <w:color w:val="000000"/>
          <w:lang w:val="pt-BR"/>
        </w:rPr>
        <w:t xml:space="preserve"> (Díaz-Canul et al., 2025).</w:t>
      </w:r>
    </w:p>
    <w:p w14:paraId="70F28CA4" w14:textId="77777777" w:rsidR="003450B1" w:rsidRDefault="00EE2FCE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lastRenderedPageBreak/>
        <w:drawing>
          <wp:inline distT="114300" distB="114300" distL="114300" distR="114300" wp14:anchorId="103337FC" wp14:editId="17F7885B">
            <wp:extent cx="1191243" cy="310038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1243" cy="3100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A654B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O torque gerado é o produto da força tangencial média por pá e do raio,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tav</m:t>
            </m:r>
          </m:sub>
        </m:sSub>
        <m:r>
          <w:rPr>
            <w:rFonts w:ascii="Cambria Math" w:hAnsi="Cambria Math"/>
          </w:rPr>
          <m:t>R</m:t>
        </m:r>
      </m:oMath>
      <w:r w:rsidRPr="000358E5">
        <w:rPr>
          <w:color w:val="000000"/>
          <w:lang w:val="pt-BR"/>
        </w:rPr>
        <w:t xml:space="preserve">, e a potência,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Tω</m:t>
        </m:r>
      </m:oMath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2025, p. 38)</w:t>
      </w:r>
      <w:r w:rsidRPr="000358E5">
        <w:rPr>
          <w:color w:val="000000"/>
          <w:lang w:val="pt-BR"/>
        </w:rPr>
        <w:t xml:space="preserve">. No caso helicoidal, a análise paramétrica mostrou que </w:t>
      </w:r>
      <w:r w:rsidRPr="000358E5">
        <w:rPr>
          <w:b/>
          <w:bCs/>
          <w:color w:val="000000"/>
          <w:lang w:val="pt-BR"/>
        </w:rPr>
        <w:t>comprimento de pá e raio do rotor são os fatores críticos</w:t>
      </w:r>
      <w:r w:rsidRPr="000358E5">
        <w:rPr>
          <w:color w:val="000000"/>
          <w:lang w:val="pt-BR"/>
        </w:rPr>
        <w:t xml:space="preserve"> que determinam o desempenho — com variação de comprimento de 0,50 a 0,56 m (diâmetro fixo de 0,21 m), o Cp variou de </w:t>
      </w:r>
      <w:r w:rsidRPr="000358E5">
        <w:rPr>
          <w:b/>
          <w:bCs/>
          <w:color w:val="000000"/>
          <w:lang w:val="pt-BR"/>
        </w:rPr>
        <w:t>0,013 na menor velocidade de vento até 0,176 na máxima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2024, p. 390)</w:t>
      </w:r>
      <w:r w:rsidRPr="000358E5">
        <w:rPr>
          <w:color w:val="000000"/>
          <w:lang w:val="pt-BR"/>
        </w:rPr>
        <w:t xml:space="preserve">, e o ajuste da combinação produziu aumento de </w:t>
      </w:r>
      <w:r w:rsidRPr="000358E5">
        <w:rPr>
          <w:b/>
          <w:bCs/>
          <w:color w:val="000000"/>
          <w:lang w:val="pt-BR"/>
        </w:rPr>
        <w:t>18% na razão Cp–TSR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2024, p. 395)</w:t>
      </w:r>
      <w:r w:rsidRPr="000358E5">
        <w:rPr>
          <w:color w:val="000000"/>
          <w:lang w:val="pt-BR"/>
        </w:rPr>
        <w:t>.</w:t>
      </w:r>
    </w:p>
    <w:p w14:paraId="3DDCAF82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5 — Refino com QLLT e seleção final</w:t>
      </w:r>
    </w:p>
    <w:p w14:paraId="5645F015" w14:textId="77777777" w:rsidR="003450B1" w:rsidRDefault="00EE2FCE">
      <w:pPr>
        <w:jc w:val="both"/>
      </w:pPr>
      <w:r w:rsidRPr="000358E5">
        <w:rPr>
          <w:color w:val="000000"/>
          <w:lang w:val="pt-BR"/>
        </w:rPr>
        <w:t xml:space="preserve">O DMS tende a </w:t>
      </w:r>
      <w:sdt>
        <w:sdtPr>
          <w:tag w:val="goog_rdk_4"/>
          <w:id w:val="-1361322254"/>
        </w:sdtPr>
        <w:sdtEndPr/>
        <w:sdtContent>
          <w:r w:rsidRPr="000358E5">
            <w:rPr>
              <w:rFonts w:ascii="Cardo" w:eastAsia="Cardo" w:hAnsi="Cardo" w:cs="Cardo"/>
              <w:b/>
              <w:bCs/>
              <w:color w:val="000000"/>
              <w:lang w:val="pt-BR"/>
            </w:rPr>
            <w:t xml:space="preserve">superestimar o </w:t>
          </w:r>
          <w:r>
            <w:rPr>
              <w:rFonts w:ascii="Cardo" w:eastAsia="Cardo" w:hAnsi="Cardo" w:cs="Cardo"/>
              <w:b/>
              <w:bCs/>
              <w:color w:val="000000"/>
            </w:rPr>
            <w:t>λ</w:t>
          </w:r>
          <w:r w:rsidRPr="000358E5">
            <w:rPr>
              <w:rFonts w:ascii="Cardo" w:eastAsia="Cardo" w:hAnsi="Cardo" w:cs="Cardo"/>
              <w:b/>
              <w:bCs/>
              <w:color w:val="000000"/>
              <w:lang w:val="pt-BR"/>
            </w:rPr>
            <w:t xml:space="preserve"> ótimo (≈ 4)</w:t>
          </w:r>
        </w:sdtContent>
      </w:sdt>
      <w:r w:rsidRPr="000358E5">
        <w:rPr>
          <w:color w:val="000000"/>
          <w:lang w:val="pt-BR"/>
        </w:rPr>
        <w:t xml:space="preserve">; o método </w:t>
      </w:r>
      <w:r w:rsidRPr="000358E5">
        <w:rPr>
          <w:b/>
          <w:bCs/>
          <w:color w:val="000000"/>
          <w:lang w:val="pt-BR"/>
        </w:rPr>
        <w:t>QLLT</w:t>
      </w:r>
      <w:r w:rsidRPr="000358E5">
        <w:rPr>
          <w:color w:val="000000"/>
          <w:lang w:val="pt-BR"/>
        </w:rPr>
        <w:t xml:space="preserve">, mais conservador, situa o </w:t>
      </w:r>
      <w:sdt>
        <w:sdtPr>
          <w:tag w:val="goog_rdk_5"/>
          <w:id w:val="423468536"/>
        </w:sdtPr>
        <w:sdtEndPr/>
        <w:sdtContent>
          <w:r w:rsidRPr="000358E5">
            <w:rPr>
              <w:rFonts w:ascii="Gungsuh" w:eastAsia="Gungsuh" w:hAnsi="Gungsuh" w:cs="Gungsuh"/>
              <w:b/>
              <w:bCs/>
              <w:color w:val="000000"/>
              <w:lang w:val="pt-BR"/>
            </w:rPr>
            <w:t xml:space="preserve">Cp máximo em ≈ 0,48 no </w:t>
          </w:r>
          <w:r>
            <w:rPr>
              <w:rFonts w:ascii="Gungsuh" w:eastAsia="Gungsuh" w:hAnsi="Gungsuh" w:cs="Gungsuh"/>
              <w:b/>
              <w:bCs/>
              <w:color w:val="000000"/>
            </w:rPr>
            <w:t>λ</w:t>
          </w:r>
          <w:r w:rsidRPr="000358E5">
            <w:rPr>
              <w:rFonts w:ascii="Gungsuh" w:eastAsia="Gungsuh" w:hAnsi="Gungsuh" w:cs="Gungsuh"/>
              <w:b/>
              <w:bCs/>
              <w:color w:val="000000"/>
              <w:lang w:val="pt-BR"/>
            </w:rPr>
            <w:t xml:space="preserve"> ≈ 3,75</w:t>
          </w:r>
        </w:sdtContent>
      </w:sdt>
      <w:r w:rsidRPr="000358E5">
        <w:rPr>
          <w:color w:val="000000"/>
          <w:lang w:val="pt-BR"/>
        </w:rPr>
        <w:t xml:space="preserve">, incorporando perdas estruturais dos braços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. 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recomendação</w:t>
      </w:r>
      <w:proofErr w:type="spellEnd"/>
      <w:r>
        <w:rPr>
          <w:color w:val="000000"/>
        </w:rPr>
        <w:t xml:space="preserve"> final do </w:t>
      </w:r>
      <w:proofErr w:type="spellStart"/>
      <w:r>
        <w:rPr>
          <w:color w:val="000000"/>
        </w:rPr>
        <w:t>estudo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referência</w:t>
      </w:r>
      <w:proofErr w:type="spellEnd"/>
      <w:r>
        <w:rPr>
          <w:color w:val="000000"/>
        </w:rPr>
        <w:t>:</w:t>
      </w:r>
    </w:p>
    <w:p w14:paraId="54183802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3 pás</w:t>
      </w:r>
      <w:r w:rsidRPr="000358E5">
        <w:rPr>
          <w:color w:val="000000"/>
          <w:lang w:val="pt-BR"/>
        </w:rPr>
        <w:t xml:space="preserve">, </w:t>
      </w:r>
      <w:r w:rsidRPr="000358E5">
        <w:rPr>
          <w:b/>
          <w:bCs/>
          <w:color w:val="000000"/>
          <w:lang w:val="pt-BR"/>
        </w:rPr>
        <w:t>Ar = 2,6</w:t>
      </w:r>
      <w:r w:rsidRPr="000358E5">
        <w:rPr>
          <w:color w:val="000000"/>
          <w:lang w:val="pt-BR"/>
        </w:rPr>
        <w:t xml:space="preserve">, </w:t>
      </w:r>
      <w:r>
        <w:rPr>
          <w:b/>
          <w:bCs/>
          <w:color w:val="000000"/>
        </w:rPr>
        <w:t>σ</w:t>
      </w:r>
      <w:r w:rsidRPr="000358E5">
        <w:rPr>
          <w:b/>
          <w:bCs/>
          <w:color w:val="000000"/>
          <w:lang w:val="pt-BR"/>
        </w:rPr>
        <w:t xml:space="preserve"> = 0,30</w:t>
      </w:r>
      <w:r w:rsidRPr="000358E5">
        <w:rPr>
          <w:color w:val="000000"/>
          <w:lang w:val="pt-BR"/>
        </w:rPr>
        <w:t xml:space="preserve">, perfil </w:t>
      </w:r>
      <w:r w:rsidRPr="000358E5">
        <w:rPr>
          <w:b/>
          <w:bCs/>
          <w:color w:val="000000"/>
          <w:lang w:val="pt-BR"/>
        </w:rPr>
        <w:t>S1046 (ou NACA 0018)</w:t>
      </w:r>
      <w:r w:rsidRPr="000358E5">
        <w:rPr>
          <w:color w:val="000000"/>
          <w:lang w:val="pt-BR"/>
        </w:rPr>
        <w:t xml:space="preserve">, operação próxima a </w:t>
      </w:r>
      <w:sdt>
        <w:sdtPr>
          <w:tag w:val="goog_rdk_6"/>
          <w:id w:val="350130665"/>
        </w:sdtPr>
        <w:sdtEndPr/>
        <w:sdtContent>
          <w:r>
            <w:rPr>
              <w:rFonts w:ascii="Cardo" w:eastAsia="Cardo" w:hAnsi="Cardo" w:cs="Cardo"/>
              <w:b/>
              <w:bCs/>
              <w:color w:val="000000"/>
            </w:rPr>
            <w:t>λ</w:t>
          </w:r>
          <w:r w:rsidRPr="000358E5">
            <w:rPr>
              <w:rFonts w:ascii="Cardo" w:eastAsia="Cardo" w:hAnsi="Cardo" w:cs="Cardo"/>
              <w:b/>
              <w:bCs/>
              <w:color w:val="000000"/>
              <w:lang w:val="pt-BR"/>
            </w:rPr>
            <w:t xml:space="preserve"> ≈ 3,75</w:t>
          </w:r>
        </w:sdtContent>
      </w:sdt>
      <w:r w:rsidRPr="000358E5">
        <w:rPr>
          <w:color w:val="000000"/>
          <w:lang w:val="pt-BR"/>
        </w:rPr>
        <w:t>;</w:t>
      </w:r>
    </w:p>
    <w:p w14:paraId="40299186" w14:textId="77777777" w:rsidR="003450B1" w:rsidRPr="000358E5" w:rsidRDefault="00EE2F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a escolha de 3 pás equilibra eficiência e </w:t>
      </w:r>
      <w:r w:rsidRPr="000358E5">
        <w:rPr>
          <w:b/>
          <w:bCs/>
          <w:color w:val="000000"/>
          <w:lang w:val="pt-BR"/>
        </w:rPr>
        <w:t>torque de partida, mitigação de vibração e suavização de carga</w:t>
      </w:r>
      <w:r w:rsidRPr="000358E5">
        <w:rPr>
          <w:color w:val="000000"/>
          <w:lang w:val="pt-BR"/>
        </w:rPr>
        <w:t xml:space="preserve"> — embora a turbina de 2 pás tenha Cp ligeiramente superior (até 0,47), seu torque de partida é menor, inadequado para ventos urbanos intermitentes (Díaz-Canul et al., 2025, p. 35).</w:t>
      </w:r>
    </w:p>
    <w:p w14:paraId="15C091A2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6 — Análise estrutural e regime de operação</w:t>
      </w:r>
    </w:p>
    <w:p w14:paraId="179FA010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Antes do protótipo, o fluxo recomenda </w:t>
      </w:r>
      <w:r w:rsidRPr="000358E5">
        <w:rPr>
          <w:b/>
          <w:bCs/>
          <w:color w:val="000000"/>
          <w:lang w:val="pt-BR"/>
        </w:rPr>
        <w:t>análise estrutural estática e modal</w:t>
      </w:r>
      <w:r w:rsidRPr="000358E5">
        <w:rPr>
          <w:color w:val="000000"/>
          <w:lang w:val="pt-BR"/>
        </w:rPr>
        <w:t xml:space="preserve">, indispensáveis para garantir integridade estrutural e segurança sob cargas cíclicas </w:t>
      </w:r>
      <w:r w:rsidRPr="000358E5">
        <w:rPr>
          <w:lang w:val="pt-BR"/>
        </w:rPr>
        <w:t>(Hassan et al., 2024, p. 395)</w:t>
      </w:r>
      <w:r w:rsidRPr="000358E5">
        <w:rPr>
          <w:color w:val="000000"/>
          <w:lang w:val="pt-BR"/>
        </w:rPr>
        <w:t xml:space="preserve">. Em paralelo, constrói-se a </w:t>
      </w:r>
      <w:r w:rsidRPr="000358E5">
        <w:rPr>
          <w:b/>
          <w:bCs/>
          <w:color w:val="000000"/>
          <w:lang w:val="pt-BR"/>
        </w:rPr>
        <w:t>curva potência × rotação</w:t>
      </w:r>
      <w:r w:rsidRPr="000358E5">
        <w:rPr>
          <w:color w:val="000000"/>
          <w:lang w:val="pt-BR"/>
        </w:rPr>
        <w:t xml:space="preserve"> para as velocidades médias de interesse, identificando os pontos de máxima potência — no caso de referência, </w:t>
      </w:r>
      <w:r w:rsidRPr="000358E5">
        <w:rPr>
          <w:b/>
          <w:bCs/>
          <w:color w:val="000000"/>
          <w:lang w:val="pt-BR"/>
        </w:rPr>
        <w:t>136 W a 220 rpm (5 m/s)</w:t>
      </w:r>
      <w:r w:rsidRPr="000358E5">
        <w:rPr>
          <w:color w:val="000000"/>
          <w:lang w:val="pt-BR"/>
        </w:rPr>
        <w:t xml:space="preserve"> e </w:t>
      </w:r>
      <w:r w:rsidRPr="000358E5">
        <w:rPr>
          <w:b/>
          <w:bCs/>
          <w:color w:val="000000"/>
          <w:lang w:val="pt-BR"/>
        </w:rPr>
        <w:t>932 W a 380 rpm (9 m/s)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2025, p. 35)</w:t>
      </w:r>
      <w:r w:rsidRPr="000358E5">
        <w:rPr>
          <w:color w:val="000000"/>
          <w:lang w:val="pt-BR"/>
        </w:rPr>
        <w:t>. Esses pontos definem o acoplamento com o gerador e a faixa de operação controlada.</w:t>
      </w:r>
    </w:p>
    <w:p w14:paraId="61CC3FBB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Etapa 7 — Validação e testes de campo</w:t>
      </w:r>
    </w:p>
    <w:p w14:paraId="73B5D26E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>Feche o ciclo com dois tipos de validação, ambos presentes nas metodologias de referência:</w:t>
      </w:r>
    </w:p>
    <w:p w14:paraId="2156BC93" w14:textId="77777777" w:rsidR="003450B1" w:rsidRPr="000358E5" w:rsidRDefault="00EE2F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Numérica/experimental:</w:t>
      </w:r>
      <w:r w:rsidRPr="000358E5">
        <w:rPr>
          <w:color w:val="000000"/>
          <w:lang w:val="pt-BR"/>
        </w:rPr>
        <w:t xml:space="preserve"> a metodologia do rotor foi validada contra trabalho experimental de referência (Díaz-Canul et al., 2025, p. 36), e a validação também foi feita por comparação gráfica com literatura estabelecida sobre VAWTs de pás retas, usando um perfil NACA distinto como benchmark (Hassan et al., 2024, p. 395);</w:t>
      </w:r>
    </w:p>
    <w:p w14:paraId="178D1B90" w14:textId="77777777" w:rsidR="003450B1" w:rsidRPr="000358E5" w:rsidRDefault="00EE2F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Teste de campo:</w:t>
      </w:r>
      <w:r w:rsidRPr="000358E5">
        <w:rPr>
          <w:color w:val="000000"/>
          <w:lang w:val="pt-BR"/>
        </w:rPr>
        <w:t xml:space="preserve"> validação do desempenho real no local de instalação, dado que os modelos não consideram a inércia do rotor no cálculo de torque — um </w:t>
      </w:r>
      <w:r w:rsidRPr="000358E5">
        <w:rPr>
          <w:b/>
          <w:bCs/>
          <w:color w:val="000000"/>
          <w:lang w:val="pt-BR"/>
        </w:rPr>
        <w:t>sistema de partida externo pode ser necessário</w:t>
      </w:r>
      <w:r w:rsidRPr="000358E5">
        <w:rPr>
          <w:color w:val="000000"/>
          <w:lang w:val="pt-BR"/>
        </w:rPr>
        <w:t xml:space="preserve"> (Díaz-Canul et al., 2025).</w:t>
      </w:r>
    </w:p>
    <w:p w14:paraId="1B6713B8" w14:textId="77777777" w:rsidR="003450B1" w:rsidRPr="000358E5" w:rsidRDefault="003450B1">
      <w:pPr>
        <w:rPr>
          <w:lang w:val="pt-BR"/>
        </w:rPr>
      </w:pPr>
    </w:p>
    <w:p w14:paraId="5C6C3A5B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lastRenderedPageBreak/>
        <w:t>Apêndice A — Grandezas geométricas e adimensionais do rotor</w:t>
      </w:r>
    </w:p>
    <w:p w14:paraId="3F079DF5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Define os parâmetros que parametrizam todo o projeto (Etapas 1–2). As equações abaixo consolidam as definições dos dois estudos; note que </w:t>
      </w:r>
      <w:r w:rsidRPr="000358E5">
        <w:rPr>
          <w:b/>
          <w:bCs/>
          <w:color w:val="000000"/>
          <w:lang w:val="pt-BR"/>
        </w:rPr>
        <w:t>a solidez tem duas normalizações na literatura</w:t>
      </w:r>
      <w:r w:rsidRPr="000358E5">
        <w:rPr>
          <w:color w:val="000000"/>
          <w:lang w:val="pt-BR"/>
        </w:rPr>
        <w:t xml:space="preserve"> — por raio em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 xml:space="preserve"> e por circunferência em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 xml:space="preserve"> —, ambas reportadas aqui para fidelidade.</w:t>
      </w:r>
    </w:p>
    <w:p w14:paraId="2243A53C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Razão de aspecto</w:t>
      </w:r>
      <w:r w:rsidRPr="000358E5">
        <w:rPr>
          <w:color w:val="000000"/>
          <w:lang w:val="pt-BR"/>
        </w:rPr>
        <w:t xml:space="preserve"> (altura/raio)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:</w:t>
      </w:r>
    </w:p>
    <w:p w14:paraId="1826B17C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Ar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F73AEDA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Razão altura/diâmetro</w:t>
      </w:r>
      <w:r w:rsidRPr="000358E5">
        <w:rPr>
          <w:color w:val="000000"/>
          <w:lang w:val="pt-BR"/>
        </w:rPr>
        <w:t xml:space="preserve"> (definição equivalente usada em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 xml:space="preserve">):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</w:rPr>
          <m:t>D</m:t>
        </m:r>
      </m:oMath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2024)</w:t>
      </w:r>
    </w:p>
    <w:p w14:paraId="34079BA4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Área varrida do rotor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2025; Hassan et al., 2024)</w:t>
      </w:r>
      <w:r w:rsidRPr="000358E5">
        <w:rPr>
          <w:color w:val="000000"/>
          <w:lang w:val="pt-BR"/>
        </w:rPr>
        <w:t>:</w:t>
      </w:r>
    </w:p>
    <w:p w14:paraId="22EAB022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Ar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073BBC1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Solidez</w:t>
      </w:r>
      <w:r w:rsidRPr="000358E5">
        <w:rPr>
          <w:color w:val="000000"/>
          <w:lang w:val="pt-BR"/>
        </w:rPr>
        <w:t xml:space="preserve"> (definição de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):</w:t>
      </w:r>
    </w:p>
    <w:p w14:paraId="12F6A5D2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B442070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Solidez</w:t>
      </w:r>
      <w:r w:rsidRPr="000358E5">
        <w:rPr>
          <w:color w:val="000000"/>
          <w:lang w:val="pt-BR"/>
        </w:rPr>
        <w:t xml:space="preserve"> (definição de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):</w:t>
      </w:r>
    </w:p>
    <w:p w14:paraId="1F9D368A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πR</m:t>
              </m:r>
            </m:den>
          </m:f>
        </m:oMath>
      </m:oMathPara>
    </w:p>
    <w:p w14:paraId="6D421B68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em que </w:t>
      </w:r>
      <m:oMath>
        <m:r>
          <w:rPr>
            <w:rFonts w:ascii="Cambria Math" w:hAnsi="Cambria Math"/>
          </w:rPr>
          <m:t>N</m:t>
        </m:r>
      </m:oMath>
      <w:r w:rsidRPr="000358E5">
        <w:rPr>
          <w:color w:val="000000"/>
          <w:lang w:val="pt-BR"/>
        </w:rPr>
        <w:t xml:space="preserve"> é o número de pás, </w:t>
      </w:r>
      <m:oMath>
        <m:r>
          <w:rPr>
            <w:rFonts w:ascii="Cambria Math" w:hAnsi="Cambria Math"/>
          </w:rPr>
          <m:t>C</m:t>
        </m:r>
      </m:oMath>
      <w:r w:rsidRPr="000358E5">
        <w:rPr>
          <w:color w:val="000000"/>
          <w:lang w:val="pt-BR"/>
        </w:rPr>
        <w:t xml:space="preserve"> a corda, </w:t>
      </w:r>
      <m:oMath>
        <m:r>
          <w:rPr>
            <w:rFonts w:ascii="Cambria Math" w:hAnsi="Cambria Math"/>
          </w:rPr>
          <m:t>R</m:t>
        </m:r>
      </m:oMath>
      <w:r w:rsidRPr="000358E5">
        <w:rPr>
          <w:color w:val="000000"/>
          <w:lang w:val="pt-BR"/>
        </w:rPr>
        <w:t xml:space="preserve"> o raio e </w:t>
      </w:r>
      <m:oMath>
        <m:r>
          <w:rPr>
            <w:rFonts w:ascii="Cambria Math" w:hAnsi="Cambria Math"/>
          </w:rPr>
          <m:t>D</m:t>
        </m:r>
      </m:oMath>
      <w:r w:rsidRPr="000358E5">
        <w:rPr>
          <w:color w:val="000000"/>
          <w:lang w:val="pt-BR"/>
        </w:rPr>
        <w:t xml:space="preserve"> o diâmetro do rotor. A solidez quantifica a fração da área projetada ocupada pelas pás e é diretamente proporcional à corda: quanto maior </w:t>
      </w:r>
      <m:oMath>
        <m:r>
          <w:rPr>
            <w:rFonts w:ascii="Cambria Math" w:hAnsi="Cambria Math"/>
          </w:rPr>
          <m:t>σ</m:t>
        </m:r>
      </m:oMath>
      <w:r w:rsidRPr="000358E5">
        <w:rPr>
          <w:color w:val="000000"/>
          <w:lang w:val="pt-BR"/>
        </w:rPr>
        <w:t xml:space="preserve">, maior </w:t>
      </w:r>
      <m:oMath>
        <m:r>
          <w:rPr>
            <w:rFonts w:ascii="Cambria Math" w:hAnsi="Cambria Math"/>
          </w:rPr>
          <m:t>C</m:t>
        </m:r>
      </m:oMath>
      <w:r w:rsidRPr="000358E5">
        <w:rPr>
          <w:color w:val="000000"/>
          <w:lang w:val="pt-BR"/>
        </w:rPr>
        <w:t xml:space="preserve"> e maior o Reynolds de operação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1C22455E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Velocidade específica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:</w:t>
      </w:r>
    </w:p>
    <w:p w14:paraId="69CBDFDE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ωR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</m:oMath>
      </m:oMathPara>
    </w:p>
    <w:p w14:paraId="4D5834BE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Coeficiente de potência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:</w:t>
      </w:r>
    </w:p>
    <w:p w14:paraId="4BEC48D8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ρA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42B36EEB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em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 w:rsidRPr="000358E5">
        <w:rPr>
          <w:color w:val="000000"/>
          <w:lang w:val="pt-BR"/>
        </w:rPr>
        <w:t xml:space="preserve"> é a potência de eixo, </w:t>
      </w:r>
      <m:oMath>
        <m:r>
          <w:rPr>
            <w:rFonts w:ascii="Cambria Math" w:hAnsi="Cambria Math"/>
          </w:rPr>
          <m:t>ρ</m:t>
        </m:r>
      </m:oMath>
      <w:r w:rsidRPr="000358E5">
        <w:rPr>
          <w:color w:val="000000"/>
          <w:lang w:val="pt-BR"/>
        </w:rPr>
        <w:t xml:space="preserve"> a densidade do ar, </w:t>
      </w:r>
      <m:oMath>
        <m:r>
          <w:rPr>
            <w:rFonts w:ascii="Cambria Math" w:hAnsi="Cambria Math"/>
          </w:rPr>
          <m:t>U</m:t>
        </m:r>
      </m:oMath>
      <w:r w:rsidRPr="000358E5">
        <w:rPr>
          <w:color w:val="000000"/>
          <w:lang w:val="pt-BR"/>
        </w:rPr>
        <w:t xml:space="preserve"> a velocidade do vento e </w:t>
      </w:r>
      <m:oMath>
        <m:r>
          <w:rPr>
            <w:rFonts w:ascii="Cambria Math" w:hAnsi="Cambria Math"/>
          </w:rPr>
          <m:t>ω</m:t>
        </m:r>
      </m:oMath>
      <w:r w:rsidRPr="000358E5">
        <w:rPr>
          <w:color w:val="000000"/>
          <w:lang w:val="pt-BR"/>
        </w:rPr>
        <w:t xml:space="preserve"> a velocidade angular. O TSR ótimo é o ponto de máximo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358E5">
        <w:rPr>
          <w:color w:val="000000"/>
          <w:lang w:val="pt-BR"/>
        </w:rPr>
        <w:t xml:space="preserve"> na curva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pt-BR"/>
          </w:rPr>
          <m:t>)</m:t>
        </m:r>
      </m:oMath>
      <w:r w:rsidRPr="000358E5">
        <w:rPr>
          <w:color w:val="000000"/>
          <w:lang w:val="pt-BR"/>
        </w:rPr>
        <w:t xml:space="preserve"> — no caso de referência,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pt-BR"/>
          </w:rPr>
          <m:t>≈3,75</m:t>
        </m:r>
      </m:oMath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78B30F26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Apêndice B — Cinemática na pá e forças aerodinâmicas</w:t>
      </w:r>
    </w:p>
    <w:p w14:paraId="08592696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Usado na Etapa 1 (seleção de perfil) e na Etapa 4 (simulação DMS), estas equações descrevem o escoamento relativo na pá de um Darrieus de pás retas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5F29ECAE" w14:textId="77777777" w:rsidR="003450B1" w:rsidRDefault="00EE2FCE">
      <w:proofErr w:type="spellStart"/>
      <w:r>
        <w:rPr>
          <w:b/>
          <w:bCs/>
          <w:color w:val="000000"/>
        </w:rPr>
        <w:t>Velocidade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relativa</w:t>
      </w:r>
      <w:proofErr w:type="spellEnd"/>
      <w:r>
        <w:rPr>
          <w:b/>
          <w:bCs/>
          <w:color w:val="000000"/>
        </w:rPr>
        <w:t xml:space="preserve"> do </w:t>
      </w:r>
      <w:proofErr w:type="spellStart"/>
      <w:r>
        <w:rPr>
          <w:b/>
          <w:bCs/>
          <w:color w:val="000000"/>
        </w:rPr>
        <w:t>escoamento</w:t>
      </w:r>
      <w:proofErr w:type="spellEnd"/>
      <w:r>
        <w:rPr>
          <w:color w:val="000000"/>
        </w:rPr>
        <w:t>:</w:t>
      </w:r>
    </w:p>
    <w:p w14:paraId="6669C525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2BD18E7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Velocidade cordal</w:t>
      </w:r>
      <w:r w:rsidRPr="000358E5">
        <w:rPr>
          <w:color w:val="000000"/>
          <w:lang w:val="pt-BR"/>
        </w:rPr>
        <w:t xml:space="preserve"> (componente tangencial, soma da velocidade de rotação com a componente axial induzida):</w:t>
      </w:r>
    </w:p>
    <w:p w14:paraId="2B70FE15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Rω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θ</m:t>
          </m:r>
        </m:oMath>
      </m:oMathPara>
    </w:p>
    <w:p w14:paraId="28D02CE5" w14:textId="77777777" w:rsidR="003450B1" w:rsidRDefault="00EE2FCE">
      <w:proofErr w:type="spellStart"/>
      <w:proofErr w:type="gramStart"/>
      <w:r>
        <w:rPr>
          <w:b/>
          <w:bCs/>
          <w:color w:val="000000"/>
        </w:rPr>
        <w:t>Velocidade</w:t>
      </w:r>
      <w:proofErr w:type="spellEnd"/>
      <w:proofErr w:type="gramEnd"/>
      <w:r>
        <w:rPr>
          <w:b/>
          <w:bCs/>
          <w:color w:val="000000"/>
        </w:rPr>
        <w:t xml:space="preserve"> normal</w:t>
      </w:r>
      <w:r>
        <w:rPr>
          <w:color w:val="000000"/>
        </w:rPr>
        <w:t>:</w:t>
      </w:r>
    </w:p>
    <w:p w14:paraId="55571FB0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θ</m:t>
          </m:r>
        </m:oMath>
      </m:oMathPara>
    </w:p>
    <w:p w14:paraId="0A677C41" w14:textId="77777777" w:rsidR="003450B1" w:rsidRDefault="00EE2FCE">
      <w:proofErr w:type="spellStart"/>
      <w:r>
        <w:rPr>
          <w:b/>
          <w:bCs/>
          <w:color w:val="000000"/>
        </w:rPr>
        <w:t>Ângulo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ataque</w:t>
      </w:r>
      <w:proofErr w:type="spellEnd"/>
      <w:r>
        <w:rPr>
          <w:color w:val="000000"/>
        </w:rPr>
        <w:t>:</w:t>
      </w:r>
    </w:p>
    <w:p w14:paraId="3F1690DF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5FC08AE2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Forças tangencial e normal por pá</w:t>
      </w:r>
      <w:r w:rsidRPr="000358E5">
        <w:rPr>
          <w:color w:val="000000"/>
          <w:lang w:val="pt-BR"/>
        </w:rPr>
        <w:t xml:space="preserve"> (a tangencial gera torque; a normal carrega a estrutura):</w:t>
      </w:r>
    </w:p>
    <w:p w14:paraId="789CF210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α</m:t>
          </m:r>
        </m:oMath>
      </m:oMathPara>
    </w:p>
    <w:p w14:paraId="37FF5A95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α</m:t>
          </m:r>
        </m:oMath>
      </m:oMathPara>
    </w:p>
    <w:p w14:paraId="5A42C8E4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Sustentação e arrasto</w:t>
      </w:r>
      <w:r w:rsidRPr="000358E5">
        <w:rPr>
          <w:color w:val="000000"/>
          <w:lang w:val="pt-BR"/>
        </w:rPr>
        <w:t xml:space="preserve"> (com polares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</w:rPr>
          <m:t>Re</m:t>
        </m:r>
        <m:r>
          <w:rPr>
            <w:rFonts w:ascii="Cambria Math" w:hAnsi="Cambria Math"/>
            <w:lang w:val="pt-BR"/>
          </w:rPr>
          <m:t>)</m:t>
        </m:r>
      </m:oMath>
      <w:r w:rsidRPr="000358E5">
        <w:rPr>
          <w:color w:val="000000"/>
          <w:lang w:val="pt-BR"/>
        </w:rP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</w:rPr>
          <m:t>Re</m:t>
        </m:r>
        <m:r>
          <w:rPr>
            <w:rFonts w:ascii="Cambria Math" w:hAnsi="Cambria Math"/>
            <w:lang w:val="pt-BR"/>
          </w:rPr>
          <m:t>)</m:t>
        </m:r>
      </m:oMath>
      <w:r w:rsidRPr="000358E5">
        <w:rPr>
          <w:color w:val="000000"/>
          <w:lang w:val="pt-BR"/>
        </w:rPr>
        <w:t xml:space="preserve"> obtidas em XFoil):</w:t>
      </w:r>
    </w:p>
    <w:p w14:paraId="4F21A699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ρCH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011844" w14:textId="77777777" w:rsidR="003450B1" w:rsidRDefault="00EE2FCE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ρCH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0CDCFF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Faixa de Reynolds recomendada:</w:t>
      </w:r>
      <w:r w:rsidRPr="000358E5">
        <w:rPr>
          <w:color w:val="000000"/>
          <w:lang w:val="pt-BR"/>
        </w:rPr>
        <w:t xml:space="preserve"> $100 \times 10^3 \le Re \le 200 \times 10^3$; abaixo de $50 \times 10^3$ ocorre queda abrupta de desempenho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7A86D283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Apêndice C — Torque, potência e desempenho do rotor</w:t>
      </w:r>
    </w:p>
    <w:p w14:paraId="2146EE6B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Equações de acoplamento entre aerodinâmica e geração, usadas na Etapa 4 e na Etapa 6 (curva potência × rotação)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3935380B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Torque de eixo</w:t>
      </w:r>
      <w:r w:rsidRPr="000358E5">
        <w:rPr>
          <w:color w:val="000000"/>
          <w:lang w:val="pt-BR"/>
        </w:rPr>
        <w:t xml:space="preserve"> (produto da força tangencial média por pá, do número de pás e do raio):</w:t>
      </w:r>
    </w:p>
    <w:p w14:paraId="49B3C82D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av</m:t>
              </m:r>
            </m:sub>
          </m:sSub>
          <m:r>
            <w:rPr>
              <w:rFonts w:ascii="Cambria Math" w:hAnsi="Cambria Math"/>
            </w:rPr>
            <m:t>R</m:t>
          </m:r>
        </m:oMath>
      </m:oMathPara>
    </w:p>
    <w:p w14:paraId="11133972" w14:textId="77777777" w:rsidR="003450B1" w:rsidRDefault="00EE2FCE">
      <w:proofErr w:type="spellStart"/>
      <w:r>
        <w:rPr>
          <w:b/>
          <w:bCs/>
          <w:color w:val="000000"/>
        </w:rPr>
        <w:t>Potência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mecânica</w:t>
      </w:r>
      <w:proofErr w:type="spellEnd"/>
      <w:r>
        <w:rPr>
          <w:color w:val="000000"/>
        </w:rPr>
        <w:t>:</w:t>
      </w:r>
    </w:p>
    <w:p w14:paraId="298F8EC0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ω</m:t>
          </m:r>
        </m:oMath>
      </m:oMathPara>
    </w:p>
    <w:p w14:paraId="03642868" w14:textId="77777777" w:rsidR="003450B1" w:rsidRPr="000358E5" w:rsidRDefault="00EE2FCE">
      <w:pPr>
        <w:jc w:val="both"/>
        <w:rPr>
          <w:lang w:val="pt-BR"/>
        </w:rPr>
      </w:pPr>
      <w:r w:rsidRPr="000358E5">
        <w:rPr>
          <w:b/>
          <w:bCs/>
          <w:color w:val="000000"/>
          <w:lang w:val="pt-BR"/>
        </w:rPr>
        <w:t>Coeficiente de potência</w:t>
      </w:r>
      <w:r w:rsidRPr="000358E5">
        <w:rPr>
          <w:color w:val="000000"/>
          <w:lang w:val="pt-BR"/>
        </w:rPr>
        <w:t xml:space="preserve"> (fecha o ciclo com A.6):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ρA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3</m:t>
                </m:r>
              </m:sup>
            </m:sSup>
          </m:den>
        </m:f>
      </m:oMath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(Hassan et al., 2024)</w:t>
      </w:r>
    </w:p>
    <w:p w14:paraId="346ECA4A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Os pontos de máxima potência definem o acoplamento com o gerador — no caso de referência, </w:t>
      </w:r>
      <w:r w:rsidRPr="000358E5">
        <w:rPr>
          <w:b/>
          <w:bCs/>
          <w:color w:val="000000"/>
          <w:lang w:val="pt-BR"/>
        </w:rPr>
        <w:t>136 W a 220 rpm</w:t>
      </w:r>
      <w:r w:rsidRPr="000358E5">
        <w:rPr>
          <w:color w:val="000000"/>
          <w:lang w:val="pt-BR"/>
        </w:rPr>
        <w:t xml:space="preserve"> (5 m/s) e </w:t>
      </w:r>
      <w:r w:rsidRPr="000358E5">
        <w:rPr>
          <w:b/>
          <w:bCs/>
          <w:color w:val="000000"/>
          <w:lang w:val="pt-BR"/>
        </w:rPr>
        <w:t>932 W a 380 rpm</w:t>
      </w:r>
      <w:r w:rsidRPr="000358E5">
        <w:rPr>
          <w:color w:val="000000"/>
          <w:lang w:val="pt-BR"/>
        </w:rPr>
        <w:t xml:space="preserve"> (9 m/s)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19534EAE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Apêndice D — Dimensionamento paramétrico (área varrida fixa)</w:t>
      </w:r>
    </w:p>
    <w:p w14:paraId="2BFE1BDD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Base da Etapa 3: com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pt-BR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0358E5">
        <w:rPr>
          <w:color w:val="000000"/>
          <w:lang w:val="pt-BR"/>
        </w:rPr>
        <w:t xml:space="preserve"> e </w:t>
      </w:r>
      <m:oMath>
        <m:r>
          <w:rPr>
            <w:rFonts w:ascii="Cambria Math" w:hAnsi="Cambria Math"/>
          </w:rPr>
          <m:t>Ar</m:t>
        </m:r>
      </m:oMath>
      <w:r w:rsidRPr="000358E5">
        <w:rPr>
          <w:color w:val="000000"/>
          <w:lang w:val="pt-BR"/>
        </w:rPr>
        <w:t xml:space="preserve"> limitado ao intervalo recomendado [2,6–3,0], o raio fica determinado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4E7FBF08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Raio do rotor</w:t>
      </w:r>
      <w:r w:rsidRPr="000358E5">
        <w:rPr>
          <w:color w:val="000000"/>
          <w:lang w:val="pt-BR"/>
        </w:rPr>
        <w:t xml:space="preserve"> (de A.2):</w:t>
      </w:r>
    </w:p>
    <w:p w14:paraId="15D07644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Ar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→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=4</m:t>
                  </m:r>
                </m:e>
                <m:sup/>
              </m:sSup>
            </m:sup>
          </m:sSup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Ar</m:t>
                  </m:r>
                </m:den>
              </m:f>
            </m:e>
          </m:rad>
        </m:oMath>
      </m:oMathPara>
    </w:p>
    <w:p w14:paraId="7955D8CE" w14:textId="77777777" w:rsidR="003450B1" w:rsidRPr="000358E5" w:rsidRDefault="00EE2FCE">
      <w:pPr>
        <w:rPr>
          <w:lang w:val="pt-BR"/>
        </w:rPr>
      </w:pPr>
      <w:r w:rsidRPr="000358E5">
        <w:rPr>
          <w:color w:val="000000"/>
          <w:lang w:val="pt-BR"/>
        </w:rPr>
        <w:t xml:space="preserve">O que gera os limites: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pt-BR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pt-BR"/>
              </w:rPr>
              <m:t>2/3</m:t>
            </m:r>
          </m:e>
        </m:rad>
        <m:r>
          <w:rPr>
            <w:rFonts w:ascii="Cambria Math" w:hAnsi="Cambria Math"/>
            <w:lang w:val="pt-BR"/>
          </w:rPr>
          <m:t>≈0,816</m:t>
        </m:r>
      </m:oMath>
      <w:r w:rsidRPr="000358E5">
        <w:rPr>
          <w:color w:val="000000"/>
          <w:lang w:val="pt-BR"/>
        </w:rPr>
        <w:t xml:space="preserve"> m (Ar = 3)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pt-BR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pt-BR"/>
              </w:rPr>
              <m:t>2/2,6</m:t>
            </m:r>
          </m:e>
        </m:rad>
        <m:r>
          <w:rPr>
            <w:rFonts w:ascii="Cambria Math" w:hAnsi="Cambria Math"/>
            <w:lang w:val="pt-BR"/>
          </w:rPr>
          <m:t>≈0,877</m:t>
        </m:r>
      </m:oMath>
      <w:r w:rsidRPr="000358E5">
        <w:rPr>
          <w:color w:val="000000"/>
          <w:lang w:val="pt-BR"/>
        </w:rPr>
        <w:t xml:space="preserve"> m (Ar = 2,6)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6D6B4953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 xml:space="preserve">Corda em função de </w:t>
      </w:r>
      <m:oMath>
        <m:r>
          <w:rPr>
            <w:rFonts w:ascii="Cambria Math" w:hAnsi="Cambria Math"/>
          </w:rPr>
          <m:t>σ</m:t>
        </m:r>
      </m:oMath>
      <w:r w:rsidRPr="000358E5">
        <w:rPr>
          <w:color w:val="000000"/>
          <w:lang w:val="pt-BR"/>
        </w:rPr>
        <w:t xml:space="preserve"> (de A.3):</w:t>
      </w:r>
    </w:p>
    <w:p w14:paraId="47E8E3F9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Rσ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C7E93CF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 xml:space="preserve">Corda em função de Ar, </w:t>
      </w:r>
      <w:r>
        <w:rPr>
          <w:b/>
          <w:bCs/>
          <w:color w:val="000000"/>
        </w:rPr>
        <w:t>σ</w:t>
      </w:r>
      <w:r w:rsidRPr="000358E5">
        <w:rPr>
          <w:b/>
          <w:bCs/>
          <w:color w:val="000000"/>
          <w:lang w:val="pt-BR"/>
        </w:rPr>
        <w:t xml:space="preserve"> e N</w:t>
      </w:r>
      <w:r w:rsidRPr="000358E5">
        <w:rPr>
          <w:color w:val="000000"/>
          <w:lang w:val="pt-BR"/>
        </w:rPr>
        <w:t xml:space="preserve"> (substituindo D.1 em D.2):</w:t>
      </w:r>
    </w:p>
    <w:p w14:paraId="2EF94990" w14:textId="77777777" w:rsidR="003450B1" w:rsidRDefault="00EE2FCE">
      <w:pPr>
        <w:jc w:val="center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Ar</m:t>
                  </m:r>
                </m:den>
              </m:f>
            </m:e>
          </m:rad>
        </m:oMath>
      </m:oMathPara>
    </w:p>
    <w:p w14:paraId="2C87D93A" w14:textId="77777777" w:rsidR="003450B1" w:rsidRPr="000358E5" w:rsidRDefault="00EE2FCE">
      <w:pPr>
        <w:rPr>
          <w:lang w:val="pt-BR"/>
        </w:rPr>
      </w:pPr>
      <w:r w:rsidRPr="000358E5">
        <w:rPr>
          <w:color w:val="000000"/>
          <w:lang w:val="pt-BR"/>
        </w:rPr>
        <w:t xml:space="preserve">Tabela de cordas resultante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:</w:t>
      </w:r>
    </w:p>
    <w:tbl>
      <w:tblPr>
        <w:tblStyle w:val="a9"/>
        <w:tblW w:w="6000" w:type="dxa"/>
        <w:tblInd w:w="1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2145"/>
        <w:gridCol w:w="1755"/>
      </w:tblGrid>
      <w:tr w:rsidR="003450B1" w14:paraId="59264CBC" w14:textId="77777777">
        <w:tc>
          <w:tcPr>
            <w:tcW w:w="2100" w:type="dxa"/>
            <w:shd w:val="clear" w:color="auto" w:fill="E4E4E7"/>
          </w:tcPr>
          <w:p w14:paraId="72A55D95" w14:textId="77777777" w:rsidR="003450B1" w:rsidRDefault="00EE2FCE">
            <w:r>
              <w:rPr>
                <w:color w:val="000000"/>
              </w:rPr>
              <w:t xml:space="preserve">N de </w:t>
            </w:r>
            <w:proofErr w:type="spellStart"/>
            <w:r>
              <w:rPr>
                <w:color w:val="000000"/>
              </w:rPr>
              <w:t>pás</w:t>
            </w:r>
            <w:proofErr w:type="spellEnd"/>
          </w:p>
        </w:tc>
        <w:tc>
          <w:tcPr>
            <w:tcW w:w="2145" w:type="dxa"/>
            <w:shd w:val="clear" w:color="auto" w:fill="E4E4E7"/>
          </w:tcPr>
          <w:p w14:paraId="4D042353" w14:textId="77777777" w:rsidR="003450B1" w:rsidRDefault="00EE2FCE">
            <w:proofErr w:type="spellStart"/>
            <w:r>
              <w:rPr>
                <w:color w:val="000000"/>
              </w:rPr>
              <w:t>C_min</w:t>
            </w:r>
            <w:proofErr w:type="spellEnd"/>
            <w:r>
              <w:rPr>
                <w:color w:val="000000"/>
              </w:rPr>
              <w:t xml:space="preserve"> (m)</w:t>
            </w:r>
          </w:p>
        </w:tc>
        <w:tc>
          <w:tcPr>
            <w:tcW w:w="1755" w:type="dxa"/>
            <w:shd w:val="clear" w:color="auto" w:fill="E4E4E7"/>
          </w:tcPr>
          <w:p w14:paraId="32CC0D48" w14:textId="77777777" w:rsidR="003450B1" w:rsidRDefault="00EE2FCE">
            <w:proofErr w:type="spellStart"/>
            <w:r>
              <w:rPr>
                <w:color w:val="000000"/>
              </w:rPr>
              <w:t>C_max</w:t>
            </w:r>
            <w:proofErr w:type="spellEnd"/>
            <w:r>
              <w:rPr>
                <w:color w:val="000000"/>
              </w:rPr>
              <w:t xml:space="preserve"> (m)</w:t>
            </w:r>
          </w:p>
        </w:tc>
      </w:tr>
      <w:tr w:rsidR="003450B1" w14:paraId="411A44CF" w14:textId="77777777">
        <w:tc>
          <w:tcPr>
            <w:tcW w:w="2100" w:type="dxa"/>
          </w:tcPr>
          <w:p w14:paraId="2D5AB060" w14:textId="77777777" w:rsidR="003450B1" w:rsidRDefault="00EE2FCE">
            <w:r>
              <w:rPr>
                <w:color w:val="000000"/>
              </w:rPr>
              <w:t>2</w:t>
            </w:r>
          </w:p>
        </w:tc>
        <w:tc>
          <w:tcPr>
            <w:tcW w:w="2145" w:type="dxa"/>
          </w:tcPr>
          <w:p w14:paraId="0B2D11D1" w14:textId="77777777" w:rsidR="003450B1" w:rsidRDefault="00EE2FCE">
            <w:r>
              <w:rPr>
                <w:color w:val="000000"/>
              </w:rPr>
              <w:t>0,081</w:t>
            </w:r>
          </w:p>
        </w:tc>
        <w:tc>
          <w:tcPr>
            <w:tcW w:w="1755" w:type="dxa"/>
          </w:tcPr>
          <w:p w14:paraId="5B114894" w14:textId="77777777" w:rsidR="003450B1" w:rsidRDefault="00EE2FCE">
            <w:r>
              <w:rPr>
                <w:color w:val="000000"/>
              </w:rPr>
              <w:t>0,131</w:t>
            </w:r>
          </w:p>
        </w:tc>
      </w:tr>
      <w:tr w:rsidR="003450B1" w14:paraId="6C8A9EAA" w14:textId="77777777">
        <w:tc>
          <w:tcPr>
            <w:tcW w:w="2100" w:type="dxa"/>
          </w:tcPr>
          <w:p w14:paraId="27CE9A62" w14:textId="77777777" w:rsidR="003450B1" w:rsidRDefault="00EE2FCE">
            <w:r>
              <w:rPr>
                <w:color w:val="000000"/>
              </w:rPr>
              <w:t>3</w:t>
            </w:r>
          </w:p>
        </w:tc>
        <w:tc>
          <w:tcPr>
            <w:tcW w:w="2145" w:type="dxa"/>
          </w:tcPr>
          <w:p w14:paraId="3C056BA2" w14:textId="77777777" w:rsidR="003450B1" w:rsidRDefault="00EE2FCE">
            <w:r>
              <w:rPr>
                <w:color w:val="000000"/>
              </w:rPr>
              <w:t>0,054</w:t>
            </w:r>
          </w:p>
        </w:tc>
        <w:tc>
          <w:tcPr>
            <w:tcW w:w="1755" w:type="dxa"/>
          </w:tcPr>
          <w:p w14:paraId="36FEEB03" w14:textId="77777777" w:rsidR="003450B1" w:rsidRDefault="00EE2FCE">
            <w:r>
              <w:rPr>
                <w:color w:val="000000"/>
              </w:rPr>
              <w:t>0,087</w:t>
            </w:r>
          </w:p>
        </w:tc>
      </w:tr>
      <w:tr w:rsidR="003450B1" w14:paraId="2688EF95" w14:textId="77777777">
        <w:tc>
          <w:tcPr>
            <w:tcW w:w="2100" w:type="dxa"/>
          </w:tcPr>
          <w:p w14:paraId="1CF5D207" w14:textId="77777777" w:rsidR="003450B1" w:rsidRDefault="00EE2FCE">
            <w:r>
              <w:rPr>
                <w:color w:val="000000"/>
              </w:rPr>
              <w:t>4</w:t>
            </w:r>
          </w:p>
        </w:tc>
        <w:tc>
          <w:tcPr>
            <w:tcW w:w="2145" w:type="dxa"/>
          </w:tcPr>
          <w:p w14:paraId="1D870A2C" w14:textId="77777777" w:rsidR="003450B1" w:rsidRDefault="00EE2FCE">
            <w:r>
              <w:rPr>
                <w:color w:val="000000"/>
              </w:rPr>
              <w:t>0,040</w:t>
            </w:r>
          </w:p>
        </w:tc>
        <w:tc>
          <w:tcPr>
            <w:tcW w:w="1755" w:type="dxa"/>
          </w:tcPr>
          <w:p w14:paraId="609DF33A" w14:textId="77777777" w:rsidR="003450B1" w:rsidRDefault="00EE2FCE">
            <w:r>
              <w:rPr>
                <w:color w:val="000000"/>
              </w:rPr>
              <w:t>0,065</w:t>
            </w:r>
          </w:p>
        </w:tc>
      </w:tr>
      <w:tr w:rsidR="003450B1" w14:paraId="6CEC72E9" w14:textId="77777777">
        <w:tc>
          <w:tcPr>
            <w:tcW w:w="2100" w:type="dxa"/>
          </w:tcPr>
          <w:p w14:paraId="6E5BF61A" w14:textId="77777777" w:rsidR="003450B1" w:rsidRDefault="00EE2FCE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2145" w:type="dxa"/>
          </w:tcPr>
          <w:p w14:paraId="58FD2E84" w14:textId="77777777" w:rsidR="003450B1" w:rsidRDefault="00EE2FCE">
            <w:r>
              <w:rPr>
                <w:color w:val="000000"/>
              </w:rPr>
              <w:t>0,032</w:t>
            </w:r>
          </w:p>
        </w:tc>
        <w:tc>
          <w:tcPr>
            <w:tcW w:w="1755" w:type="dxa"/>
          </w:tcPr>
          <w:p w14:paraId="03EE6D86" w14:textId="77777777" w:rsidR="003450B1" w:rsidRDefault="00EE2FCE">
            <w:r>
              <w:rPr>
                <w:color w:val="000000"/>
              </w:rPr>
              <w:t>0,052</w:t>
            </w:r>
          </w:p>
        </w:tc>
      </w:tr>
    </w:tbl>
    <w:p w14:paraId="46014E8E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Na variante helicoidal, a parametrização usa múltiplos da corda: raio de </w:t>
      </w:r>
      <w:r w:rsidRPr="000358E5">
        <w:rPr>
          <w:b/>
          <w:bCs/>
          <w:color w:val="000000"/>
          <w:lang w:val="pt-BR"/>
        </w:rPr>
        <w:t>1,44C a 1,68C</w:t>
      </w:r>
      <w:r w:rsidRPr="000358E5">
        <w:rPr>
          <w:color w:val="000000"/>
          <w:lang w:val="pt-BR"/>
        </w:rPr>
        <w:t xml:space="preserve"> e comprimento de pá de </w:t>
      </w:r>
      <w:r w:rsidRPr="000358E5">
        <w:rPr>
          <w:b/>
          <w:bCs/>
          <w:color w:val="000000"/>
          <w:lang w:val="pt-BR"/>
        </w:rPr>
        <w:t>4,00C a 4,48C</w:t>
      </w:r>
      <w:sdt>
        <w:sdtPr>
          <w:tag w:val="goog_rdk_7"/>
          <w:id w:val="1618267793"/>
        </w:sdtPr>
        <w:sdtEndPr/>
        <w:sdtContent>
          <w:r w:rsidRPr="000358E5">
            <w:rPr>
              <w:rFonts w:ascii="Gungsuh" w:eastAsia="Gungsuh" w:hAnsi="Gungsuh" w:cs="Gungsuh"/>
              <w:color w:val="000000"/>
              <w:lang w:val="pt-BR"/>
            </w:rPr>
            <w:t xml:space="preserve">, com C = 0,125 m, ângulo de hélice constante de 25° e passo de −2° </w:t>
          </w:r>
        </w:sdtContent>
      </w:sdt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.</w:t>
      </w:r>
    </w:p>
    <w:p w14:paraId="3B2F6571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Apêndice E — Equações de governo das simulações</w:t>
      </w:r>
    </w:p>
    <w:p w14:paraId="2453814F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Equações resolvidas nas simulações transientes (LES/URANS) do caso helicoidal, em Ansys Fluent/SolidWorks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.</w:t>
      </w:r>
    </w:p>
    <w:p w14:paraId="329484B3" w14:textId="77777777" w:rsidR="003450B1" w:rsidRDefault="00EE2FCE">
      <w:proofErr w:type="spellStart"/>
      <w:r>
        <w:rPr>
          <w:b/>
          <w:bCs/>
          <w:color w:val="000000"/>
        </w:rPr>
        <w:t>Conservação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massa</w:t>
      </w:r>
      <w:proofErr w:type="spellEnd"/>
      <w:r>
        <w:rPr>
          <w:color w:val="000000"/>
        </w:rPr>
        <w:t>:</w:t>
      </w:r>
    </w:p>
    <w:p w14:paraId="06B38812" w14:textId="77777777" w:rsidR="003450B1" w:rsidRDefault="00EE2FCE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077C121" w14:textId="77777777" w:rsidR="003450B1" w:rsidRDefault="00EE2FCE">
      <w:r>
        <w:rPr>
          <w:b/>
          <w:bCs/>
          <w:color w:val="000000"/>
        </w:rPr>
        <w:t xml:space="preserve">Momentum </w:t>
      </w:r>
      <w:proofErr w:type="spellStart"/>
      <w:r>
        <w:rPr>
          <w:b/>
          <w:bCs/>
          <w:color w:val="000000"/>
        </w:rPr>
        <w:t>filtrado</w:t>
      </w:r>
      <w:proofErr w:type="spellEnd"/>
      <w:r>
        <w:rPr>
          <w:color w:val="000000"/>
        </w:rPr>
        <w:t>:</w:t>
      </w:r>
    </w:p>
    <w:p w14:paraId="7D38D75E" w14:textId="77777777" w:rsidR="003450B1" w:rsidRDefault="00EE2FCE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‾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‾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ν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‾</m:t>
                      </m:r>
                    </m:sup>
                  </m:sSup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08AB1CD3" w14:textId="77777777" w:rsidR="003450B1" w:rsidRDefault="00EE2FCE">
      <w:r>
        <w:rPr>
          <w:b/>
          <w:bCs/>
          <w:color w:val="000000"/>
        </w:rPr>
        <w:t>Momentum</w:t>
      </w:r>
      <w:r>
        <w:rPr>
          <w:color w:val="000000"/>
        </w:rPr>
        <w:t>:</w:t>
      </w:r>
    </w:p>
    <w:p w14:paraId="277D7EE1" w14:textId="77777777" w:rsidR="003450B1" w:rsidRDefault="00EE2FCE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vv</m:t>
          </m:r>
          <m:r>
            <w:rPr>
              <w:rFonts w:ascii="Cambria Math" w:hAnsi="Cambria Math"/>
            </w:rPr>
            <m:t>)=-</m:t>
          </m:r>
          <m:r>
            <w:rPr>
              <w:rFonts w:ascii="Cambria Math" w:hAnsi="Cambria Math"/>
            </w:rPr>
            <m:t>∇P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τ</m:t>
          </m:r>
        </m:oMath>
      </m:oMathPara>
    </w:p>
    <w:p w14:paraId="1479485F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Energia cinética turbulenta (modelo k–</w:t>
      </w:r>
      <w:r>
        <w:rPr>
          <w:b/>
          <w:bCs/>
          <w:color w:val="000000"/>
        </w:rPr>
        <w:t>ω</w:t>
      </w:r>
      <w:r w:rsidRPr="000358E5">
        <w:rPr>
          <w:b/>
          <w:bCs/>
          <w:color w:val="000000"/>
          <w:lang w:val="pt-BR"/>
        </w:rPr>
        <w:t xml:space="preserve"> SST)</w:t>
      </w:r>
      <w:r w:rsidRPr="000358E5">
        <w:rPr>
          <w:color w:val="000000"/>
          <w:lang w:val="pt-BR"/>
        </w:rPr>
        <w:t>:</w:t>
      </w:r>
    </w:p>
    <w:p w14:paraId="0BDA14B2" w14:textId="77777777" w:rsidR="003450B1" w:rsidRDefault="00EE2FCE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ρk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ρωk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∂k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48589C46" w14:textId="77777777" w:rsidR="003450B1" w:rsidRPr="000358E5" w:rsidRDefault="00EE2FCE">
      <w:pPr>
        <w:rPr>
          <w:lang w:val="pt-BR"/>
        </w:rPr>
      </w:pPr>
      <w:r w:rsidRPr="000358E5">
        <w:rPr>
          <w:b/>
          <w:bCs/>
          <w:color w:val="000000"/>
          <w:lang w:val="pt-BR"/>
        </w:rPr>
        <w:t>Taxa de dissipação específica (modelo k–</w:t>
      </w:r>
      <w:r>
        <w:rPr>
          <w:b/>
          <w:bCs/>
          <w:color w:val="000000"/>
        </w:rPr>
        <w:t>ω</w:t>
      </w:r>
      <w:r w:rsidRPr="000358E5">
        <w:rPr>
          <w:b/>
          <w:bCs/>
          <w:color w:val="000000"/>
          <w:lang w:val="pt-BR"/>
        </w:rPr>
        <w:t xml:space="preserve"> SST)</w:t>
      </w:r>
      <w:r w:rsidRPr="000358E5">
        <w:rPr>
          <w:color w:val="000000"/>
          <w:lang w:val="pt-BR"/>
        </w:rPr>
        <w:t>:</w:t>
      </w:r>
    </w:p>
    <w:p w14:paraId="0A6FF855" w14:textId="77777777" w:rsidR="003450B1" w:rsidRDefault="00EE2FCE">
      <w:pPr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ρω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∂ω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]+2(1-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∂k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∂ω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049692A0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>Parâmetros de simulação adotados: residual de convergência $10</w:t>
      </w:r>
      <w:proofErr w:type="gramStart"/>
      <w:r w:rsidRPr="000358E5">
        <w:rPr>
          <w:color w:val="000000"/>
          <w:lang w:val="pt-BR"/>
        </w:rPr>
        <w:t>^{</w:t>
      </w:r>
      <w:proofErr w:type="gramEnd"/>
      <w:r w:rsidRPr="000358E5">
        <w:rPr>
          <w:color w:val="000000"/>
          <w:lang w:val="pt-BR"/>
        </w:rPr>
        <w:t>-</w:t>
      </w:r>
      <w:proofErr w:type="gramStart"/>
      <w:r w:rsidRPr="000358E5">
        <w:rPr>
          <w:color w:val="000000"/>
          <w:lang w:val="pt-BR"/>
        </w:rPr>
        <w:t>5}$</w:t>
      </w:r>
      <w:proofErr w:type="gramEnd"/>
      <w:r w:rsidRPr="000358E5">
        <w:rPr>
          <w:color w:val="000000"/>
          <w:lang w:val="pt-BR"/>
        </w:rPr>
        <w:t xml:space="preserve">, passo de tempo de 0,005 s, máximo de 50 iterações por passo e erro relativo &lt; 2% entre ciclos de rotação consecutivos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 xml:space="preserve">. No fluxo DMS/QBlade, ativam-se as opções </w:t>
      </w:r>
      <w:r w:rsidRPr="000358E5">
        <w:rPr>
          <w:i/>
          <w:iCs/>
          <w:color w:val="000000"/>
          <w:lang w:val="pt-BR"/>
        </w:rPr>
        <w:t>Tip Loss</w:t>
      </w:r>
      <w:r w:rsidRPr="000358E5">
        <w:rPr>
          <w:color w:val="000000"/>
          <w:lang w:val="pt-BR"/>
        </w:rPr>
        <w:t xml:space="preserve"> e </w:t>
      </w:r>
      <w:r w:rsidRPr="000358E5">
        <w:rPr>
          <w:i/>
          <w:iCs/>
          <w:color w:val="000000"/>
          <w:lang w:val="pt-BR"/>
        </w:rPr>
        <w:t>Variable induction factors</w:t>
      </w:r>
      <w:r w:rsidRPr="000358E5">
        <w:rPr>
          <w:color w:val="000000"/>
          <w:lang w:val="pt-BR"/>
        </w:rPr>
        <w:t xml:space="preserve">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1F83AB04" w14:textId="77777777" w:rsidR="003450B1" w:rsidRPr="000358E5" w:rsidRDefault="00EE2FCE">
      <w:pPr>
        <w:pStyle w:val="Ttulo2"/>
        <w:jc w:val="both"/>
        <w:rPr>
          <w:lang w:val="pt-BR"/>
        </w:rPr>
      </w:pPr>
      <w:r w:rsidRPr="000358E5">
        <w:rPr>
          <w:color w:val="000000"/>
          <w:lang w:val="pt-BR"/>
        </w:rPr>
        <w:t>Apêndice F — Dados estruturais e de validação (referência)</w:t>
      </w:r>
    </w:p>
    <w:p w14:paraId="19447659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>Não há equações estruturais novas nas fontes</w:t>
      </w:r>
      <w:r w:rsidRPr="000358E5">
        <w:rPr>
          <w:lang w:val="pt-BR"/>
        </w:rPr>
        <w:t>,</w:t>
      </w:r>
      <w:r w:rsidRPr="000358E5">
        <w:rPr>
          <w:color w:val="000000"/>
          <w:lang w:val="pt-BR"/>
        </w:rPr>
        <w:t xml:space="preserve"> os estudos reportam resultados, mas os valores abaixo ancoram a Etapa 6 e a Etapa 7 e entram no relato da análise estática/modal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>:</w:t>
      </w:r>
    </w:p>
    <w:tbl>
      <w:tblPr>
        <w:tblStyle w:val="aa"/>
        <w:tblW w:w="88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3810"/>
      </w:tblGrid>
      <w:tr w:rsidR="003450B1" w14:paraId="306ED36F" w14:textId="77777777">
        <w:tc>
          <w:tcPr>
            <w:tcW w:w="5040" w:type="dxa"/>
            <w:shd w:val="clear" w:color="auto" w:fill="E4E4E7"/>
          </w:tcPr>
          <w:p w14:paraId="727CE927" w14:textId="77777777" w:rsidR="003450B1" w:rsidRDefault="00EE2FCE">
            <w:proofErr w:type="spellStart"/>
            <w:r>
              <w:rPr>
                <w:color w:val="000000"/>
              </w:rPr>
              <w:t>Parâmetro</w:t>
            </w:r>
            <w:proofErr w:type="spellEnd"/>
          </w:p>
        </w:tc>
        <w:tc>
          <w:tcPr>
            <w:tcW w:w="3810" w:type="dxa"/>
            <w:shd w:val="clear" w:color="auto" w:fill="E4E4E7"/>
          </w:tcPr>
          <w:p w14:paraId="3D097F8B" w14:textId="77777777" w:rsidR="003450B1" w:rsidRDefault="00EE2FCE">
            <w:r>
              <w:rPr>
                <w:color w:val="000000"/>
              </w:rPr>
              <w:t>Valor</w:t>
            </w:r>
          </w:p>
        </w:tc>
      </w:tr>
      <w:tr w:rsidR="003450B1" w14:paraId="4A1D47F5" w14:textId="77777777">
        <w:tc>
          <w:tcPr>
            <w:tcW w:w="5040" w:type="dxa"/>
          </w:tcPr>
          <w:p w14:paraId="26B21E4B" w14:textId="77777777" w:rsidR="003450B1" w:rsidRDefault="00EE2FCE">
            <w:r>
              <w:rPr>
                <w:color w:val="000000"/>
              </w:rPr>
              <w:t>Material</w:t>
            </w:r>
          </w:p>
        </w:tc>
        <w:tc>
          <w:tcPr>
            <w:tcW w:w="3810" w:type="dxa"/>
          </w:tcPr>
          <w:p w14:paraId="1A40FC57" w14:textId="77777777" w:rsidR="003450B1" w:rsidRDefault="00EE2FCE">
            <w:proofErr w:type="spellStart"/>
            <w:r>
              <w:rPr>
                <w:color w:val="000000"/>
              </w:rPr>
              <w:t>Alumínio</w:t>
            </w:r>
            <w:proofErr w:type="spellEnd"/>
            <w:r>
              <w:rPr>
                <w:color w:val="000000"/>
              </w:rPr>
              <w:t xml:space="preserve"> 6061-T6</w:t>
            </w:r>
          </w:p>
        </w:tc>
      </w:tr>
      <w:tr w:rsidR="003450B1" w14:paraId="30AE5DF8" w14:textId="77777777">
        <w:tc>
          <w:tcPr>
            <w:tcW w:w="5040" w:type="dxa"/>
          </w:tcPr>
          <w:p w14:paraId="605E5E3D" w14:textId="77777777" w:rsidR="003450B1" w:rsidRDefault="00EE2FCE">
            <w:proofErr w:type="spellStart"/>
            <w:r>
              <w:rPr>
                <w:color w:val="000000"/>
              </w:rPr>
              <w:t>Módulo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elasticidade</w:t>
            </w:r>
            <w:proofErr w:type="spellEnd"/>
          </w:p>
        </w:tc>
        <w:tc>
          <w:tcPr>
            <w:tcW w:w="3810" w:type="dxa"/>
          </w:tcPr>
          <w:p w14:paraId="1F523B01" w14:textId="77777777" w:rsidR="003450B1" w:rsidRDefault="00EE2FCE">
            <w:r>
              <w:rPr>
                <w:color w:val="000000"/>
              </w:rPr>
              <w:t>6,9 × 10¹⁰ N/m²</w:t>
            </w:r>
          </w:p>
        </w:tc>
      </w:tr>
      <w:tr w:rsidR="003450B1" w14:paraId="31C1F8FB" w14:textId="77777777">
        <w:tc>
          <w:tcPr>
            <w:tcW w:w="5040" w:type="dxa"/>
          </w:tcPr>
          <w:p w14:paraId="2C57CD4F" w14:textId="77777777" w:rsidR="003450B1" w:rsidRDefault="00EE2FCE">
            <w:proofErr w:type="spellStart"/>
            <w:r>
              <w:rPr>
                <w:color w:val="000000"/>
              </w:rPr>
              <w:t>Coeficiente</w:t>
            </w:r>
            <w:proofErr w:type="spellEnd"/>
            <w:r>
              <w:rPr>
                <w:color w:val="000000"/>
              </w:rPr>
              <w:t xml:space="preserve"> de Poisson</w:t>
            </w:r>
          </w:p>
        </w:tc>
        <w:tc>
          <w:tcPr>
            <w:tcW w:w="3810" w:type="dxa"/>
          </w:tcPr>
          <w:p w14:paraId="3F6C1DDA" w14:textId="77777777" w:rsidR="003450B1" w:rsidRDefault="00EE2FCE">
            <w:r>
              <w:rPr>
                <w:color w:val="000000"/>
              </w:rPr>
              <w:t>0,33</w:t>
            </w:r>
          </w:p>
        </w:tc>
      </w:tr>
      <w:tr w:rsidR="003450B1" w14:paraId="489580CC" w14:textId="77777777">
        <w:tc>
          <w:tcPr>
            <w:tcW w:w="5040" w:type="dxa"/>
          </w:tcPr>
          <w:p w14:paraId="79798547" w14:textId="77777777" w:rsidR="003450B1" w:rsidRDefault="00EE2FCE">
            <w:proofErr w:type="spellStart"/>
            <w:r>
              <w:rPr>
                <w:color w:val="000000"/>
              </w:rPr>
              <w:t>Densidade</w:t>
            </w:r>
            <w:proofErr w:type="spellEnd"/>
          </w:p>
        </w:tc>
        <w:tc>
          <w:tcPr>
            <w:tcW w:w="3810" w:type="dxa"/>
          </w:tcPr>
          <w:p w14:paraId="45FAFBAA" w14:textId="77777777" w:rsidR="003450B1" w:rsidRDefault="00EE2FCE">
            <w:r>
              <w:rPr>
                <w:color w:val="000000"/>
              </w:rPr>
              <w:t>2700 kg/m³</w:t>
            </w:r>
          </w:p>
        </w:tc>
      </w:tr>
      <w:tr w:rsidR="003450B1" w14:paraId="1013CBBA" w14:textId="77777777">
        <w:tc>
          <w:tcPr>
            <w:tcW w:w="5040" w:type="dxa"/>
          </w:tcPr>
          <w:p w14:paraId="2A7AFC5C" w14:textId="77777777" w:rsidR="003450B1" w:rsidRDefault="00EE2FCE">
            <w:proofErr w:type="spellStart"/>
            <w:r>
              <w:rPr>
                <w:color w:val="000000"/>
              </w:rPr>
              <w:t>Tensão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escoamento</w:t>
            </w:r>
            <w:proofErr w:type="spellEnd"/>
          </w:p>
        </w:tc>
        <w:tc>
          <w:tcPr>
            <w:tcW w:w="3810" w:type="dxa"/>
          </w:tcPr>
          <w:p w14:paraId="4B301EA0" w14:textId="77777777" w:rsidR="003450B1" w:rsidRDefault="00EE2FCE">
            <w:r>
              <w:rPr>
                <w:color w:val="000000"/>
              </w:rPr>
              <w:t>275 × 10⁶ N/m²</w:t>
            </w:r>
          </w:p>
        </w:tc>
      </w:tr>
      <w:tr w:rsidR="003450B1" w14:paraId="7814157A" w14:textId="77777777">
        <w:tc>
          <w:tcPr>
            <w:tcW w:w="5040" w:type="dxa"/>
          </w:tcPr>
          <w:p w14:paraId="627B4BC0" w14:textId="77777777" w:rsidR="003450B1" w:rsidRDefault="00EE2FCE">
            <w:proofErr w:type="spellStart"/>
            <w:r>
              <w:rPr>
                <w:color w:val="000000"/>
              </w:rPr>
              <w:t>Tensão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ruptura</w:t>
            </w:r>
            <w:proofErr w:type="spellEnd"/>
          </w:p>
        </w:tc>
        <w:tc>
          <w:tcPr>
            <w:tcW w:w="3810" w:type="dxa"/>
          </w:tcPr>
          <w:p w14:paraId="2F15F2E5" w14:textId="77777777" w:rsidR="003450B1" w:rsidRDefault="00EE2FCE">
            <w:r>
              <w:rPr>
                <w:color w:val="000000"/>
              </w:rPr>
              <w:t>310 × 10⁶ N/m²</w:t>
            </w:r>
          </w:p>
        </w:tc>
      </w:tr>
      <w:tr w:rsidR="003450B1" w14:paraId="2861C5FA" w14:textId="77777777">
        <w:tc>
          <w:tcPr>
            <w:tcW w:w="5040" w:type="dxa"/>
          </w:tcPr>
          <w:p w14:paraId="3588E4CE" w14:textId="77777777" w:rsidR="003450B1" w:rsidRDefault="00EE2FCE">
            <w:proofErr w:type="spellStart"/>
            <w:r>
              <w:rPr>
                <w:color w:val="000000"/>
              </w:rPr>
              <w:t>Módulo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cisalhamento</w:t>
            </w:r>
            <w:proofErr w:type="spellEnd"/>
          </w:p>
        </w:tc>
        <w:tc>
          <w:tcPr>
            <w:tcW w:w="3810" w:type="dxa"/>
          </w:tcPr>
          <w:p w14:paraId="5FBE737F" w14:textId="77777777" w:rsidR="003450B1" w:rsidRDefault="00EE2FCE">
            <w:r>
              <w:rPr>
                <w:color w:val="000000"/>
              </w:rPr>
              <w:t>2,6 × 10¹⁰ N/m²</w:t>
            </w:r>
          </w:p>
        </w:tc>
      </w:tr>
      <w:tr w:rsidR="003450B1" w:rsidRPr="000358E5" w14:paraId="668416F4" w14:textId="77777777">
        <w:tc>
          <w:tcPr>
            <w:tcW w:w="5040" w:type="dxa"/>
          </w:tcPr>
          <w:p w14:paraId="49F4BE71" w14:textId="77777777" w:rsidR="003450B1" w:rsidRPr="000358E5" w:rsidRDefault="00EE2FCE">
            <w:pPr>
              <w:rPr>
                <w:lang w:val="pt-BR"/>
              </w:rPr>
            </w:pPr>
            <w:r w:rsidRPr="000358E5">
              <w:rPr>
                <w:color w:val="000000"/>
                <w:lang w:val="pt-BR"/>
              </w:rPr>
              <w:t>Tensão de von Mises máxima</w:t>
            </w:r>
          </w:p>
        </w:tc>
        <w:tc>
          <w:tcPr>
            <w:tcW w:w="3810" w:type="dxa"/>
          </w:tcPr>
          <w:p w14:paraId="4D3ADED9" w14:textId="77777777" w:rsidR="003450B1" w:rsidRPr="000358E5" w:rsidRDefault="00EE2FCE">
            <w:pPr>
              <w:rPr>
                <w:lang w:val="pt-BR"/>
              </w:rPr>
            </w:pPr>
            <w:r w:rsidRPr="000358E5">
              <w:rPr>
                <w:color w:val="000000"/>
                <w:lang w:val="pt-BR"/>
              </w:rPr>
              <w:t>7,8 MPa (bem abaixo do escoamento)</w:t>
            </w:r>
          </w:p>
        </w:tc>
      </w:tr>
      <w:tr w:rsidR="003450B1" w14:paraId="08E82483" w14:textId="77777777">
        <w:tc>
          <w:tcPr>
            <w:tcW w:w="5040" w:type="dxa"/>
          </w:tcPr>
          <w:p w14:paraId="74716C99" w14:textId="77777777" w:rsidR="003450B1" w:rsidRDefault="00EE2FCE">
            <w:proofErr w:type="spellStart"/>
            <w:r>
              <w:rPr>
                <w:color w:val="000000"/>
              </w:rPr>
              <w:lastRenderedPageBreak/>
              <w:t>Deformação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máxima</w:t>
            </w:r>
            <w:proofErr w:type="spellEnd"/>
          </w:p>
        </w:tc>
        <w:tc>
          <w:tcPr>
            <w:tcW w:w="3810" w:type="dxa"/>
          </w:tcPr>
          <w:p w14:paraId="3E60213E" w14:textId="77777777" w:rsidR="003450B1" w:rsidRDefault="00EE2FCE">
            <w:r>
              <w:rPr>
                <w:color w:val="000000"/>
              </w:rPr>
              <w:t>0,0113 mm</w:t>
            </w:r>
          </w:p>
        </w:tc>
      </w:tr>
      <w:tr w:rsidR="003450B1" w14:paraId="42F2B2EF" w14:textId="77777777">
        <w:tc>
          <w:tcPr>
            <w:tcW w:w="5040" w:type="dxa"/>
          </w:tcPr>
          <w:p w14:paraId="4CCD7906" w14:textId="77777777" w:rsidR="003450B1" w:rsidRDefault="00EE2FCE">
            <w:r>
              <w:rPr>
                <w:color w:val="000000"/>
              </w:rPr>
              <w:t xml:space="preserve">Fator de </w:t>
            </w:r>
            <w:proofErr w:type="spellStart"/>
            <w:r>
              <w:rPr>
                <w:color w:val="000000"/>
              </w:rPr>
              <w:t>segurança</w:t>
            </w:r>
            <w:proofErr w:type="spellEnd"/>
          </w:p>
        </w:tc>
        <w:tc>
          <w:tcPr>
            <w:tcW w:w="3810" w:type="dxa"/>
          </w:tcPr>
          <w:p w14:paraId="01A8C74E" w14:textId="77777777" w:rsidR="003450B1" w:rsidRDefault="00EE2FCE">
            <w:r>
              <w:rPr>
                <w:color w:val="000000"/>
              </w:rPr>
              <w:t>3,45</w:t>
            </w:r>
          </w:p>
        </w:tc>
      </w:tr>
      <w:tr w:rsidR="003450B1" w14:paraId="4A0A2D1A" w14:textId="77777777">
        <w:tc>
          <w:tcPr>
            <w:tcW w:w="5040" w:type="dxa"/>
          </w:tcPr>
          <w:p w14:paraId="73C74C1F" w14:textId="77777777" w:rsidR="003450B1" w:rsidRDefault="00EE2FCE">
            <w:proofErr w:type="spellStart"/>
            <w:r>
              <w:rPr>
                <w:color w:val="000000"/>
              </w:rPr>
              <w:t>Modos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vibração</w:t>
            </w:r>
            <w:proofErr w:type="spellEnd"/>
            <w:r>
              <w:rPr>
                <w:color w:val="000000"/>
              </w:rPr>
              <w:t xml:space="preserve"> (modal)</w:t>
            </w:r>
          </w:p>
        </w:tc>
        <w:tc>
          <w:tcPr>
            <w:tcW w:w="3810" w:type="dxa"/>
          </w:tcPr>
          <w:p w14:paraId="3FC029A3" w14:textId="77777777" w:rsidR="003450B1" w:rsidRDefault="00EE2FCE">
            <w:r>
              <w:rPr>
                <w:color w:val="000000"/>
              </w:rPr>
              <w:t xml:space="preserve">79,38–242,40 Hz (9 </w:t>
            </w:r>
            <w:proofErr w:type="spellStart"/>
            <w:r>
              <w:rPr>
                <w:color w:val="000000"/>
              </w:rPr>
              <w:t>modos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37124F4" w14:textId="77777777" w:rsidR="003450B1" w:rsidRPr="000358E5" w:rsidRDefault="00EE2FCE">
      <w:pPr>
        <w:jc w:val="both"/>
        <w:rPr>
          <w:lang w:val="pt-BR"/>
        </w:rPr>
      </w:pPr>
      <w:r w:rsidRPr="000358E5">
        <w:rPr>
          <w:color w:val="000000"/>
          <w:lang w:val="pt-BR"/>
        </w:rPr>
        <w:t xml:space="preserve">A validação numérica foi feita por comparação com dados experimentais de referência (pás retas, perfil distinto) no caso helicoidal </w:t>
      </w:r>
      <w:r w:rsidRPr="000358E5">
        <w:rPr>
          <w:lang w:val="pt-BR"/>
        </w:rPr>
        <w:t>(Hassan et al., 2024)</w:t>
      </w:r>
      <w:r w:rsidRPr="000358E5">
        <w:rPr>
          <w:color w:val="000000"/>
          <w:lang w:val="pt-BR"/>
        </w:rPr>
        <w:t xml:space="preserve">, e com o trabalho experimental clássico de Darrieus no caso paramétrico </w:t>
      </w:r>
      <w:r w:rsidRPr="000358E5">
        <w:rPr>
          <w:lang w:val="pt-BR"/>
        </w:rPr>
        <w:t>(Díaz-Canul et al., 2025)</w:t>
      </w:r>
      <w:r w:rsidRPr="000358E5">
        <w:rPr>
          <w:color w:val="000000"/>
          <w:lang w:val="pt-BR"/>
        </w:rPr>
        <w:t>.</w:t>
      </w:r>
    </w:p>
    <w:p w14:paraId="26A34456" w14:textId="77777777" w:rsidR="003450B1" w:rsidRPr="000358E5" w:rsidRDefault="00EE2FCE">
      <w:pPr>
        <w:jc w:val="both"/>
        <w:rPr>
          <w:b/>
          <w:bCs/>
          <w:lang w:val="pt-BR"/>
        </w:rPr>
      </w:pPr>
      <w:r w:rsidRPr="000358E5">
        <w:rPr>
          <w:color w:val="000000"/>
          <w:lang w:val="pt-BR"/>
        </w:rPr>
        <w:t>Os apêndices A–D cobrem as Etapas 1–4, o E as Etapas 4–5 (simulação) e o F as Etapas 6–7 (estrutura e validação).</w:t>
      </w:r>
      <w:r w:rsidRPr="000358E5">
        <w:rPr>
          <w:lang w:val="pt-BR"/>
        </w:rPr>
        <w:t xml:space="preserve"> </w:t>
      </w:r>
      <w:r w:rsidRPr="000358E5">
        <w:rPr>
          <w:b/>
          <w:bCs/>
          <w:lang w:val="pt-BR"/>
        </w:rPr>
        <w:t>Adicionar mais apêndices para o dimensionamento e as topologias</w:t>
      </w:r>
    </w:p>
    <w:p w14:paraId="60816AB6" w14:textId="77777777" w:rsidR="003450B1" w:rsidRPr="000358E5" w:rsidRDefault="003450B1">
      <w:p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</w:p>
    <w:p w14:paraId="5FE7AF4B" w14:textId="77777777" w:rsidR="003450B1" w:rsidRPr="000358E5" w:rsidRDefault="00EE2F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pt-BR"/>
        </w:rPr>
      </w:pPr>
      <w:r w:rsidRPr="000358E5">
        <w:rPr>
          <w:color w:val="000000"/>
          <w:sz w:val="26"/>
          <w:szCs w:val="26"/>
          <w:lang w:val="pt-BR"/>
        </w:rPr>
        <w:t>Refer</w:t>
      </w:r>
      <w:r w:rsidRPr="000358E5">
        <w:rPr>
          <w:sz w:val="26"/>
          <w:szCs w:val="26"/>
          <w:lang w:val="pt-BR"/>
        </w:rPr>
        <w:t>ências</w:t>
      </w:r>
    </w:p>
    <w:p w14:paraId="563CAEA8" w14:textId="77777777" w:rsidR="003450B1" w:rsidRDefault="00EE2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bookmarkStart w:id="0" w:name="bookmark=id.xtu9y74tl620" w:colFirst="0" w:colLast="0"/>
      <w:bookmarkEnd w:id="0"/>
      <w:r w:rsidRPr="000358E5">
        <w:rPr>
          <w:color w:val="000000"/>
          <w:lang w:val="pt-BR"/>
        </w:rPr>
        <w:t xml:space="preserve">  Díaz-Canul, F., Aguilar, J. O., Hau, N. R., Simá, E., &amp; Jaramillo, Ó. A. (2025). </w:t>
      </w:r>
      <w:r>
        <w:rPr>
          <w:color w:val="000000"/>
        </w:rPr>
        <w:t xml:space="preserve">Design of Low-Power Vertical-Axis Wind Turbine Based on Parametric Method. </w:t>
      </w:r>
      <w:r>
        <w:rPr>
          <w:i/>
          <w:iCs/>
          <w:color w:val="000000"/>
        </w:rPr>
        <w:t>Wind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5</w:t>
      </w:r>
      <w:r>
        <w:rPr>
          <w:color w:val="000000"/>
        </w:rPr>
        <w:t>(4), 35. https://doi.org/10.3390/wind5040035</w:t>
      </w:r>
    </w:p>
    <w:p w14:paraId="710537C6" w14:textId="77777777" w:rsidR="003450B1" w:rsidRDefault="00EE2FC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  <w:bookmarkStart w:id="1" w:name="bookmark=id.fk2fkrdf5zna" w:colFirst="0" w:colLast="0"/>
      <w:bookmarkEnd w:id="1"/>
      <w:r>
        <w:rPr>
          <w:color w:val="000000"/>
        </w:rPr>
        <w:t xml:space="preserve">  Hassan, W. U., Jalal, A., Bilal, M. A., </w:t>
      </w:r>
      <w:proofErr w:type="spellStart"/>
      <w:r>
        <w:rPr>
          <w:color w:val="000000"/>
        </w:rPr>
        <w:t>Buzal</w:t>
      </w:r>
      <w:proofErr w:type="spellEnd"/>
      <w:r>
        <w:rPr>
          <w:color w:val="000000"/>
        </w:rPr>
        <w:t xml:space="preserve">, M. Z., Asghar, H., &amp; Ali, U. (2024). Parametric analysis of a helical-bladed vertical axis wind turbine. </w:t>
      </w:r>
      <w:r>
        <w:rPr>
          <w:i/>
          <w:iCs/>
          <w:color w:val="000000"/>
        </w:rPr>
        <w:t>Journal of Ocean Engineering and Marine Energy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10</w:t>
      </w:r>
      <w:r>
        <w:rPr>
          <w:color w:val="000000"/>
        </w:rPr>
        <w:t>(2), 383–398. https://doi.org/10.1007/s40722-024-00318-0</w:t>
      </w:r>
    </w:p>
    <w:sectPr w:rsidR="003450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303E3C77-8FB2-40C2-8BC5-8328F52F72EF}"/>
  </w:font>
  <w:font w:name="Georgia">
    <w:panose1 w:val="02040502050405020303"/>
    <w:charset w:val="00"/>
    <w:family w:val="auto"/>
    <w:pitch w:val="default"/>
    <w:embedItalic r:id="rId2" w:fontKey="{B92FF0C7-2E40-420D-B53C-61FCAD51A4E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EB38C188-F632-47B1-BD89-F62770A35118}"/>
    <w:embedBold r:id="rId4" w:subsetted="1" w:fontKey="{3A6AEFFE-A93D-4374-B047-61232E7EB6A1}"/>
  </w:font>
  <w:font w:name="Cardo">
    <w:charset w:val="00"/>
    <w:family w:val="auto"/>
    <w:pitch w:val="default"/>
    <w:embedRegular r:id="rId5" w:fontKey="{3E81542E-0279-4D69-8AAE-6E357BC5AC4E}"/>
    <w:embedBold r:id="rId6" w:fontKey="{7555FE73-8C08-41C4-832B-6038D23A649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890189A-D512-42BE-97EA-5E091843C042}"/>
    <w:embedItalic r:id="rId8" w:fontKey="{49D6CF27-633C-464C-B841-3E32F4B667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AF1A843-9F48-4CE9-A999-740E2427D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38D95E8-DFCB-4EDA-A0C5-6E01ED0AE9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212"/>
    <w:multiLevelType w:val="multilevel"/>
    <w:tmpl w:val="9BD6CB2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9128BA"/>
    <w:multiLevelType w:val="multilevel"/>
    <w:tmpl w:val="507C0C8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</w:lvl>
    <w:lvl w:ilvl="3">
      <w:start w:val="1"/>
      <w:numFmt w:val="decimal"/>
      <w:lvlText w:val="%4"/>
      <w:lvlJc w:val="left"/>
      <w:pPr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</w:lvl>
    <w:lvl w:ilvl="5">
      <w:start w:val="1"/>
      <w:numFmt w:val="decimal"/>
      <w:lvlText w:val="%6"/>
      <w:lvlJc w:val="left"/>
      <w:pPr>
        <w:ind w:left="4320" w:hanging="360"/>
      </w:pPr>
    </w:lvl>
    <w:lvl w:ilvl="6">
      <w:start w:val="1"/>
      <w:numFmt w:val="decimal"/>
      <w:lvlText w:val="%7"/>
      <w:lvlJc w:val="left"/>
      <w:pPr>
        <w:ind w:left="5040" w:hanging="360"/>
      </w:pPr>
    </w:lvl>
    <w:lvl w:ilvl="7">
      <w:start w:val="1"/>
      <w:numFmt w:val="decimal"/>
      <w:lvlText w:val="%8"/>
      <w:lvlJc w:val="left"/>
      <w:pPr>
        <w:ind w:left="5760" w:hanging="360"/>
      </w:pPr>
    </w:lvl>
    <w:lvl w:ilvl="8">
      <w:start w:val="1"/>
      <w:numFmt w:val="decimal"/>
      <w:lvlText w:val="%9"/>
      <w:lvlJc w:val="left"/>
      <w:pPr>
        <w:ind w:left="6480" w:hanging="360"/>
      </w:pPr>
    </w:lvl>
  </w:abstractNum>
  <w:num w:numId="1" w16cid:durableId="466699605">
    <w:abstractNumId w:val="0"/>
  </w:num>
  <w:num w:numId="2" w16cid:durableId="137110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0B1"/>
    <w:rsid w:val="000358E5"/>
    <w:rsid w:val="003450B1"/>
    <w:rsid w:val="00AE11CE"/>
    <w:rsid w:val="00EE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B8DC"/>
  <w15:docId w15:val="{284A2626-CA67-4567-833A-4DDABC31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44" w:after="7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JenniRefHeader">
    <w:name w:val="JenniRefHeader"/>
    <w:basedOn w:val="Ttulo2"/>
    <w:next w:val="Normal"/>
    <w:qFormat/>
    <w:rPr>
      <w:color w:val="000000"/>
    </w:rPr>
  </w:style>
  <w:style w:type="paragraph" w:customStyle="1" w:styleId="JenniRefBody">
    <w:name w:val="JenniRefBody"/>
    <w:basedOn w:val="Normal"/>
    <w:next w:val="Normal"/>
    <w:qFormat/>
    <w:rPr>
      <w:color w:val="000000"/>
    </w:rPr>
  </w:style>
  <w:style w:type="paragraph" w:customStyle="1" w:styleId="JenniTableCaption">
    <w:name w:val="JenniTableCaption"/>
    <w:basedOn w:val="Normal"/>
    <w:next w:val="Normal"/>
    <w:qFormat/>
    <w:pPr>
      <w:spacing w:after="120"/>
    </w:pPr>
    <w:rPr>
      <w:i/>
      <w:iCs/>
    </w:rPr>
  </w:style>
  <w:style w:type="paragraph" w:customStyle="1" w:styleId="JenniFigureCaption">
    <w:name w:val="JenniFigureCaption"/>
    <w:basedOn w:val="Normal"/>
    <w:next w:val="Normal"/>
    <w:qFormat/>
    <w:pPr>
      <w:spacing w:after="120"/>
    </w:pPr>
    <w:rPr>
      <w:i/>
      <w:iCs/>
    </w:rPr>
  </w:style>
  <w:style w:type="paragraph" w:customStyle="1" w:styleId="JenniCodeBlock">
    <w:name w:val="JenniCodeBlock"/>
    <w:basedOn w:val="Normal"/>
    <w:next w:val="Normal"/>
    <w:qFormat/>
    <w:rPr>
      <w:rFonts w:ascii="Consolas" w:eastAsia="Consolas" w:hAnsi="Consolas" w:cs="Consolas"/>
    </w:rPr>
  </w:style>
  <w:style w:type="paragraph" w:customStyle="1" w:styleId="JenniCodeLanguage">
    <w:name w:val="JenniCodeLanguage"/>
    <w:basedOn w:val="Normal"/>
    <w:next w:val="JenniCodeBlock"/>
    <w:qFormat/>
    <w:pPr>
      <w:spacing w:after="60"/>
    </w:pPr>
    <w:rPr>
      <w:i/>
      <w:iCs/>
      <w:color w:val="71717A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ErjZ386wWNwhUBcznMyeEC3HA==">CgMxLjAaFAoBMBIPCg0IB0IJEgdHdW5nc3VoGhIKATESDQoLCAdCBxIFQ2FyZG8aJQoBMhIgCh4IB0IaCg9UaW1lcyBOZXcgUm9tYW4SB0d1bmdzdWgaIwoBMxIeChwIB0IYCg9UaW1lcyBOZXcgUm9tYW4SBUNhcmRvGhIKATQSDQoLCAdCBxIFQ2FyZG8aFAoBNRIPCg0IB0IJEgdHdW5nc3VoGiMKATYSHgocCAdCGAoPVGltZXMgTmV3IFJvbWFuEgVDYXJkbxoUCgE3Eg8KDQgHQgkSB0d1bmdzdWgyD2lkLnh0dTl5NzR0bDYyMDIPaWQuZmsyZmtyZGY1em5hOAByITF0Z0dtSFVXUWlmVzFWWEFYVHJ1UkhkSXJvM1Q5OGVr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2164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Leandro Morsch Franco</dc:creator>
  <cp:lastModifiedBy>Andrei Franco</cp:lastModifiedBy>
  <cp:revision>2</cp:revision>
  <dcterms:created xsi:type="dcterms:W3CDTF">2026-10-07T13:52:00Z</dcterms:created>
  <dcterms:modified xsi:type="dcterms:W3CDTF">2026-10-07T13:52:00Z</dcterms:modified>
</cp:coreProperties>
</file>