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Itinerário cálculo turbina_rev0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Itinerário de cáculo, versão com as atribuições corrigidas para marcadores numéricos: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Esquema geral do itinerário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108312" cy="72532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312" cy="725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Este itinerário consolida duas metodologias presentes na sua biblioteca: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abordagem paramétrica para VAWT de baixa potência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que cobre o processo do perfil aerodinâmico à seleção final do rotor, 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análise paramétrica de VAWT helicoidal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que acrescenta a etapa de geometria helicoidal e as análises estrutural/modal.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Etapa 0 — Recurso eólico e definição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O ponto de partida é caracterizar o local: a velocidade média do vento determina tanto a potência esperada quanto a faixa de Reynolds de operação — e Reynolds é o fator que mais penaliza turbinas pequenas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No projeto de referência, para uma velocidade média representativa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5 m/s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o rotor atinge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136 W a 220 rpm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; em condições de vento mais forte (9 m/s), a potência prevista sobe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932 W a 380 rpm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2025, p. 35)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Defina também o regime de uso: urbano/residencial implica ventos fracos e intermitentes, o que torna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torque de partida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um critério central de seleção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2025, p. 36)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Etapa 1 — Seleção de topologia e de perfil aerodinâmico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Escolha da topologia.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Para baixa potência (&lt; 1 kW), o H-Darrieus de pás retas é a base da metodologia paramétrica, que considera variação de altura de pá (H), corda (c), raio (r), solidez (σ), número de pás (N) e razão H/R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2025, p. 36)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Há também a variante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helicoidal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que usa o mesmo perfil porém com torção ao longo da altura — no estudo de referência, </w:t>
      </w:r>
      <w:sdt>
        <w:sdtPr>
          <w:id w:val="-18181394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rtl w:val="0"/>
            </w:rPr>
            <w:t xml:space="preserve">perfil NACA 0018 com ângulo de hélice constante de 25° e ângulo de passo de −2°</w:t>
          </w:r>
        </w:sdtContent>
      </w:sdt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com corda, número de pás, diâmetro do rotor e comprimento de pá como propriedades aerodinâmicas-chave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2024, p. 386)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Seleção do perfil.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Avalie um conjunto de perfis com polares geradas em XFoil para múltiplos Reynolds. O estudo de referência avaliou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nove perfis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— seis simétricos (NACA 0021, S1046, Joukowski 21, NACA 0018, Trainer 60, Eppler 479) e três assimétricos (DU 06-W-200, NASA SC(s) 0518, S833)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Os 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Comportamento linear de CL × α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 faixa de operação;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Estabilidade em Reynolds baixos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abaixo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50×10³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ocorre queda abrupta de desempenho — a faixa estável recomendada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100×10³–200×10³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(Díaz-Canul et al., 2025, p. 45);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 máximo em curva Cp × λ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(Díaz-Canul et al.,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Resultado do caso de referência: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S1046 e NACA 0018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foram os melhores — Cp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0,52 a 5 m/s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0,56 a 6 m/s</w:t>
      </w:r>
      <w:sdt>
        <w:sdtPr>
          <w:id w:val="74880015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000000"/>
              <w:rtl w:val="0"/>
            </w:rPr>
            <w:t xml:space="preserve">, ambos em λ ≈ 3,3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A NACA 0018 (simétrica, espessura 18% da corda, curvatura 0%, espessura máxima a 30% da corda)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2024, p. 385)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apareceu nas duas metodologias como escolha robusta.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Etapa 2 — Definição do espaço paramétrico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Os parâmetros principais de projeto são: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solidez (σ), razão de aspecto (Ar = H/R), número de pás (N), corda (C), raio (R), altura (H)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área varrida (A)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2025, p. 36)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Os intervalos recomendados na literatura e adotados no estudo: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75"/>
        <w:gridCol w:w="4785"/>
        <w:tblGridChange w:id="0">
          <w:tblGrid>
            <w:gridCol w:w="4275"/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e4e4e7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7" w:val="clea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Intervalo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Área varrida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4 m² (restrição de entrada)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Solidez 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0,20–0,30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Razão de aspecto Ar = H/R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2,6–3,0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Número de pás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2–5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(Díaz-Canul et al., 2025, p. 36)</w:t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Há um trade-off estruturante: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menos pás aumentam o Cp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mas reduzem o torque de partida e aumentam a variação de torque ao longo da revolução;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solidez maior favorece partida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porém está diretamente ligada à corda — quanto maior σ, maior C e maior o Reynolds, mas o λ ótimo se desloca para valores mais altos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2025, p. 35)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Pás em maior número reduzem a corda (para manter σ), derrubando o Reynolds e o desempenho em baixa velocidade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2025, p. 45)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Etapa 3 — Dimensionamento paramétrico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Com a área varrida fixa e a razão de aspecto limitada, o raio fica determinado: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A=H⋅D=2Ar</m:t>
        </m:r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 xml:space="preserve">R</m:t>
            </m:r>
          </m:e>
          <m:sup>
            <m:r>
              <w:rPr>
                <w:rFonts w:ascii="Arial" w:cs="Arial" w:eastAsia="Arial" w:hAnsi="Arial"/>
              </w:rPr>
              <m:t xml:space="preserve">2</m:t>
            </m:r>
          </m:sup>
        </m:sSup>
        <m:r>
          <w:rPr>
            <w:rFonts w:ascii="Arial" w:cs="Arial" w:eastAsia="Arial" w:hAnsi="Arial"/>
          </w:rPr>
          <m:t>⇒</m:t>
        </m:r>
        <m:r>
          <w:rPr>
            <w:rFonts w:ascii="Arial" w:cs="Arial" w:eastAsia="Arial" w:hAnsi="Arial"/>
          </w:rPr>
          <m:t xml:space="preserve">R=</m:t>
        </m:r>
        <m:rad>
          <m:radPr>
            <m:degHide m:val="1"/>
            <m:ctrlPr>
              <w:rPr>
                <w:rFonts w:ascii="Arial" w:cs="Arial" w:eastAsia="Arial" w:hAnsi="Arial"/>
              </w:rPr>
            </m:ctrlPr>
          </m:radPr>
          <m:e>
            <m:f>
              <m:fPr>
                <m:ctrlPr>
                  <w:rPr>
                    <w:rFonts w:ascii="Arial" w:cs="Arial" w:eastAsia="Arial" w:hAnsi="Arial"/>
                  </w:rPr>
                </m:ctrlPr>
              </m:fPr>
              <m:num>
                <m:r>
                  <w:rPr>
                    <w:rFonts w:ascii="Arial" w:cs="Arial" w:eastAsia="Arial" w:hAnsi="Arial"/>
                  </w:rPr>
                  <m:t xml:space="preserve">A</m:t>
                </m:r>
              </m:num>
              <m:den>
                <m:r>
                  <w:rPr>
                    <w:rFonts w:ascii="Arial" w:cs="Arial" w:eastAsia="Arial" w:hAnsi="Arial"/>
                  </w:rPr>
                  <m:t xml:space="preserve">2Ar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Com A = 4 m²: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R = 0,816 m (Ar = 3)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R = 0,877 m (Ar = 2,6)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A altura é H = Ar·R e a corda vem da solidez: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σ=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NC</m:t>
            </m:r>
          </m:num>
          <m:den>
            <m:r>
              <w:rPr>
                <w:rFonts w:ascii="Arial" w:cs="Arial" w:eastAsia="Arial" w:hAnsi="Arial"/>
              </w:rPr>
              <m:t xml:space="preserve">R</m:t>
            </m:r>
          </m:den>
        </m:f>
        <m:r>
          <w:rPr>
            <w:rFonts w:ascii="Arial" w:cs="Arial" w:eastAsia="Arial" w:hAnsi="Arial"/>
          </w:rPr>
          <m:t>⇒</m:t>
        </m:r>
        <m:r>
          <w:rPr>
            <w:rFonts w:ascii="Arial" w:cs="Arial" w:eastAsia="Arial" w:hAnsi="Arial"/>
          </w:rPr>
          <m:t xml:space="preserve">C=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R</m:t>
            </m:r>
            <m:r>
              <w:rPr>
                <w:rFonts w:ascii="Arial" w:cs="Arial" w:eastAsia="Arial" w:hAnsi="Arial"/>
              </w:rPr>
              <m:t>σ</m:t>
            </m:r>
          </m:num>
          <m:den>
            <m:r>
              <w:rPr>
                <w:rFonts w:ascii="Arial" w:cs="Arial" w:eastAsia="Arial" w:hAnsi="Arial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Isso gera a tabela de cordas para cada número de pás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845"/>
        <w:gridCol w:w="2580"/>
        <w:tblGridChange w:id="0">
          <w:tblGrid>
            <w:gridCol w:w="2325"/>
            <w:gridCol w:w="4845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e4e4e7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7" w:val="clea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C mín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7" w:val="clea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C máx (m)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Na variante helicoidal, a normalização é diferente: raio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1,44C a 1,68C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 comprimento de pá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4,0C a 4,48C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com C = 0,125 m — dois valores de raio (1,44C e 1,68C) e três de comprimento (4,0C, 4,32C, 4,48C)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2024, p. 385)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Essas duas parametrizações geram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alternativas de projeto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— exatamente o insumo para a etapa multicritério da sua tese, se você quiser atrelar o SF-AHP à seleção entre configurações.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Etapa 4 — Simulação aerodinâmica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 metodologia recomenda ferramentas open-source (QBlade v0.96) com o método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DMS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em duas fases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2025, p. 36)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— o mesmo arcabouço numérico validado contra dados experimentais de referência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2025, p. 36)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1ª fase — triagem por N:</w:t>
      </w:r>
      <w:sdt>
        <w:sdtPr>
          <w:id w:val="161775108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oito simulações cobrindo N = 2–5 nos raios mínimo e máximo; o Cp máximo encontrado foi ≈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0,47</w:t>
      </w:r>
      <w:sdt>
        <w:sdtPr>
          <w:id w:val="198343613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para 2 pás (σ = 0,3; Ar = 2,6), contra ≈ 0,45 para 3 pás (Díaz-Canul et al., 2025, p. 45);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2ª fase — varredura σ × Ar: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N = 2 e N = 3, matriz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 combinações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(σ = 0,200–0,300 e Ar = 2,6–3,0), com Cp máx variando entre ~0,33 e ~0,45; a tendência dominante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maior σ e menor Ar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(Díaz-Canul et al., 2025).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right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191243" cy="31003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1243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O torque gerado é o produto da força tangencial média por pá e do raio, </w:t>
      </w:r>
      <m:oMath>
        <m:r>
          <w:rPr>
            <w:rFonts w:ascii="Arial" w:cs="Arial" w:eastAsia="Arial" w:hAnsi="Arial"/>
          </w:rPr>
          <m:t xml:space="preserve">T=N</m:t>
        </m:r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F</m:t>
            </m:r>
          </m:e>
          <m:sub>
            <m:r>
              <w:rPr>
                <w:rFonts w:ascii="Arial" w:cs="Arial" w:eastAsia="Arial" w:hAnsi="Arial"/>
              </w:rPr>
              <m:t xml:space="preserve">tav</m:t>
            </m:r>
          </m:sub>
        </m:sSub>
        <m:r>
          <w:rPr>
            <w:rFonts w:ascii="Arial" w:cs="Arial" w:eastAsia="Arial" w:hAnsi="Arial"/>
          </w:rPr>
          <m:t xml:space="preserve">R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e a potência, </w:t>
      </w:r>
      <m:oMath>
        <m:r>
          <w:rPr>
            <w:rFonts w:ascii="Arial" w:cs="Arial" w:eastAsia="Arial" w:hAnsi="Arial"/>
          </w:rPr>
          <m:t xml:space="preserve">P=T</m:t>
        </m:r>
        <m:r>
          <w:rPr>
            <w:rFonts w:ascii="Arial" w:cs="Arial" w:eastAsia="Arial" w:hAnsi="Arial"/>
          </w:rPr>
          <m:t>ω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2025, p. 38)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No caso helicoidal, a análise paramétrica mostrou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comprimento de pá e raio do rotor são os fatores críticos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que determinam o desempenho — com variação de comprimento de 0,50 a 0,56 m (diâmetro fixo de 0,21 m), o Cp variou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0,013 na menor velocidade de vento até 0,176 na máxima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2024, p. 390)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e o ajuste da combinação produziu aumento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18% na razão Cp–TSR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2024, p. 395)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Etapa 5 — Refino com QLLT e seleção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O DMS tende a </w:t>
      </w:r>
      <w:sdt>
        <w:sdtPr>
          <w:id w:val="-57238281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rtl w:val="0"/>
            </w:rPr>
            <w:t xml:space="preserve">superestimar o λ ótimo (≈ 4)</w:t>
          </w:r>
        </w:sdtContent>
      </w:sdt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; o método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QLLT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mais conservador, situa o </w:t>
      </w:r>
      <w:sdt>
        <w:sdtPr>
          <w:id w:val="99305007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rtl w:val="0"/>
            </w:rPr>
            <w:t xml:space="preserve">Cp máximo em ≈ 0,48 no λ ≈ 3,75</w:t>
          </w:r>
        </w:sdtContent>
      </w:sdt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incorporando perdas estruturais dos braços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A recomendação final do estudo de referência: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pás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 = 2,6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σ = 0,30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perfil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S1046 (ou NACA 0018)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operação próxima a </w:t>
      </w:r>
      <w:sdt>
        <w:sdtPr>
          <w:id w:val="-21199612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λ ≈ 3,75</w:t>
          </w:r>
        </w:sdtContent>
      </w:sdt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escolha de 3 pás equilibra eficiência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torque de partida, mitigação de vibração e suavização de carga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embora a turbina de 2 pás tenha Cp ligeiramente superior (até 0,47), seu torque de partida é menor, inadequado para ventos urbanos intermitentes (Díaz-Canul et al., 2025, p. 35).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Etapa 6 — Análise estrutural e regime de 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Antes do protótipo, o fluxo recomenda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análise estrutural estática e modal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indispensáveis para garantir integridade estrutural e segurança sob cargas cíclicas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2024, p. 395)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Em paralelo, constrói-se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curva potência × rotação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para as velocidades médias de interesse, identificando os pontos de máxima potência — no caso de referência,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136 W a 220 rpm (5 m/s)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932 W a 380 rpm (9 m/s)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2025, p. 35)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Esses pontos definem o acoplamento com o gerador e a faixa de operação controlada.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Etapa 7 — Validação e testes de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Feche o ciclo com dois tipos de validação, ambos presentes nas metodologias de referência: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Numérica/experimental: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metodologia do rotor foi validada contra trabalho experimental de referência (Díaz-Canul et al., 2025, p. 36), e a validação também foi feita por comparação gráfica com literatura estabelecida sobre VAWTs de pás retas, usando um perfil NACA distinto como benchmark (Hassan et al., 2024, p. 395);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Teste de campo: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validação do desempenho real no local de instalação, dado que os modelos não consideram a inércia do rotor no cálculo de torque —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de partida externo pode ser necessário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(Díaz-Canul et al.,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Apêndice A — Grandezas geométricas e adimensionais do rotor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Define os parâmetros que parametrizam todo o projeto (Etapas 1–2). As equações abaixo consolidam as definições dos dois estudos; note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a solidez tem duas normalizações na literatura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— por raio em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 por circunferência em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—, ambas reportadas aqui para fidelidade.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Razão de aspecto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(altura/raio)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Ar=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H</m:t>
            </m:r>
          </m:num>
          <m:den>
            <m:r>
              <w:rPr>
                <w:rFonts w:ascii="Arial" w:cs="Arial" w:eastAsia="Arial" w:hAnsi="Arial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Razão altura/diâmetro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(definição equivalente usada em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): </w:t>
      </w:r>
      <m:oMath>
        <m:r>
          <w:rPr>
            <w:rFonts w:ascii="Arial" w:cs="Arial" w:eastAsia="Arial" w:hAnsi="Arial"/>
          </w:rPr>
          <m:t xml:space="preserve">P=H/D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Área varrida do rotor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2025; 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A=H⋅D=2Ar</m:t>
        </m:r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 xml:space="preserve">R</m:t>
            </m:r>
          </m:e>
          <m:sup>
            <m:r>
              <w:rPr>
                <w:rFonts w:ascii="Arial" w:cs="Arial" w:eastAsia="Arial" w:hAnsi="Arial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Solidez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(definição de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σ=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NC</m:t>
            </m:r>
          </m:num>
          <m:den>
            <m:r>
              <w:rPr>
                <w:rFonts w:ascii="Arial" w:cs="Arial" w:eastAsia="Arial" w:hAnsi="Arial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Solidez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(definição de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σ=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NC</m:t>
            </m:r>
          </m:num>
          <m:den>
            <m:r>
              <w:rPr>
                <w:rFonts w:ascii="Arial" w:cs="Arial" w:eastAsia="Arial" w:hAnsi="Arial"/>
              </w:rPr>
              <m:t xml:space="preserve">2πR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em que </w:t>
      </w:r>
      <m:oMath>
        <m:r>
          <w:rPr>
            <w:rFonts w:ascii="Arial" w:cs="Arial" w:eastAsia="Arial" w:hAnsi="Arial"/>
          </w:rPr>
          <m:t xml:space="preserve">N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é o número de pás, </w:t>
      </w:r>
      <m:oMath>
        <m:r>
          <w:rPr>
            <w:rFonts w:ascii="Arial" w:cs="Arial" w:eastAsia="Arial" w:hAnsi="Arial"/>
          </w:rPr>
          <m:t xml:space="preserve">C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a corda, </w:t>
      </w:r>
      <m:oMath>
        <m:r>
          <w:rPr>
            <w:rFonts w:ascii="Arial" w:cs="Arial" w:eastAsia="Arial" w:hAnsi="Arial"/>
          </w:rPr>
          <m:t xml:space="preserve">R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o raio e </w:t>
      </w:r>
      <m:oMath>
        <m:r>
          <w:rPr>
            <w:rFonts w:ascii="Arial" w:cs="Arial" w:eastAsia="Arial" w:hAnsi="Arial"/>
          </w:rPr>
          <m:t xml:space="preserve">D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o diâmetro do rotor. A solidez quantifica a fração da área projetada ocupada pelas pás e é diretamente proporcional à corda: quanto maior </w:t>
      </w:r>
      <m:oMath>
        <m:r>
          <m:t>σ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maior </w:t>
      </w:r>
      <m:oMath>
        <m:r>
          <w:rPr>
            <w:rFonts w:ascii="Arial" w:cs="Arial" w:eastAsia="Arial" w:hAnsi="Arial"/>
          </w:rPr>
          <m:t xml:space="preserve">C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 maior o Reynolds de operação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Velocidade específica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λ=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ω</m:t>
            </m:r>
            <m:r>
              <w:rPr>
                <w:rFonts w:ascii="Arial" w:cs="Arial" w:eastAsia="Arial" w:hAnsi="Arial"/>
              </w:rPr>
              <m:t xml:space="preserve">R</m:t>
            </m:r>
          </m:num>
          <m:den>
            <m:r>
              <w:rPr>
                <w:rFonts w:ascii="Arial" w:cs="Arial" w:eastAsia="Arial" w:hAnsi="Arial"/>
              </w:rPr>
              <m:t xml:space="preserve">U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Coeficiente de potência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Arial" w:cs="Arial" w:eastAsia="Arial" w:hAnsi="Arial"/>
        </w:rPr>
      </w:pP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C</m:t>
            </m:r>
          </m:e>
          <m:sub>
            <m:r>
              <w:rPr>
                <w:rFonts w:ascii="Arial" w:cs="Arial" w:eastAsia="Arial" w:hAnsi="Arial"/>
              </w:rPr>
              <m:t xml:space="preserve">P</m:t>
            </m:r>
          </m:sub>
        </m:sSub>
        <m:r>
          <w:rPr>
            <w:rFonts w:ascii="Arial" w:cs="Arial" w:eastAsia="Arial" w:hAnsi="Arial"/>
          </w:rPr>
          <m:t xml:space="preserve">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P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out</m:t>
                </m:r>
              </m:sub>
            </m:sSub>
          </m:num>
          <m:den>
            <m:f>
              <m:fPr>
                <m:ctrlPr>
                  <w:rPr>
                    <w:rFonts w:ascii="Arial" w:cs="Arial" w:eastAsia="Arial" w:hAnsi="Arial"/>
                  </w:rPr>
                </m:ctrlPr>
              </m:fPr>
              <m:num>
                <m:r>
                  <w:rPr>
                    <w:rFonts w:ascii="Arial" w:cs="Arial" w:eastAsia="Arial" w:hAnsi="Arial"/>
                  </w:rPr>
                  <m:t xml:space="preserve">1</m:t>
                </m:r>
              </m:num>
              <m:den>
                <m:r>
                  <w:rPr>
                    <w:rFonts w:ascii="Arial" w:cs="Arial" w:eastAsia="Arial" w:hAnsi="Arial"/>
                  </w:rPr>
                  <m:t xml:space="preserve">2</m:t>
                </m:r>
              </m:den>
            </m:f>
            <m:r>
              <w:rPr>
                <w:rFonts w:ascii="Arial" w:cs="Arial" w:eastAsia="Arial" w:hAnsi="Arial"/>
              </w:rPr>
              <m:t>ρ</m:t>
            </m:r>
            <m:r>
              <w:rPr>
                <w:rFonts w:ascii="Arial" w:cs="Arial" w:eastAsia="Arial" w:hAnsi="Arial"/>
              </w:rPr>
              <m:t xml:space="preserve">A</m:t>
            </m:r>
            <m:sSup>
              <m:sSupPr>
                <m:ctrlPr>
                  <w:rPr>
                    <w:rFonts w:ascii="Arial" w:cs="Arial" w:eastAsia="Arial" w:hAnsi="Arial"/>
                  </w:rPr>
                </m:ctrlPr>
              </m:sSupPr>
              <m:e>
                <m:r>
                  <w:rPr>
                    <w:rFonts w:ascii="Arial" w:cs="Arial" w:eastAsia="Arial" w:hAnsi="Arial"/>
                  </w:rPr>
                  <m:t xml:space="preserve">U</m:t>
                </m:r>
              </m:e>
              <m:sup>
                <m:r>
                  <w:rPr>
                    <w:rFonts w:ascii="Arial" w:cs="Arial" w:eastAsia="Arial" w:hAnsi="Arial"/>
                  </w:rPr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em que </w:t>
      </w: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P</m:t>
            </m:r>
          </m:e>
          <m:sub>
            <m:r>
              <w:rPr>
                <w:rFonts w:ascii="Arial" w:cs="Arial" w:eastAsia="Arial" w:hAnsi="Arial"/>
              </w:rPr>
              <m:t xml:space="preserve">out</m:t>
            </m:r>
          </m:sub>
        </m:sSub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é a potência de eixo, </w:t>
      </w:r>
      <m:oMath>
        <m:r>
          <m:t>ρ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a densidade do ar, </w:t>
      </w:r>
      <m:oMath>
        <m:r>
          <w:rPr>
            <w:rFonts w:ascii="Arial" w:cs="Arial" w:eastAsia="Arial" w:hAnsi="Arial"/>
          </w:rPr>
          <m:t xml:space="preserve">U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a velocidade do vento e </w:t>
      </w:r>
      <m:oMath>
        <m:r>
          <m:t>ω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a velocidade angular. O TSR ótimo é o ponto de máximo </w:t>
      </w: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C</m:t>
            </m:r>
          </m:e>
          <m:sub>
            <m:r>
              <w:rPr>
                <w:rFonts w:ascii="Arial" w:cs="Arial" w:eastAsia="Arial" w:hAnsi="Arial"/>
              </w:rPr>
              <m:t xml:space="preserve">P</m:t>
            </m:r>
          </m:sub>
        </m:sSub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na curva </w:t>
      </w: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C</m:t>
            </m:r>
          </m:e>
          <m:sub>
            <m:r>
              <w:rPr>
                <w:rFonts w:ascii="Arial" w:cs="Arial" w:eastAsia="Arial" w:hAnsi="Arial"/>
              </w:rPr>
              <m:t xml:space="preserve">P</m:t>
            </m:r>
          </m:sub>
        </m:sSub>
        <m:r>
          <w:rPr>
            <w:rFonts w:ascii="Arial" w:cs="Arial" w:eastAsia="Arial" w:hAnsi="Arial"/>
          </w:rPr>
          <m:t xml:space="preserve">(λ)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— no caso de referência, </w:t>
      </w:r>
      <m:oMath>
        <m:r>
          <w:rPr>
            <w:rFonts w:ascii="Arial" w:cs="Arial" w:eastAsia="Arial" w:hAnsi="Arial"/>
          </w:rPr>
          <m:t xml:space="preserve">λ≈3,75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Apêndice B — Cinemática na pá e forças aerodinâmicas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Usado na Etapa 1 (seleção de perfil) e na Etapa 4 (simulação DMS), estas equações descrevem o escoamento relativo na pá de um Darrieus de pás retas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Velocidade relativa do escoamento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W=</m:t>
        </m:r>
        <m:rad>
          <m:radPr>
            <m:degHide m:val="1"/>
            <m:ctrlPr>
              <w:rPr>
                <w:rFonts w:ascii="Arial" w:cs="Arial" w:eastAsia="Arial" w:hAnsi="Arial"/>
              </w:rPr>
            </m:ctrlPr>
          </m:radPr>
          <m:e>
            <m:sSubSup>
              <m:sSubSupPr>
                <m:ctrlPr>
                  <w:rPr>
                    <w:rFonts w:ascii="Arial" w:cs="Arial" w:eastAsia="Arial" w:hAnsi="Arial"/>
                  </w:rPr>
                </m:ctrlPr>
              </m:sSubSupPr>
              <m:e>
                <m:r>
                  <w:rPr>
                    <w:rFonts w:ascii="Arial" w:cs="Arial" w:eastAsia="Arial" w:hAnsi="Arial"/>
                  </w:rPr>
                  <m:t xml:space="preserve">V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c</m:t>
                </m:r>
              </m:sub>
              <m:sup>
                <m:r>
                  <w:rPr>
                    <w:rFonts w:ascii="Arial" w:cs="Arial" w:eastAsia="Arial" w:hAnsi="Arial"/>
                  </w:rPr>
                  <m:t xml:space="preserve">2</m:t>
                </m:r>
              </m:sup>
            </m:sSubSup>
            <m:r>
              <w:rPr>
                <w:rFonts w:ascii="Arial" w:cs="Arial" w:eastAsia="Arial" w:hAnsi="Arial"/>
              </w:rPr>
              <m:t xml:space="preserve">+</m:t>
            </m:r>
            <m:sSubSup>
              <m:sSubSupPr>
                <m:ctrlPr>
                  <w:rPr>
                    <w:rFonts w:ascii="Arial" w:cs="Arial" w:eastAsia="Arial" w:hAnsi="Arial"/>
                  </w:rPr>
                </m:ctrlPr>
              </m:sSubSupPr>
              <m:e>
                <m:r>
                  <w:rPr>
                    <w:rFonts w:ascii="Arial" w:cs="Arial" w:eastAsia="Arial" w:hAnsi="Arial"/>
                  </w:rPr>
                  <m:t xml:space="preserve">V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n</m:t>
                </m:r>
              </m:sub>
              <m:sup>
                <m:r>
                  <w:rPr>
                    <w:rFonts w:ascii="Arial" w:cs="Arial" w:eastAsia="Arial" w:hAnsi="Arial"/>
                  </w:rPr>
                  <m:t xml:space="preserve">2</m:t>
                </m:r>
              </m:sup>
            </m:sSubSup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Velocidade cordal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(componente tangencial, soma da velocidade de rotação com a componente axial induzida):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Arial" w:cs="Arial" w:eastAsia="Arial" w:hAnsi="Arial"/>
        </w:rPr>
      </w:pP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V</m:t>
            </m:r>
          </m:e>
          <m:sub>
            <m:r>
              <w:rPr>
                <w:rFonts w:ascii="Arial" w:cs="Arial" w:eastAsia="Arial" w:hAnsi="Arial"/>
              </w:rPr>
              <m:t xml:space="preserve">c</m:t>
            </m:r>
          </m:sub>
        </m:sSub>
        <m:r>
          <w:rPr>
            <w:rFonts w:ascii="Arial" w:cs="Arial" w:eastAsia="Arial" w:hAnsi="Arial"/>
          </w:rPr>
          <m:t xml:space="preserve">=Rω+</m:t>
        </m:r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V</m:t>
            </m:r>
          </m:e>
          <m:sub>
            <m:r>
              <w:rPr>
                <w:rFonts w:ascii="Arial" w:cs="Arial" w:eastAsia="Arial" w:hAnsi="Arial"/>
              </w:rPr>
              <m:t xml:space="preserve">a</m:t>
            </m:r>
          </m:sub>
        </m:sSub>
        <m:r>
          <w:rPr>
            <w:rFonts w:ascii="Arial" w:cs="Arial" w:eastAsia="Arial" w:hAnsi="Arial"/>
          </w:rPr>
          <m:t xml:space="preserve">cos⁡</m:t>
        </m:r>
        <m:r>
          <w:rPr>
            <w:rFonts w:ascii="Arial" w:cs="Arial" w:eastAsia="Arial" w:hAnsi="Arial"/>
          </w:rPr>
          <m:t>θ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Velocidade normal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Arial" w:cs="Arial" w:eastAsia="Arial" w:hAnsi="Arial"/>
        </w:rPr>
      </w:pP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V</m:t>
            </m:r>
          </m:e>
          <m:sub>
            <m:r>
              <w:rPr>
                <w:rFonts w:ascii="Arial" w:cs="Arial" w:eastAsia="Arial" w:hAnsi="Arial"/>
              </w:rPr>
              <m:t xml:space="preserve">n</m:t>
            </m:r>
          </m:sub>
        </m:sSub>
        <m:r>
          <w:rPr>
            <w:rFonts w:ascii="Arial" w:cs="Arial" w:eastAsia="Arial" w:hAnsi="Arial"/>
          </w:rPr>
          <m:t xml:space="preserve">=</m:t>
        </m:r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V</m:t>
            </m:r>
          </m:e>
          <m:sub>
            <m:r>
              <w:rPr>
                <w:rFonts w:ascii="Arial" w:cs="Arial" w:eastAsia="Arial" w:hAnsi="Arial"/>
              </w:rPr>
              <m:t xml:space="preserve">a</m:t>
            </m:r>
          </m:sub>
        </m:sSub>
        <m:r>
          <w:rPr>
            <w:rFonts w:ascii="Arial" w:cs="Arial" w:eastAsia="Arial" w:hAnsi="Arial"/>
          </w:rPr>
          <m:t xml:space="preserve">sin⁡</m:t>
        </m:r>
        <m:r>
          <w:rPr>
            <w:rFonts w:ascii="Arial" w:cs="Arial" w:eastAsia="Arial" w:hAnsi="Arial"/>
          </w:rPr>
          <m:t>θ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Ângulo de ataque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α=</m:t>
        </m:r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 xml:space="preserve">tan</m:t>
            </m:r>
          </m:e>
          <m:sup>
            <m:r>
              <w:rPr>
                <w:rFonts w:ascii="Arial" w:cs="Arial" w:eastAsia="Arial" w:hAnsi="Arial"/>
              </w:rPr>
              <m:t xml:space="preserve">−1</m:t>
            </m:r>
          </m:sup>
        </m:sSup>
        <m:r>
          <w:rPr>
            <w:rFonts w:ascii="Arial" w:cs="Arial" w:eastAsia="Arial" w:hAnsi="Arial"/>
          </w:rPr>
          <m:t xml:space="preserve">⁡(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V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n</m:t>
                </m:r>
              </m:sub>
            </m:sSub>
          </m:num>
          <m:den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V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c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Forças tangencial e normal por pá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(a tangencial gera torque; a normal carrega a estrutura):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Arial" w:cs="Arial" w:eastAsia="Arial" w:hAnsi="Arial"/>
        </w:rPr>
      </w:pP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F</m:t>
            </m:r>
          </m:e>
          <m:sub>
            <m:r>
              <w:rPr>
                <w:rFonts w:ascii="Arial" w:cs="Arial" w:eastAsia="Arial" w:hAnsi="Arial"/>
              </w:rPr>
              <m:t xml:space="preserve">t</m:t>
            </m:r>
          </m:sub>
        </m:sSub>
        <m:r>
          <w:rPr>
            <w:rFonts w:ascii="Arial" w:cs="Arial" w:eastAsia="Arial" w:hAnsi="Arial"/>
          </w:rPr>
          <m:t xml:space="preserve">=Lsin⁡α−Dcos⁡</m:t>
        </m:r>
        <m:r>
          <w:rPr>
            <w:rFonts w:ascii="Arial" w:cs="Arial" w:eastAsia="Arial" w:hAnsi="Arial"/>
          </w:rPr>
          <m:t>α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Arial" w:cs="Arial" w:eastAsia="Arial" w:hAnsi="Arial"/>
        </w:rPr>
      </w:pP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F</m:t>
            </m:r>
          </m:e>
          <m:sub>
            <m:r>
              <w:rPr>
                <w:rFonts w:ascii="Arial" w:cs="Arial" w:eastAsia="Arial" w:hAnsi="Arial"/>
              </w:rPr>
              <m:t xml:space="preserve">n</m:t>
            </m:r>
          </m:sub>
        </m:sSub>
        <m:r>
          <w:rPr>
            <w:rFonts w:ascii="Arial" w:cs="Arial" w:eastAsia="Arial" w:hAnsi="Arial"/>
          </w:rPr>
          <m:t xml:space="preserve">=Lcos⁡α−Dsin⁡</m:t>
        </m:r>
        <m:r>
          <w:rPr>
            <w:rFonts w:ascii="Arial" w:cs="Arial" w:eastAsia="Arial" w:hAnsi="Arial"/>
          </w:rPr>
          <m:t>α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Sustentação e arrasto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(com polares </w:t>
      </w: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C</m:t>
            </m:r>
          </m:e>
          <m:sub>
            <m:r>
              <w:rPr>
                <w:rFonts w:ascii="Arial" w:cs="Arial" w:eastAsia="Arial" w:hAnsi="Arial"/>
              </w:rPr>
              <m:t xml:space="preserve">L</m:t>
            </m:r>
          </m:sub>
        </m:sSub>
        <m:r>
          <w:rPr>
            <w:rFonts w:ascii="Arial" w:cs="Arial" w:eastAsia="Arial" w:hAnsi="Arial"/>
          </w:rPr>
          <m:t xml:space="preserve">(α,Re)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 </w:t>
      </w: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C</m:t>
            </m:r>
          </m:e>
          <m:sub>
            <m:r>
              <w:rPr>
                <w:rFonts w:ascii="Arial" w:cs="Arial" w:eastAsia="Arial" w:hAnsi="Arial"/>
              </w:rPr>
              <m:t xml:space="preserve">D</m:t>
            </m:r>
          </m:sub>
        </m:sSub>
        <m:r>
          <w:rPr>
            <w:rFonts w:ascii="Arial" w:cs="Arial" w:eastAsia="Arial" w:hAnsi="Arial"/>
          </w:rPr>
          <m:t xml:space="preserve">(α,Re)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obtidas em XFoil):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Arial" w:cs="Arial" w:eastAsia="Arial" w:hAnsi="Arial"/>
        </w:rPr>
      </w:pP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F</m:t>
            </m:r>
          </m:e>
          <m:sub>
            <m:r>
              <w:rPr>
                <w:rFonts w:ascii="Arial" w:cs="Arial" w:eastAsia="Arial" w:hAnsi="Arial"/>
              </w:rPr>
              <m:t xml:space="preserve">L</m:t>
            </m:r>
          </m:sub>
        </m:sSub>
        <m:r>
          <w:rPr>
            <w:rFonts w:ascii="Arial" w:cs="Arial" w:eastAsia="Arial" w:hAnsi="Arial"/>
          </w:rPr>
          <m:t xml:space="preserve">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1</m:t>
            </m:r>
          </m:num>
          <m:den>
            <m:r>
              <w:rPr>
                <w:rFonts w:ascii="Arial" w:cs="Arial" w:eastAsia="Arial" w:hAnsi="Arial"/>
              </w:rPr>
              <m:t xml:space="preserve">2</m:t>
            </m:r>
          </m:den>
        </m:f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C</m:t>
            </m:r>
          </m:e>
          <m:sub>
            <m:r>
              <w:rPr>
                <w:rFonts w:ascii="Arial" w:cs="Arial" w:eastAsia="Arial" w:hAnsi="Arial"/>
              </w:rPr>
              <m:t xml:space="preserve">L</m:t>
            </m:r>
          </m:sub>
        </m:sSub>
        <m:r>
          <w:rPr>
            <w:rFonts w:ascii="Arial" w:cs="Arial" w:eastAsia="Arial" w:hAnsi="Arial"/>
          </w:rPr>
          <m:t>ρ</m:t>
        </m:r>
        <m:r>
          <w:rPr>
            <w:rFonts w:ascii="Arial" w:cs="Arial" w:eastAsia="Arial" w:hAnsi="Arial"/>
          </w:rPr>
          <m:t xml:space="preserve">CH</m:t>
        </m:r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 xml:space="preserve">W</m:t>
            </m:r>
          </m:e>
          <m:sup>
            <m:r>
              <w:rPr>
                <w:rFonts w:ascii="Arial" w:cs="Arial" w:eastAsia="Arial" w:hAnsi="Arial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Arial" w:cs="Arial" w:eastAsia="Arial" w:hAnsi="Arial"/>
        </w:rPr>
      </w:pP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F</m:t>
            </m:r>
          </m:e>
          <m:sub>
            <m:r>
              <w:rPr>
                <w:rFonts w:ascii="Arial" w:cs="Arial" w:eastAsia="Arial" w:hAnsi="Arial"/>
              </w:rPr>
              <m:t xml:space="preserve">D</m:t>
            </m:r>
          </m:sub>
        </m:sSub>
        <m:r>
          <w:rPr>
            <w:rFonts w:ascii="Arial" w:cs="Arial" w:eastAsia="Arial" w:hAnsi="Arial"/>
          </w:rPr>
          <m:t xml:space="preserve">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1</m:t>
            </m:r>
          </m:num>
          <m:den>
            <m:r>
              <w:rPr>
                <w:rFonts w:ascii="Arial" w:cs="Arial" w:eastAsia="Arial" w:hAnsi="Arial"/>
              </w:rPr>
              <m:t xml:space="preserve">2</m:t>
            </m:r>
          </m:den>
        </m:f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C</m:t>
            </m:r>
          </m:e>
          <m:sub>
            <m:r>
              <w:rPr>
                <w:rFonts w:ascii="Arial" w:cs="Arial" w:eastAsia="Arial" w:hAnsi="Arial"/>
              </w:rPr>
              <m:t xml:space="preserve">D</m:t>
            </m:r>
          </m:sub>
        </m:sSub>
        <m:r>
          <w:rPr>
            <w:rFonts w:ascii="Arial" w:cs="Arial" w:eastAsia="Arial" w:hAnsi="Arial"/>
          </w:rPr>
          <m:t>ρ</m:t>
        </m:r>
        <m:r>
          <w:rPr>
            <w:rFonts w:ascii="Arial" w:cs="Arial" w:eastAsia="Arial" w:hAnsi="Arial"/>
          </w:rPr>
          <m:t xml:space="preserve">CH</m:t>
        </m:r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 xml:space="preserve">W</m:t>
            </m:r>
          </m:e>
          <m:sup>
            <m:r>
              <w:rPr>
                <w:rFonts w:ascii="Arial" w:cs="Arial" w:eastAsia="Arial" w:hAnsi="Arial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Faixa de Reynolds recomendada: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$100 \times 10^3 \le Re \le 200 \times 10^3$; abaixo de $50 \times 10^3$ ocorre queda abrupta de desempenho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Apêndice C — Torque, potência e desempenho do rotor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Equações de acoplamento entre aerodinâmica e geração, usadas na Etapa 4 e na Etapa 6 (curva potência × rotação)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Torque de eixo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(produto da força tangencial média por pá, do número de pás e do raio):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T=N</m:t>
        </m:r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F</m:t>
            </m:r>
          </m:e>
          <m:sub>
            <m:r>
              <w:rPr>
                <w:rFonts w:ascii="Arial" w:cs="Arial" w:eastAsia="Arial" w:hAnsi="Arial"/>
              </w:rPr>
              <m:t xml:space="preserve">t,av</m:t>
            </m:r>
          </m:sub>
        </m:sSub>
        <m:r>
          <w:rPr>
            <w:rFonts w:ascii="Arial" w:cs="Arial" w:eastAsia="Arial" w:hAnsi="Arial"/>
          </w:rPr>
          <m:t xml:space="preserve">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Potência mecânica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P=T⋅ω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Coeficiente de potência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(fecha o ciclo com A.6): </w:t>
      </w: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C</m:t>
            </m:r>
          </m:e>
          <m:sub>
            <m:r>
              <w:rPr>
                <w:rFonts w:ascii="Arial" w:cs="Arial" w:eastAsia="Arial" w:hAnsi="Arial"/>
              </w:rPr>
              <m:t xml:space="preserve">P</m:t>
            </m:r>
          </m:sub>
        </m:sSub>
        <m:r>
          <w:rPr>
            <w:rFonts w:ascii="Arial" w:cs="Arial" w:eastAsia="Arial" w:hAnsi="Arial"/>
          </w:rPr>
          <m:t xml:space="preserve">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P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out</m:t>
                </m:r>
              </m:sub>
            </m:sSub>
          </m:num>
          <m:den>
            <m:f>
              <m:fPr>
                <m:ctrlPr>
                  <w:rPr>
                    <w:rFonts w:ascii="Arial" w:cs="Arial" w:eastAsia="Arial" w:hAnsi="Arial"/>
                  </w:rPr>
                </m:ctrlPr>
              </m:fPr>
              <m:num>
                <m:r>
                  <w:rPr>
                    <w:rFonts w:ascii="Arial" w:cs="Arial" w:eastAsia="Arial" w:hAnsi="Arial"/>
                  </w:rPr>
                  <m:t xml:space="preserve">1</m:t>
                </m:r>
              </m:num>
              <m:den>
                <m:r>
                  <w:rPr>
                    <w:rFonts w:ascii="Arial" w:cs="Arial" w:eastAsia="Arial" w:hAnsi="Arial"/>
                  </w:rPr>
                  <m:t xml:space="preserve">2</m:t>
                </m:r>
              </m:den>
            </m:f>
            <m:r>
              <w:rPr>
                <w:rFonts w:ascii="Arial" w:cs="Arial" w:eastAsia="Arial" w:hAnsi="Arial"/>
              </w:rPr>
              <m:t>ρ</m:t>
            </m:r>
            <m:r>
              <w:rPr>
                <w:rFonts w:ascii="Arial" w:cs="Arial" w:eastAsia="Arial" w:hAnsi="Arial"/>
              </w:rPr>
              <m:t xml:space="preserve">A</m:t>
            </m:r>
            <m:sSup>
              <m:sSupPr>
                <m:ctrlPr>
                  <w:rPr>
                    <w:rFonts w:ascii="Arial" w:cs="Arial" w:eastAsia="Arial" w:hAnsi="Arial"/>
                  </w:rPr>
                </m:ctrlPr>
              </m:sSupPr>
              <m:e>
                <m:r>
                  <w:rPr>
                    <w:rFonts w:ascii="Arial" w:cs="Arial" w:eastAsia="Arial" w:hAnsi="Arial"/>
                  </w:rPr>
                  <m:t xml:space="preserve">U</m:t>
                </m:r>
              </m:e>
              <m:sup>
                <m:r>
                  <w:rPr>
                    <w:rFonts w:ascii="Arial" w:cs="Arial" w:eastAsia="Arial" w:hAnsi="Arial"/>
                  </w:rPr>
                  <m:t xml:space="preserve">3</m:t>
                </m:r>
              </m:sup>
            </m:sSup>
          </m:den>
        </m:f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Os pontos de máxima potência definem o acoplamento com o gerador — no caso de referência,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136 W a 220 rpm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(5 m/s)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932 W a 380 rpm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(9 m/s)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Apêndice D — Dimensionamento paramétrico (área varrida fixa)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Base da Etapa 3: com </w:t>
      </w:r>
      <m:oMath>
        <m:r>
          <w:rPr>
            <w:rFonts w:ascii="Arial" w:cs="Arial" w:eastAsia="Arial" w:hAnsi="Arial"/>
          </w:rPr>
          <m:t xml:space="preserve">A=4</m:t>
        </m:r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 xml:space="preserve">m</m:t>
            </m:r>
          </m:e>
          <m:sup>
            <m:r>
              <w:rPr>
                <w:rFonts w:ascii="Arial" w:cs="Arial" w:eastAsia="Arial" w:hAnsi="Arial"/>
              </w:rPr>
              <m:t xml:space="preserve">2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 </w:t>
      </w:r>
      <m:oMath>
        <m:r>
          <w:rPr>
            <w:rFonts w:ascii="Arial" w:cs="Arial" w:eastAsia="Arial" w:hAnsi="Arial"/>
          </w:rPr>
          <m:t xml:space="preserve">Ar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limitado ao intervalo recomendado [2,6–3,0], o raio fica determinado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Raio do rotor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(de A.2):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R=</m:t>
        </m:r>
        <m:rad>
          <m:radPr>
            <m:degHide m:val="1"/>
            <m:ctrlPr>
              <w:rPr>
                <w:rFonts w:ascii="Arial" w:cs="Arial" w:eastAsia="Arial" w:hAnsi="Arial"/>
              </w:rPr>
            </m:ctrlPr>
          </m:radPr>
          <m:e>
            <m:f>
              <m:fPr>
                <m:ctrlPr>
                  <w:rPr>
                    <w:rFonts w:ascii="Arial" w:cs="Arial" w:eastAsia="Arial" w:hAnsi="Arial"/>
                  </w:rPr>
                </m:ctrlPr>
              </m:fPr>
              <m:num>
                <m:r>
                  <w:rPr>
                    <w:rFonts w:ascii="Arial" w:cs="Arial" w:eastAsia="Arial" w:hAnsi="Arial"/>
                  </w:rPr>
                  <m:t xml:space="preserve">A</m:t>
                </m:r>
              </m:num>
              <m:den>
                <m:r>
                  <w:rPr>
                    <w:rFonts w:ascii="Arial" w:cs="Arial" w:eastAsia="Arial" w:hAnsi="Arial"/>
                  </w:rPr>
                  <m:t xml:space="preserve">2Ar</m:t>
                </m:r>
              </m:den>
            </m:f>
          </m:e>
        </m:rad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>→</m:t>
            </m:r>
          </m:e>
          <m:sup>
            <m:sSup>
              <m:sSupPr>
                <m:ctrlPr>
                  <w:rPr>
                    <w:rFonts w:ascii="Arial" w:cs="Arial" w:eastAsia="Arial" w:hAnsi="Arial"/>
                  </w:rPr>
                </m:ctrlPr>
              </m:sSupPr>
              <m:e>
                <m:r>
                  <w:rPr>
                    <w:rFonts w:ascii="Arial" w:cs="Arial" w:eastAsia="Arial" w:hAnsi="Arial"/>
                  </w:rPr>
                  <m:t xml:space="preserve">A=4</m:t>
                </m:r>
              </m:e>
              <m:sup/>
            </m:sSup>
          </m:sup>
        </m:sSup>
        <m:r>
          <w:rPr>
            <w:rFonts w:ascii="Arial" w:cs="Arial" w:eastAsia="Arial" w:hAnsi="Arial"/>
          </w:rPr>
          <m:t xml:space="preserve">R=</m:t>
        </m:r>
        <m:rad>
          <m:radPr>
            <m:degHide m:val="1"/>
            <m:ctrlPr>
              <w:rPr>
                <w:rFonts w:ascii="Arial" w:cs="Arial" w:eastAsia="Arial" w:hAnsi="Arial"/>
              </w:rPr>
            </m:ctrlPr>
          </m:radPr>
          <m:e>
            <m:f>
              <m:fPr>
                <m:ctrlPr>
                  <w:rPr>
                    <w:rFonts w:ascii="Arial" w:cs="Arial" w:eastAsia="Arial" w:hAnsi="Arial"/>
                  </w:rPr>
                </m:ctrlPr>
              </m:fPr>
              <m:num>
                <m:r>
                  <w:rPr>
                    <w:rFonts w:ascii="Arial" w:cs="Arial" w:eastAsia="Arial" w:hAnsi="Arial"/>
                  </w:rPr>
                  <m:t xml:space="preserve">2</m:t>
                </m:r>
              </m:num>
              <m:den>
                <m:r>
                  <w:rPr>
                    <w:rFonts w:ascii="Arial" w:cs="Arial" w:eastAsia="Arial" w:hAnsi="Arial"/>
                  </w:rPr>
                  <m:t xml:space="preserve">Ar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O que gera os limites: </w:t>
      </w: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R</m:t>
            </m:r>
          </m:e>
          <m:sub>
            <m:r>
              <w:rPr>
                <w:rFonts w:ascii="Arial" w:cs="Arial" w:eastAsia="Arial" w:hAnsi="Arial"/>
              </w:rPr>
              <m:t xml:space="preserve">min</m:t>
            </m:r>
          </m:sub>
        </m:sSub>
        <m:r>
          <w:rPr>
            <w:rFonts w:ascii="Arial" w:cs="Arial" w:eastAsia="Arial" w:hAnsi="Arial"/>
          </w:rPr>
          <m:t xml:space="preserve">=</m:t>
        </m:r>
        <m:rad>
          <m:radPr>
            <m:degHide m:val="1"/>
            <m:ctrlPr>
              <w:rPr>
                <w:rFonts w:ascii="Arial" w:cs="Arial" w:eastAsia="Arial" w:hAnsi="Arial"/>
              </w:rPr>
            </m:ctrlPr>
          </m:radPr>
          <m:e>
            <m:r>
              <w:rPr>
                <w:rFonts w:ascii="Arial" w:cs="Arial" w:eastAsia="Arial" w:hAnsi="Arial"/>
              </w:rPr>
              <m:t xml:space="preserve">2/3</m:t>
            </m:r>
          </m:e>
        </m:rad>
        <m:r>
          <w:rPr>
            <w:rFonts w:ascii="Arial" w:cs="Arial" w:eastAsia="Arial" w:hAnsi="Arial"/>
          </w:rPr>
          <m:t xml:space="preserve">≈0,816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m (Ar = 3) e </w:t>
      </w: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R</m:t>
            </m:r>
          </m:e>
          <m:sub>
            <m:r>
              <w:rPr>
                <w:rFonts w:ascii="Arial" w:cs="Arial" w:eastAsia="Arial" w:hAnsi="Arial"/>
              </w:rPr>
              <m:t xml:space="preserve">max</m:t>
            </m:r>
          </m:sub>
        </m:sSub>
        <m:r>
          <w:rPr>
            <w:rFonts w:ascii="Arial" w:cs="Arial" w:eastAsia="Arial" w:hAnsi="Arial"/>
          </w:rPr>
          <m:t xml:space="preserve">=</m:t>
        </m:r>
        <m:rad>
          <m:radPr>
            <m:degHide m:val="1"/>
            <m:ctrlPr>
              <w:rPr>
                <w:rFonts w:ascii="Arial" w:cs="Arial" w:eastAsia="Arial" w:hAnsi="Arial"/>
              </w:rPr>
            </m:ctrlPr>
          </m:radPr>
          <m:e>
            <m:r>
              <w:rPr>
                <w:rFonts w:ascii="Arial" w:cs="Arial" w:eastAsia="Arial" w:hAnsi="Arial"/>
              </w:rPr>
              <m:t xml:space="preserve">2/2,6</m:t>
            </m:r>
          </m:e>
        </m:rad>
        <m:r>
          <w:rPr>
            <w:rFonts w:ascii="Arial" w:cs="Arial" w:eastAsia="Arial" w:hAnsi="Arial"/>
          </w:rPr>
          <m:t xml:space="preserve">≈0,877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m (Ar = 2,6)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Corda em função de </w:t>
      </w:r>
      <m:oMath>
        <m:r>
          <m:t>σ</m:t>
        </m:r>
      </m:oMath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(de A.3):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C=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R</m:t>
            </m:r>
            <m:r>
              <w:rPr>
                <w:rFonts w:ascii="Arial" w:cs="Arial" w:eastAsia="Arial" w:hAnsi="Arial"/>
              </w:rPr>
              <m:t>σ</m:t>
            </m:r>
          </m:num>
          <m:den>
            <m:r>
              <w:rPr>
                <w:rFonts w:ascii="Arial" w:cs="Arial" w:eastAsia="Arial" w:hAnsi="Arial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Corda em função de Ar, σ e N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(substituindo D.1 em D.2):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Arial" w:cs="Arial" w:eastAsia="Arial" w:hAnsi="Arial"/>
        </w:rPr>
      </w:pPr>
      <m:oMath>
        <m:r>
          <w:rPr>
            <w:rFonts w:ascii="Arial" w:cs="Arial" w:eastAsia="Arial" w:hAnsi="Arial"/>
          </w:rPr>
          <m:t xml:space="preserve">C=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σ</m:t>
            </m:r>
          </m:num>
          <m:den>
            <m:r>
              <w:rPr>
                <w:rFonts w:ascii="Arial" w:cs="Arial" w:eastAsia="Arial" w:hAnsi="Arial"/>
              </w:rPr>
              <m:t xml:space="preserve">N</m:t>
            </m:r>
          </m:den>
        </m:f>
        <m:rad>
          <m:radPr>
            <m:degHide m:val="1"/>
            <m:ctrlPr>
              <w:rPr>
                <w:rFonts w:ascii="Arial" w:cs="Arial" w:eastAsia="Arial" w:hAnsi="Arial"/>
              </w:rPr>
            </m:ctrlPr>
          </m:radPr>
          <m:e>
            <m:f>
              <m:fPr>
                <m:ctrlPr>
                  <w:rPr>
                    <w:rFonts w:ascii="Arial" w:cs="Arial" w:eastAsia="Arial" w:hAnsi="Arial"/>
                  </w:rPr>
                </m:ctrlPr>
              </m:fPr>
              <m:num>
                <m:r>
                  <w:rPr>
                    <w:rFonts w:ascii="Arial" w:cs="Arial" w:eastAsia="Arial" w:hAnsi="Arial"/>
                  </w:rPr>
                  <m:t xml:space="preserve">2</m:t>
                </m:r>
              </m:num>
              <m:den>
                <m:r>
                  <w:rPr>
                    <w:rFonts w:ascii="Arial" w:cs="Arial" w:eastAsia="Arial" w:hAnsi="Arial"/>
                  </w:rPr>
                  <m:t xml:space="preserve">Ar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Tabela de cordas resultante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tblW w:w="6000.0" w:type="dxa"/>
        <w:jc w:val="left"/>
        <w:tblInd w:w="13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145"/>
        <w:gridCol w:w="1755"/>
        <w:tblGridChange w:id="0">
          <w:tblGrid>
            <w:gridCol w:w="2100"/>
            <w:gridCol w:w="2145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e4e4e7" w:val="clea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N de pás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7" w:val="clea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C_min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7" w:val="clea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C_max (m)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Na variante helicoidal, a parametrização usa múltiplos da corda: raio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1,44C a 1,68C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 comprimento de pá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4,00C a 4,48C</w:t>
      </w:r>
      <w:sdt>
        <w:sdtPr>
          <w:id w:val="174758834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000000"/>
              <w:rtl w:val="0"/>
            </w:rPr>
            <w:t xml:space="preserve">, com C = 0,125 m, ângulo de hélice constante de 25° e passo de −2°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Apêndice E — Equações de governo das simulações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Equações resolvidas nas simulações transientes (LES/URANS) do caso helicoidal, em Ansys Fluent/SolidWorks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Conservação de massa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Arial" w:cs="Arial" w:eastAsia="Arial" w:hAnsi="Arial"/>
        </w:rPr>
      </w:pPr>
      <m:oMath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∂ρ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u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i</m:t>
                </m:r>
              </m:sub>
            </m:sSub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i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Momentum filtrado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rial" w:cs="Arial" w:eastAsia="Arial" w:hAnsi="Arial"/>
        </w:rPr>
      </w:pPr>
      <m:oMath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sSup>
                  <m:sSupPr>
                    <m:ctrlPr>
                      <w:rPr>
                        <w:rFonts w:ascii="Arial" w:cs="Arial" w:eastAsia="Arial" w:hAnsi="Arial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</w:rPr>
                      <m:t xml:space="preserve">u</m:t>
                    </m:r>
                  </m:e>
                  <m:sup>
                    <m:r>
                      <w:rPr>
                        <w:rFonts w:ascii="Arial" w:cs="Arial" w:eastAsia="Arial" w:hAnsi="Arial"/>
                      </w:rPr>
                      <m:t xml:space="preserve">‾</m:t>
                    </m:r>
                  </m:sup>
                </m:sSup>
              </m:e>
              <m:sub>
                <m:r>
                  <w:rPr>
                    <w:rFonts w:ascii="Arial" w:cs="Arial" w:eastAsia="Arial" w:hAnsi="Arial"/>
                  </w:rPr>
                  <m:t xml:space="preserve">i</m:t>
                </m:r>
              </m:sub>
            </m:sSub>
          </m:num>
          <m:den>
            <m:r>
              <w:rPr>
                <w:rFonts w:ascii="Arial" w:cs="Arial" w:eastAsia="Arial" w:hAnsi="Arial"/>
              </w:rPr>
              <m:t xml:space="preserve">∂t</m:t>
            </m:r>
          </m:den>
        </m:f>
        <m:r>
          <w:rPr>
            <w:rFonts w:ascii="Arial" w:cs="Arial" w:eastAsia="Arial" w:hAnsi="Arial"/>
          </w:rPr>
          <m:t xml:space="preserve">+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u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i</m:t>
                </m:r>
              </m:sub>
            </m:sSub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u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=−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1</m:t>
            </m:r>
          </m:num>
          <m:den>
            <m:r>
              <w:rPr>
                <w:rFonts w:ascii="Arial" w:cs="Arial" w:eastAsia="Arial" w:hAnsi="Arial"/>
              </w:rPr>
              <m:t>ρ</m:t>
            </m:r>
          </m:den>
        </m:f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∂</m:t>
            </m:r>
            <m:sSup>
              <m:sSupPr>
                <m:ctrlPr>
                  <w:rPr>
                    <w:rFonts w:ascii="Arial" w:cs="Arial" w:eastAsia="Arial" w:hAnsi="Arial"/>
                  </w:rPr>
                </m:ctrlPr>
              </m:sSupPr>
              <m:e>
                <m:r>
                  <w:rPr>
                    <w:rFonts w:ascii="Arial" w:cs="Arial" w:eastAsia="Arial" w:hAnsi="Arial"/>
                  </w:rPr>
                  <m:t xml:space="preserve">p</m:t>
                </m:r>
              </m:e>
              <m:sup>
                <m:r>
                  <w:rPr>
                    <w:rFonts w:ascii="Arial" w:cs="Arial" w:eastAsia="Arial" w:hAnsi="Arial"/>
                  </w:rPr>
                  <m:t xml:space="preserve">‾</m:t>
                </m:r>
              </m:sup>
            </m:sSup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i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+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∂</m:t>
            </m:r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[ν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sSup>
                  <m:sSupPr>
                    <m:ctrlPr>
                      <w:rPr>
                        <w:rFonts w:ascii="Arial" w:cs="Arial" w:eastAsia="Arial" w:hAnsi="Arial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</w:rPr>
                      <m:t xml:space="preserve">u</m:t>
                    </m:r>
                  </m:e>
                  <m:sup>
                    <m:r>
                      <w:rPr>
                        <w:rFonts w:ascii="Arial" w:cs="Arial" w:eastAsia="Arial" w:hAnsi="Arial"/>
                      </w:rPr>
                      <m:t xml:space="preserve">‾</m:t>
                    </m:r>
                  </m:sup>
                </m:sSup>
              </m:e>
              <m:sub>
                <m:r>
                  <w:rPr>
                    <w:rFonts w:ascii="Arial" w:cs="Arial" w:eastAsia="Arial" w:hAnsi="Arial"/>
                  </w:rPr>
                  <m:t xml:space="preserve">i</m:t>
                </m:r>
              </m:sub>
            </m:sSub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−</m:t>
        </m:r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>τ</m:t>
            </m:r>
          </m:e>
          <m:sub>
            <m:r>
              <w:rPr>
                <w:rFonts w:ascii="Arial" w:cs="Arial" w:eastAsia="Arial" w:hAnsi="Arial"/>
              </w:rPr>
              <m:t xml:space="preserve">ij</m:t>
            </m:r>
          </m:sub>
        </m:sSub>
        <m:r>
          <w:rPr>
            <w:rFonts w:ascii="Arial" w:cs="Arial" w:eastAsia="Arial" w:hAnsi="Arial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Momentum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Arial" w:cs="Arial" w:eastAsia="Arial" w:hAnsi="Arial"/>
        </w:rPr>
      </w:pPr>
      <m:oMath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m:t>∂</m:t>
            </m:r>
          </m:num>
          <m:den>
            <m:r>
              <w:rPr>
                <w:rFonts w:ascii="Arial" w:cs="Arial" w:eastAsia="Arial" w:hAnsi="Arial"/>
              </w:rPr>
              <m:t xml:space="preserve">∂t</m:t>
            </m:r>
          </m:den>
        </m:f>
        <m:r>
          <w:rPr>
            <w:rFonts w:ascii="Arial" w:cs="Arial" w:eastAsia="Arial" w:hAnsi="Arial"/>
          </w:rPr>
          <m:t xml:space="preserve">(ρ𝐯)+∇</m:t>
        </m:r>
        <m:r>
          <w:rPr>
            <w:rFonts w:ascii="Arial" w:cs="Arial" w:eastAsia="Arial" w:hAnsi="Arial"/>
          </w:rPr>
          <m:t>⋅</m:t>
        </m:r>
        <m:r>
          <w:rPr>
            <w:rFonts w:ascii="Arial" w:cs="Arial" w:eastAsia="Arial" w:hAnsi="Arial"/>
          </w:rPr>
          <m:t xml:space="preserve">(ρ𝐯𝐯)=−∇P+ρ𝐠+∇</m:t>
        </m:r>
        <m:r>
          <w:rPr>
            <w:rFonts w:ascii="Arial" w:cs="Arial" w:eastAsia="Arial" w:hAnsi="Arial"/>
          </w:rPr>
          <m:t>⋅</m:t>
        </m:r>
        <m:r>
          <w:rPr>
            <w:rFonts w:ascii="Arial" w:cs="Arial" w:eastAsia="Arial" w:hAnsi="Arial"/>
          </w:rPr>
          <m:t xml:space="preserve">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Energia cinética turbulenta (modelo k–ω SST)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Arial" w:cs="Arial" w:eastAsia="Arial" w:hAnsi="Arial"/>
        </w:rPr>
      </w:pPr>
      <m:oMath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m:t>∂</m:t>
            </m:r>
            <m:r>
              <w:rPr>
                <w:rFonts w:ascii="Arial" w:cs="Arial" w:eastAsia="Arial" w:hAnsi="Arial"/>
              </w:rPr>
              <m:t xml:space="preserve">(ρk)</m:t>
            </m:r>
          </m:num>
          <m:den>
            <m:r>
              <w:rPr>
                <w:rFonts w:ascii="Arial" w:cs="Arial" w:eastAsia="Arial" w:hAnsi="Arial"/>
              </w:rPr>
              <m:t xml:space="preserve">∂t</m:t>
            </m:r>
          </m:den>
        </m:f>
        <m:r>
          <w:rPr>
            <w:rFonts w:ascii="Arial" w:cs="Arial" w:eastAsia="Arial" w:hAnsi="Arial"/>
          </w:rPr>
          <m:t xml:space="preserve">+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∂</m:t>
            </m:r>
            <m:r>
              <w:rPr>
                <w:rFonts w:ascii="Arial" w:cs="Arial" w:eastAsia="Arial" w:hAnsi="Arial"/>
              </w:rPr>
              <m:t xml:space="preserve">(ρ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u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  <m:r>
              <w:rPr>
                <w:rFonts w:ascii="Arial" w:cs="Arial" w:eastAsia="Arial" w:hAnsi="Arial"/>
              </w:rPr>
              <m:t xml:space="preserve">k)</m:t>
            </m:r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=</m:t>
        </m:r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>τ</m:t>
            </m:r>
          </m:e>
          <m:sub>
            <m:r>
              <w:rPr>
                <w:rFonts w:ascii="Arial" w:cs="Arial" w:eastAsia="Arial" w:hAnsi="Arial"/>
              </w:rPr>
              <m:t xml:space="preserve">ij</m:t>
            </m:r>
          </m:sub>
        </m:sSub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u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i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−</m:t>
        </m:r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>β</m:t>
            </m:r>
          </m:e>
          <m:sup>
            <m:r>
              <w:rPr>
                <w:rFonts w:ascii="Arial" w:cs="Arial" w:eastAsia="Arial" w:hAnsi="Arial"/>
              </w:rPr>
              <m:t>∗</m:t>
            </m:r>
          </m:sup>
        </m:sSup>
        <m:r>
          <w:rPr>
            <w:rFonts w:ascii="Arial" w:cs="Arial" w:eastAsia="Arial" w:hAnsi="Arial"/>
          </w:rPr>
          <m:t xml:space="preserve">ρωk+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∂</m:t>
            </m:r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[ρ(ν+</m:t>
        </m:r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>σ</m:t>
            </m:r>
          </m:e>
          <m:sub>
            <m:r>
              <w:rPr>
                <w:rFonts w:ascii="Arial" w:cs="Arial" w:eastAsia="Arial" w:hAnsi="Arial"/>
              </w:rPr>
              <m:t xml:space="preserve">k</m:t>
            </m:r>
          </m:sub>
        </m:sSub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>ν</m:t>
            </m:r>
          </m:e>
          <m:sub>
            <m:r>
              <w:rPr>
                <w:rFonts w:ascii="Arial" w:cs="Arial" w:eastAsia="Arial" w:hAnsi="Arial"/>
              </w:rPr>
              <m:t xml:space="preserve">T</m:t>
            </m:r>
          </m:sub>
        </m:sSub>
        <m:r>
          <w:rPr>
            <w:rFonts w:ascii="Arial" w:cs="Arial" w:eastAsia="Arial" w:hAnsi="Arial"/>
          </w:rPr>
          <m:t xml:space="preserve">)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∂k</m:t>
            </m:r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Taxa de dissipação específica (modelo k–ω SST)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rial" w:cs="Arial" w:eastAsia="Arial" w:hAnsi="Arial"/>
        </w:rPr>
      </w:pPr>
      <m:oMath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m:t>∂</m:t>
            </m:r>
            <m:r>
              <w:rPr>
                <w:rFonts w:ascii="Arial" w:cs="Arial" w:eastAsia="Arial" w:hAnsi="Arial"/>
              </w:rPr>
              <m:t xml:space="preserve">(ρω)</m:t>
            </m:r>
          </m:num>
          <m:den>
            <m:r>
              <w:rPr>
                <w:rFonts w:ascii="Arial" w:cs="Arial" w:eastAsia="Arial" w:hAnsi="Arial"/>
              </w:rPr>
              <m:t xml:space="preserve">∂t</m:t>
            </m:r>
          </m:den>
        </m:f>
        <m:r>
          <w:rPr>
            <w:rFonts w:ascii="Arial" w:cs="Arial" w:eastAsia="Arial" w:hAnsi="Arial"/>
          </w:rPr>
          <m:t xml:space="preserve">+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∂</m:t>
            </m:r>
            <m:r>
              <w:rPr>
                <w:rFonts w:ascii="Arial" w:cs="Arial" w:eastAsia="Arial" w:hAnsi="Arial"/>
              </w:rPr>
              <m:t xml:space="preserve">(ρ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u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  <m:r>
              <w:rPr>
                <w:rFonts w:ascii="Arial" w:cs="Arial" w:eastAsia="Arial" w:hAnsi="Arial"/>
              </w:rPr>
              <m:t xml:space="preserve">ω)</m:t>
            </m:r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γ</m:t>
            </m:r>
          </m:num>
          <m:den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>ν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T</m:t>
                </m:r>
              </m:sub>
            </m:sSub>
          </m:den>
        </m:f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>τ</m:t>
            </m:r>
          </m:e>
          <m:sub>
            <m:r>
              <w:rPr>
                <w:rFonts w:ascii="Arial" w:cs="Arial" w:eastAsia="Arial" w:hAnsi="Arial"/>
              </w:rPr>
              <m:t xml:space="preserve">ij</m:t>
            </m:r>
          </m:sub>
        </m:sSub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u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i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−βρ</m:t>
        </m:r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>ω</m:t>
            </m:r>
          </m:e>
          <m:sup>
            <m:r>
              <w:rPr>
                <w:rFonts w:ascii="Arial" w:cs="Arial" w:eastAsia="Arial" w:hAnsi="Arial"/>
              </w:rPr>
              <m:t xml:space="preserve">2</m:t>
            </m:r>
          </m:sup>
        </m:sSup>
        <m:r>
          <w:rPr>
            <w:rFonts w:ascii="Arial" w:cs="Arial" w:eastAsia="Arial" w:hAnsi="Arial"/>
          </w:rPr>
          <m:t xml:space="preserve">+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>∂</m:t>
            </m:r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[ρ(ν+</m:t>
        </m:r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>σ</m:t>
            </m:r>
          </m:e>
          <m:sub>
            <m:r>
              <w:rPr>
                <w:rFonts w:ascii="Arial" w:cs="Arial" w:eastAsia="Arial" w:hAnsi="Arial"/>
              </w:rPr>
              <m:t>ω</m:t>
            </m:r>
          </m:sub>
        </m:sSub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>ν</m:t>
            </m:r>
          </m:e>
          <m:sub>
            <m:r>
              <w:rPr>
                <w:rFonts w:ascii="Arial" w:cs="Arial" w:eastAsia="Arial" w:hAnsi="Arial"/>
              </w:rPr>
              <m:t xml:space="preserve">T</m:t>
            </m:r>
          </m:sub>
        </m:sSub>
        <m:r>
          <w:rPr>
            <w:rFonts w:ascii="Arial" w:cs="Arial" w:eastAsia="Arial" w:hAnsi="Arial"/>
          </w:rPr>
          <m:t xml:space="preserve">)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∂ω</m:t>
            </m:r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den>
        </m:f>
        <m:r>
          <w:rPr>
            <w:rFonts w:ascii="Arial" w:cs="Arial" w:eastAsia="Arial" w:hAnsi="Arial"/>
          </w:rPr>
          <m:t xml:space="preserve">]+2(1−</m:t>
        </m:r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F</m:t>
            </m:r>
          </m:e>
          <m:sub>
            <m:r>
              <w:rPr>
                <w:rFonts w:ascii="Arial" w:cs="Arial" w:eastAsia="Arial" w:hAnsi="Arial"/>
              </w:rPr>
              <m:t xml:space="preserve">1</m:t>
            </m:r>
          </m:sub>
        </m:sSub>
        <m:r>
          <w:rPr>
            <w:rFonts w:ascii="Arial" w:cs="Arial" w:eastAsia="Arial" w:hAnsi="Arial"/>
          </w:rPr>
          <m:t xml:space="preserve">)</m:t>
        </m:r>
        <m:r>
          <w:rPr>
            <w:rFonts w:ascii="Arial" w:cs="Arial" w:eastAsia="Arial" w:hAnsi="Arial"/>
          </w:rPr>
          <m:t>ρ</m:t>
        </m:r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>σ</m:t>
            </m:r>
          </m:e>
          <m:sub>
            <m:r>
              <w:rPr>
                <w:rFonts w:ascii="Arial" w:cs="Arial" w:eastAsia="Arial" w:hAnsi="Arial"/>
              </w:rPr>
              <m:t xml:space="preserve">ω2</m:t>
            </m:r>
          </m:sub>
        </m:sSub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1</m:t>
            </m:r>
          </m:num>
          <m:den>
            <m:r>
              <w:rPr>
                <w:rFonts w:ascii="Arial" w:cs="Arial" w:eastAsia="Arial" w:hAnsi="Arial"/>
              </w:rPr>
              <m:t>ω</m:t>
            </m:r>
          </m:den>
        </m:f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∂k</m:t>
            </m:r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</w:rPr>
              <m:t xml:space="preserve">∂ω</m:t>
            </m:r>
          </m:num>
          <m:den>
            <m:r>
              <w:rPr>
                <w:rFonts w:ascii="Arial" w:cs="Arial" w:eastAsia="Arial" w:hAnsi="Arial"/>
              </w:rPr>
              <m:t>∂</m:t>
            </m:r>
            <m:sSub>
              <m:sSubPr>
                <m:ctrlPr>
                  <w:rPr>
                    <w:rFonts w:ascii="Arial" w:cs="Arial" w:eastAsia="Arial" w:hAnsi="Arial"/>
                  </w:rPr>
                </m:ctrlPr>
              </m:sSubPr>
              <m:e>
                <m:r>
                  <w:rPr>
                    <w:rFonts w:ascii="Arial" w:cs="Arial" w:eastAsia="Arial" w:hAnsi="Arial"/>
                  </w:rPr>
                  <m:t xml:space="preserve">x</m:t>
                </m:r>
              </m:e>
              <m:sub>
                <m:r>
                  <w:rPr>
                    <w:rFonts w:ascii="Arial" w:cs="Arial" w:eastAsia="Arial" w:hAnsi="Arial"/>
                  </w:rPr>
                  <m:t xml:space="preserve">j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Parâmetros de simulação adotados: residual de convergência $10^{-5}$, passo de tempo de 0,005 s, máximo de 50 iterações por passo e erro relativo &lt; 2% entre ciclos de rotação consecutivos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No fluxo DMS/QBlade, ativam-se as opções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Tip Loss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Variable induction factors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Apêndice F — Dados estruturais e de validação (referência)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Não há equações estruturais novas nas fontes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os estudos reportam resultados, mas os valores abaixo ancoram a Etapa 6 e a Etapa 7 e entram no relato da análise estática/modal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3810"/>
        <w:tblGridChange w:id="0">
          <w:tblGrid>
            <w:gridCol w:w="504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e4e4e7" w:val="clea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7" w:val="clea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Alumínio 6061-T6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Módulo de elasticidade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6,9 × 10¹⁰ N/m²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Coeficiente de Poisson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Densidade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2700 kg/m³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Tensão de escoamento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275 × 10⁶ N/m²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Tensão de ruptura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310 × 10⁶ N/m²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Módulo de cisalhamento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2,6 × 10¹⁰ N/m²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Tensão de von Mises máxima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7,8 MPa (bem abaixo do escoamento)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Deformação máxima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0,0113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Fator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3,45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Modos de vibração (modal)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79,38–242,40 Hz (9 modos)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 validação numérica foi feita por comparação com dados experimentais de referência (pás retas, perfil distinto) no caso helicoidal </w:t>
      </w:r>
      <w:r w:rsidDel="00000000" w:rsidR="00000000" w:rsidRPr="00000000">
        <w:rPr>
          <w:rFonts w:ascii="Arial" w:cs="Arial" w:eastAsia="Arial" w:hAnsi="Arial"/>
          <w:rtl w:val="0"/>
        </w:rPr>
        <w:t xml:space="preserve">(Hassan et al., 2024)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e com o trabalho experimental clássico de Darrieus no caso paramétrico </w:t>
      </w:r>
      <w:r w:rsidDel="00000000" w:rsidR="00000000" w:rsidRPr="00000000">
        <w:rPr>
          <w:rFonts w:ascii="Arial" w:cs="Arial" w:eastAsia="Arial" w:hAnsi="Arial"/>
          <w:rtl w:val="0"/>
        </w:rPr>
        <w:t xml:space="preserve">(Díaz-Canul et al., 2025)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Refer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ências</w:t>
      </w:r>
      <w:r w:rsidDel="00000000" w:rsidR="00000000" w:rsidRPr="00000000">
        <w:rPr>
          <w:rtl w:val="0"/>
        </w:rPr>
      </w:r>
    </w:p>
    <w:bookmarkStart w:colFirst="0" w:colLast="0" w:name="bookmark=id.xtu9y74tl620" w:id="0"/>
    <w:bookmarkEnd w:id="0"/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720" w:right="0" w:hanging="72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Díaz-Canul, F., Aguilar, J. O., Hau, N. R., Simá, E., &amp; Jaramillo, Ó. A. (2025). Design of Low-Power Vertical-Axis Wind Turbine Based on Parametric Method.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(4), 35. https://doi.org/10.3390/wind5040035</w:t>
      </w:r>
    </w:p>
    <w:bookmarkStart w:colFirst="0" w:colLast="0" w:name="bookmark=id.fk2fkrdf5zna" w:id="1"/>
    <w:bookmarkEnd w:id="1"/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144" w:line="240" w:lineRule="auto"/>
        <w:ind w:left="720" w:right="0" w:hanging="72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Hassan, W. U., Jalal, A., Bilal, M. A., Buzal, M. Z., Asghar, H., &amp; Ali, U. (2024). Parametric analysis of a helical-bladed vertical axis wind turbine.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Journal of Ocean Engineering and Marine Energy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(2), 383–398. https://doi.org/10.1007/s40722-024-00318-0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2"/>
      <w:lvlJc w:val="left"/>
      <w:pPr>
        <w:ind w:left="1440" w:hanging="360"/>
      </w:pPr>
      <w:rPr/>
    </w:lvl>
    <w:lvl w:ilvl="2">
      <w:start w:val="1"/>
      <w:numFmt w:val="decimal"/>
      <w:lvlText w:val="%3"/>
      <w:lvlJc w:val="left"/>
      <w:pPr>
        <w:ind w:left="2160" w:hanging="360"/>
      </w:pPr>
      <w:rPr/>
    </w:lvl>
    <w:lvl w:ilvl="3">
      <w:start w:val="1"/>
      <w:numFmt w:val="decimal"/>
      <w:lvlText w:val="%4"/>
      <w:lvlJc w:val="left"/>
      <w:pPr>
        <w:ind w:left="2880" w:hanging="360"/>
      </w:pPr>
      <w:rPr/>
    </w:lvl>
    <w:lvl w:ilvl="4">
      <w:start w:val="1"/>
      <w:numFmt w:val="decimal"/>
      <w:lvlText w:val="%5"/>
      <w:lvlJc w:val="left"/>
      <w:pPr>
        <w:ind w:left="3600" w:hanging="360"/>
      </w:pPr>
      <w:rPr/>
    </w:lvl>
    <w:lvl w:ilvl="5">
      <w:start w:val="1"/>
      <w:numFmt w:val="decimal"/>
      <w:lvlText w:val="%6"/>
      <w:lvlJc w:val="left"/>
      <w:pPr>
        <w:ind w:left="4320" w:hanging="360"/>
      </w:pPr>
      <w:rPr/>
    </w:lvl>
    <w:lvl w:ilvl="6">
      <w:start w:val="1"/>
      <w:numFmt w:val="decimal"/>
      <w:lvlText w:val="%7"/>
      <w:lvlJc w:val="left"/>
      <w:pPr>
        <w:ind w:left="5040" w:hanging="360"/>
      </w:pPr>
      <w:rPr/>
    </w:lvl>
    <w:lvl w:ilvl="7">
      <w:start w:val="1"/>
      <w:numFmt w:val="decimal"/>
      <w:lvlText w:val="%8"/>
      <w:lvlJc w:val="left"/>
      <w:pPr>
        <w:ind w:left="5760" w:hanging="360"/>
      </w:pPr>
      <w:rPr/>
    </w:lvl>
    <w:lvl w:ilvl="8">
      <w:start w:val="1"/>
      <w:numFmt w:val="decimal"/>
      <w:lvlText w:val="%9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>
        <w:spacing w:after="72" w:before="14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" w:before="144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JenniRefHeader">
    <w:name w:val="JenniRefHeader"/>
    <w:basedOn w:val="Heading2"/>
    <w:next w:val="Normal"/>
    <w:qFormat w:val="1"/>
    <w:rPr>
      <w:color w:val="000000"/>
    </w:rPr>
  </w:style>
  <w:style w:type="paragraph" w:styleId="JenniRefBody">
    <w:name w:val="JenniRefBody"/>
    <w:basedOn w:val="Normal"/>
    <w:next w:val="Normal"/>
    <w:qFormat w:val="1"/>
    <w:rPr>
      <w:color w:val="000000"/>
    </w:rPr>
  </w:style>
  <w:style w:type="paragraph" w:styleId="JenniTableCaption">
    <w:name w:val="JenniTableCaption"/>
    <w:basedOn w:val="Normal"/>
    <w:next w:val="Normal"/>
    <w:qFormat w:val="1"/>
    <w:pPr>
      <w:spacing w:after="120"/>
    </w:pPr>
    <w:rPr>
      <w:i w:val="1"/>
      <w:iCs w:val="1"/>
      <w:sz w:val="20"/>
      <w:szCs w:val="20"/>
    </w:rPr>
  </w:style>
  <w:style w:type="paragraph" w:styleId="JenniFigureCaption">
    <w:name w:val="JenniFigureCaption"/>
    <w:basedOn w:val="Normal"/>
    <w:next w:val="Normal"/>
    <w:qFormat w:val="1"/>
    <w:pPr>
      <w:spacing w:after="120"/>
    </w:pPr>
    <w:rPr>
      <w:i w:val="1"/>
      <w:iCs w:val="1"/>
      <w:sz w:val="20"/>
      <w:szCs w:val="20"/>
    </w:rPr>
  </w:style>
  <w:style w:type="paragraph" w:styleId="JenniCodeBlock">
    <w:name w:val="JenniCodeBlock"/>
    <w:basedOn w:val="Normal"/>
    <w:next w:val="Normal"/>
    <w:qFormat w:val="1"/>
    <w:rPr>
      <w:rFonts w:ascii="Consolas" w:cs="Consolas" w:eastAsia="Consolas" w:hAnsi="Consolas"/>
    </w:rPr>
  </w:style>
  <w:style w:type="paragraph" w:styleId="JenniCodeLanguage">
    <w:name w:val="JenniCodeLanguage"/>
    <w:basedOn w:val="Normal"/>
    <w:next w:val="JenniCodeBlock"/>
    <w:qFormat w:val="1"/>
    <w:pPr>
      <w:spacing w:after="60"/>
    </w:pPr>
    <w:rPr>
      <w:i w:val="1"/>
      <w:iCs w:val="1"/>
      <w:color w:val="71717a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mp2jTnhL3sRe/KjWO16Br2YIy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9pZC54dHU5eTc0dGw2MjAyD2lkLmZrMmZrcmRmNXpuYTgAciExdGdHbUhVV1FpZlcxVlhBWFRydVJIZElybzNUOThla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2026-08-26T19:17:07.143Z</dcterms:created>
  <dc:creator>Andrei Leandro Morsch Franco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