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76EDF" w:rsidRDefault="0025095D">
      <w:pPr>
        <w:pStyle w:val="Ttulo"/>
        <w:spacing w:line="276" w:lineRule="auto"/>
      </w:pPr>
      <w:r>
        <w:rPr>
          <w:b/>
          <w:bCs/>
          <w:sz w:val="44"/>
          <w:szCs w:val="44"/>
        </w:rPr>
        <w:t>Plano de Aula 05/10/2026 — Energia Eólica I (EES7470)</w:t>
      </w:r>
    </w:p>
    <w:p w14:paraId="00000002" w14:textId="77777777" w:rsidR="00D76EDF" w:rsidRDefault="0025095D">
      <w:pPr>
        <w:pStyle w:val="Ttulo2"/>
        <w:spacing w:line="276" w:lineRule="auto"/>
      </w:pPr>
      <w:r>
        <w:t>Estudo de caso com metodologia PBL+SHES: proposição de uma turbina eólica de eixo vertical (Darrieus) para instalação residencial entre o Cabo de Santa Marta (Laguna) SC</w:t>
      </w:r>
    </w:p>
    <w:p w14:paraId="00000003" w14:textId="77777777" w:rsidR="00D76EDF" w:rsidRDefault="0025095D">
      <w:pPr>
        <w:pStyle w:val="Ttulo3"/>
        <w:spacing w:line="276" w:lineRule="auto"/>
      </w:pPr>
      <w:r>
        <w:t>1. Identificação</w:t>
      </w:r>
    </w:p>
    <w:p w14:paraId="00000004" w14:textId="77777777" w:rsidR="00D76EDF" w:rsidRDefault="0025095D">
      <w:pPr>
        <w:spacing w:before="120" w:after="160" w:line="276" w:lineRule="auto"/>
        <w:rPr>
          <w:b/>
          <w:bCs/>
        </w:rPr>
      </w:pPr>
      <w:r>
        <w:rPr>
          <w:b/>
          <w:bCs/>
        </w:rPr>
        <w:t xml:space="preserve">Disciplina: Energia Eólica I — Bacharelado em Engenharia de Energia, UFSC Araranguá. </w:t>
      </w:r>
    </w:p>
    <w:p w14:paraId="00000005" w14:textId="77777777" w:rsidR="00D76EDF" w:rsidRDefault="0025095D">
      <w:pPr>
        <w:spacing w:before="120" w:after="160" w:line="276" w:lineRule="auto"/>
        <w:jc w:val="both"/>
      </w:pPr>
      <w:r>
        <w:rPr>
          <w:b/>
          <w:bCs/>
        </w:rPr>
        <w:t>Tema gerador da aula:</w:t>
      </w:r>
      <w:r>
        <w:t xml:space="preserve"> consolidação dos conteúdos de vento como recurso energético, potencial eólico e energia eólica onshore, por meio da proposição técnica de uma turbina Darrieus de eixo vertical (VAWT) para atendimento de uma residência no Cabo de Santa Marta, Santa Catarina, estruturada como etapa de Problematização de um itinerário de Aprendizagem Baseada em Problemas (PBL) integrado à abordagem </w:t>
      </w:r>
      <w:r>
        <w:rPr>
          <w:i/>
          <w:iCs/>
        </w:rPr>
        <w:t>Sustainable Human and Environmental Systems</w:t>
      </w:r>
      <w:r>
        <w:t xml:space="preserve"> (SHES). Carga horária sugerida: 1 aula (2 horas-aula), alinhadas à semana 8 do cronograma da disciplina (Energia Eólica).</w:t>
      </w:r>
    </w:p>
    <w:p w14:paraId="00000006" w14:textId="77777777" w:rsidR="00D76EDF" w:rsidRDefault="0025095D">
      <w:pPr>
        <w:pStyle w:val="Ttulo3"/>
        <w:spacing w:line="276" w:lineRule="auto"/>
      </w:pPr>
      <w:r>
        <w:t>2. Justificativa</w:t>
      </w:r>
    </w:p>
    <w:p w14:paraId="00000007" w14:textId="77777777" w:rsidR="00D76EDF" w:rsidRDefault="0025095D">
      <w:pPr>
        <w:spacing w:before="120" w:after="160" w:line="276" w:lineRule="auto"/>
        <w:jc w:val="both"/>
      </w:pPr>
      <w:r>
        <w:tab/>
      </w:r>
      <w:r>
        <w:t>O aproveitamento do vento como recurso energético depende da correta caracterização atmosférica do local (perfil de vento na camada limite, rugosidade da superfície, distribuição de frequências de velocidade) e da escolha de uma tecnologia compatível com o regime de vento e com o uso pretendido. O Cabo de Santa Marta é reconhecido como um dos pontos de maior incidência e regularidade de vento do litoral catarinense, o que o torna um estudo de caso pertinente para discutir, de forma aplicada, a transição ent</w:t>
      </w:r>
      <w:r>
        <w:t>re a teoria de recurso eólico e o dimensionamento preliminar de um equipamento de pequeno porte voltado à geração residencial.</w:t>
      </w:r>
    </w:p>
    <w:p w14:paraId="00000008" w14:textId="77777777" w:rsidR="00D76EDF" w:rsidRDefault="0025095D">
      <w:pPr>
        <w:spacing w:before="120" w:after="160" w:line="276" w:lineRule="auto"/>
        <w:jc w:val="both"/>
      </w:pPr>
      <w:r>
        <w:tab/>
      </w:r>
      <w:r>
        <w:t xml:space="preserve">Para além do conteúdo técnico, esta aula adota a metodologia PBL, na qual os estudantes aprendem por meio da identificação, análise e solução de problemas reais e pouco estruturados, desenvolvendo conhecimentos específicos e habilidades como pensamento crítico, colaboração, comunicação e autogestão. A escolha se justifica porque geradores eólicos de pequeno porte (GEPP), especialmente turbinas Darrieus, são reconhecidos na literatura como solução vantajosa para microgeração em áreas urbanas e residenciais. </w:t>
      </w:r>
      <w:r>
        <w:t xml:space="preserve">As turbinas verticais são por serem omnidirecionais, operam bem em ventos turbulentos e de baixa velocidade e possuem componentes de geração instalados no solo, o que facilita a manutenção. Apresentam-se, portanto, um problema técnico autêntico e mobilizador para o exercício do PBL. Adicionalmente, a proposta articula-se com a abordagem SHES, que reconhece a interdependência entre sistemas humanos (sociais, econômicos, políticos) e sistemas ambientais (ecológicos, biofísicos), de modo que o dimensionamento </w:t>
      </w:r>
      <w:r>
        <w:t xml:space="preserve">da turbina não seja tratado como problema puramente técnico, mas como decisão de engenharia inserida em um contexto residencial e comunitário real, mobilizando </w:t>
      </w:r>
      <w:r>
        <w:lastRenderedPageBreak/>
        <w:t>competências como pensamento holístico e sistêmico, pensamento sobre complexidade e engajamento com as necessidades da comunidade atendida.</w:t>
      </w:r>
    </w:p>
    <w:p w14:paraId="00000009" w14:textId="77777777" w:rsidR="00D76EDF" w:rsidRDefault="0025095D">
      <w:pPr>
        <w:pStyle w:val="Ttulo3"/>
        <w:spacing w:line="276" w:lineRule="auto"/>
      </w:pPr>
      <w:r>
        <w:t>3. Objetivos</w:t>
      </w:r>
    </w:p>
    <w:p w14:paraId="0000000A" w14:textId="77777777" w:rsidR="00D76EDF" w:rsidRDefault="0025095D">
      <w:pPr>
        <w:spacing w:before="120" w:after="160" w:line="276" w:lineRule="auto"/>
        <w:jc w:val="both"/>
      </w:pPr>
      <w:r>
        <w:rPr>
          <w:b/>
          <w:bCs/>
        </w:rPr>
        <w:t>Objetivo geral</w:t>
      </w:r>
      <w:r>
        <w:t xml:space="preserve">: aplicar os conceitos de vento como recurso energético, potencial eólico e eólica </w:t>
      </w:r>
      <w:r>
        <w:rPr>
          <w:i/>
          <w:iCs/>
        </w:rPr>
        <w:t>onshore</w:t>
      </w:r>
      <w:r>
        <w:t xml:space="preserve"> na proposição fundamentada de uma turbina Darrieus para instalação residencial em ambiente costeiro, por meio da metodologia PBL+SHES, articulando competências técnicas e competências de sustentabilidade.</w:t>
      </w:r>
    </w:p>
    <w:p w14:paraId="0000000B" w14:textId="77777777" w:rsidR="00D76EDF" w:rsidRDefault="0025095D">
      <w:pPr>
        <w:spacing w:before="120" w:after="160" w:line="276" w:lineRule="auto"/>
        <w:jc w:val="both"/>
      </w:pPr>
      <w:r>
        <w:rPr>
          <w:b/>
          <w:bCs/>
        </w:rPr>
        <w:t>Objetivos específicos</w:t>
      </w:r>
      <w:r>
        <w:t xml:space="preserve"> (técnicos): retomar os fundamentos físicos que relacionam perfil de vento, camada limite atmosférica e disponibilidade energética do vento; quantificar o potencial eólico do sítio a partir da densidade de potência do vento e da distribuição estatística de velocidades (Weibull); relacionar as características do sítio (rugosidade, obstáculos, ventos costeiros) à escolha da topologia de turbina de eixo vertical; dimensionar parametricamente um rotor Darrieus de baixa potência compatível com a carga residencia</w:t>
      </w:r>
      <w:r>
        <w:t xml:space="preserve">l e com o recurso eólico local; discutir vantagens e limitações da tecnologia </w:t>
      </w:r>
      <w:r>
        <w:rPr>
          <w:i/>
          <w:iCs/>
        </w:rPr>
        <w:t>onshore</w:t>
      </w:r>
      <w:r>
        <w:t xml:space="preserve"> de pequeno porte em ambiente urbano/residencial.</w:t>
      </w:r>
    </w:p>
    <w:p w14:paraId="0000000C" w14:textId="77777777" w:rsidR="00D76EDF" w:rsidRDefault="0025095D">
      <w:pPr>
        <w:spacing w:before="120" w:after="160" w:line="276" w:lineRule="auto"/>
        <w:jc w:val="both"/>
        <w:rPr>
          <w:b/>
          <w:bCs/>
        </w:rPr>
      </w:pPr>
      <w:r>
        <w:rPr>
          <w:b/>
          <w:bCs/>
        </w:rPr>
        <w:t>Objetivos específicos (competências SHES)</w:t>
      </w:r>
      <w:r>
        <w:t xml:space="preserve">: iniciar o desenvolvimento do pensamento holístico e sistêmico, mapeando os elementos do problema (residência, vento local, tecnologia disponível, restrições de instalação) e suas interdependências; exercitar o engajamento com as necessidades de um usuário/comunidade real, ainda que de forma simulada nesta aula, como preparação para etapas futuras de engajamento efetivo de </w:t>
      </w:r>
      <w:r>
        <w:rPr>
          <w:i/>
          <w:iCs/>
        </w:rPr>
        <w:t>stakeholders</w:t>
      </w:r>
      <w:r>
        <w:t>; praticar a colaboração em pequenos grupos na resolução de um problema aberto e pouco estruturado, com papéis definidos e mediação docente.</w:t>
      </w:r>
    </w:p>
    <w:p w14:paraId="0000000D" w14:textId="77777777" w:rsidR="00D76EDF" w:rsidRDefault="0025095D">
      <w:pPr>
        <w:pStyle w:val="Ttulo3"/>
        <w:spacing w:line="276" w:lineRule="auto"/>
        <w:jc w:val="both"/>
      </w:pPr>
      <w:r>
        <w:t>4. Fundamentação teórica e metodológica</w:t>
      </w:r>
    </w:p>
    <w:p w14:paraId="0000000E" w14:textId="77777777" w:rsidR="00D76EDF" w:rsidRDefault="0025095D">
      <w:pPr>
        <w:spacing w:before="360" w:after="200" w:line="276" w:lineRule="auto"/>
        <w:jc w:val="both"/>
      </w:pPr>
      <w:r>
        <w:rPr>
          <w:b/>
          <w:bCs/>
        </w:rPr>
        <w:t xml:space="preserve">4.1 Vento como recurso energético, potencial eólico e eólica </w:t>
      </w:r>
      <w:r>
        <w:rPr>
          <w:b/>
          <w:bCs/>
          <w:i/>
          <w:iCs/>
        </w:rPr>
        <w:t>onshore</w:t>
      </w:r>
      <w:r>
        <w:rPr>
          <w:b/>
          <w:bCs/>
        </w:rPr>
        <w:t>.</w:t>
      </w:r>
    </w:p>
    <w:p w14:paraId="0000000F" w14:textId="77777777" w:rsidR="00D76EDF" w:rsidRDefault="0025095D">
      <w:pPr>
        <w:spacing w:before="360" w:after="200" w:line="276" w:lineRule="auto"/>
        <w:jc w:val="both"/>
      </w:pPr>
      <w:r>
        <w:tab/>
      </w:r>
      <w:r>
        <w:t xml:space="preserve">O vento resulta da conversão de energia térmica em energia cinética do ar, associada aos gradientes de pressão gerados pelo aquecimento desigual da superfície terrestre e modulada pela circulação atmosférica geral e pelos efeitos locais (brisas marítimas e terrestres, por exemplo). Próximo à superfície, o escoamento é fortemente influenciado pela camada limite atmosférica: a rugosidade do terreno, os obstáculos e a estabilidade térmica alteram o perfil vertical de velocidade, de modo que a energia cinética </w:t>
      </w:r>
      <w:r>
        <w:t>disponível varia com a altura, com a hora do dia e com a estação do ano. Em regiões costeiras como o Cabo de Santa Marta, a baixa rugosidade da superfície do mar e a ausência de obstáculos favorecem ventos mais intensos e mais constantes do que em áreas urbanas continentais, mas a proximidade da costa também introduz efeitos de brisa e maior turbulência na zona de transição terra-mar.</w:t>
      </w:r>
    </w:p>
    <w:p w14:paraId="00000010" w14:textId="77777777" w:rsidR="00D76EDF" w:rsidRDefault="0025095D">
      <w:pPr>
        <w:spacing w:before="120" w:after="160" w:line="276" w:lineRule="auto"/>
        <w:jc w:val="both"/>
      </w:pPr>
      <w:r>
        <w:tab/>
        <w:t>A quantificação do recurso é feita a partir da densidade de potência disponível no vento, e da caracterização estatística da série de velocidades do local, tipicamente ajustada à distribuição de Weibull, com parâmetros de forma (k) e de escala (c). O potencial energético aproveitável depende ainda do coeficiente de potência do rotor escolhido (Cp), respeitando o limite teórico de Betz. Para aplicações residenciais de pequeno porte, a potência-alvo situa-se tipicamente na faixa de 100 W a 1 kW.</w:t>
      </w:r>
    </w:p>
    <w:p w14:paraId="00000011" w14:textId="77777777" w:rsidR="00D76EDF" w:rsidRDefault="0025095D">
      <w:pPr>
        <w:spacing w:before="120" w:after="160" w:line="276" w:lineRule="auto"/>
        <w:jc w:val="both"/>
      </w:pPr>
      <w:r>
        <w:lastRenderedPageBreak/>
        <w:tab/>
      </w:r>
      <w:r>
        <w:t>A energia eólica onshore corresponde ao aproveitamento do vento em terra firme, com turbinas próximas ao solo e sujeitas às características de rugosidade, relevo e uso do solo do entorno. Em ambientes residenciais e urbanos, o escoamento tende a ser mais turbulento e com direção mais variável do que em campo aberto, o que penaliza turbinas de eixo horizontal e favorece topologias de eixo vertical, capazes de captar vento de qualquer direção sem necessidade de mecanismo de guinada.</w:t>
      </w:r>
    </w:p>
    <w:p w14:paraId="00000012" w14:textId="77777777" w:rsidR="00D76EDF" w:rsidRDefault="0025095D">
      <w:pPr>
        <w:spacing w:before="360" w:after="200" w:line="276" w:lineRule="auto"/>
        <w:jc w:val="both"/>
      </w:pPr>
      <w:r>
        <w:rPr>
          <w:b/>
          <w:bCs/>
        </w:rPr>
        <w:t>4.2 A metodologia PBL.</w:t>
      </w:r>
    </w:p>
    <w:p w14:paraId="00000013" w14:textId="77777777" w:rsidR="00D76EDF" w:rsidRDefault="0025095D">
      <w:pPr>
        <w:spacing w:before="360" w:after="200" w:line="276" w:lineRule="auto"/>
        <w:jc w:val="both"/>
      </w:pPr>
      <w:r>
        <w:tab/>
      </w:r>
      <w:r>
        <w:t>A Aprendizagem Baseada em Problemas (PBL) é uma metodologia pedagógica centrada no estudante, que o desafia a aprender por meio da resolução de problemas complexos e do mundo real. Um itinerário PBL completo, tal como estruturado no projeto de ensino-pesquisa-extensão de referência, organiza-se em sete fases: Problematização, Pesquisa, Discussão, Síntese, Projeto, Manufatura e Disseminação/Avaliação. Nesta aula, trabalha-se de forma concentrada a fase de Problematização, na qual se define o problema (comuni</w:t>
      </w:r>
      <w:r>
        <w:t>dade/residência com potencial eólico e necessidade energética), se caracteriza, ainda que preliminarmente, o recurso eólico disponível e se organizam as equipes que conduzirão as etapas seguintes de pesquisa, síntese e projeto ao longo da disciplina.</w:t>
      </w:r>
    </w:p>
    <w:p w14:paraId="00000014" w14:textId="77777777" w:rsidR="00D76EDF" w:rsidRDefault="0025095D">
      <w:pPr>
        <w:spacing w:before="360" w:after="200" w:line="276" w:lineRule="auto"/>
        <w:jc w:val="both"/>
      </w:pPr>
      <w:r>
        <w:rPr>
          <w:b/>
          <w:bCs/>
        </w:rPr>
        <w:t>4.3 A abordagem SHES.</w:t>
      </w:r>
    </w:p>
    <w:p w14:paraId="00000015" w14:textId="77777777" w:rsidR="00D76EDF" w:rsidRDefault="0025095D">
      <w:pPr>
        <w:spacing w:before="360" w:after="200" w:line="276" w:lineRule="auto"/>
        <w:jc w:val="both"/>
      </w:pPr>
      <w:r>
        <w:tab/>
      </w:r>
      <w:r>
        <w:t>A abordagem Sustainable Human and Environmental Systems (SHES) oferece um marco teórico para a educação em sustentabilidade que reconhece a interdependência entre sistemas humanos (sociais, econômicos, políticos) e sistemas ambientais (ecológicos, biofísicos), indo além de uma visão puramente técnica do problema de engenharia. A formação de competências SHES inclui, entre outras, o pensamento holístico e sistêmico, o pensamento supradisciplinar, o pensamento sobre complexidade, o pensamento adaptativo, o pe</w:t>
      </w:r>
      <w:r>
        <w:t xml:space="preserve">nsamento sobre diversidade, a colaboração e o engajamento de </w:t>
      </w:r>
      <w:r>
        <w:rPr>
          <w:i/>
          <w:iCs/>
        </w:rPr>
        <w:t>stakeholders</w:t>
      </w:r>
      <w:r>
        <w:t>, e o planejamento e avaliação de projetos. Nesta aula, a competência central mobilizada é o pensamento holístico e sistêmico, por meio do mapeamento dos elementos do problema proposto (residência, vento do local (sítio), tecnologia de turbina, restrições de instalação em área urbana) e de suas interdependências, preparando o terreno para o desenvolvimento das demais competências nas fases seguintes do itinerário da disciplina.</w:t>
      </w:r>
    </w:p>
    <w:p w14:paraId="00000016" w14:textId="77777777" w:rsidR="00D76EDF" w:rsidRDefault="00D76EDF">
      <w:pPr>
        <w:pStyle w:val="Ttulo3"/>
        <w:spacing w:line="276" w:lineRule="auto"/>
        <w:jc w:val="both"/>
      </w:pPr>
    </w:p>
    <w:p w14:paraId="00000017" w14:textId="77777777" w:rsidR="00D76EDF" w:rsidRDefault="0025095D">
      <w:pPr>
        <w:pStyle w:val="Ttulo3"/>
        <w:spacing w:line="276" w:lineRule="auto"/>
        <w:jc w:val="both"/>
      </w:pPr>
      <w:r>
        <w:t>5. Estudo de caso: proposta de instalação no Cabo de Santa Marta (problema disparador do PBL)</w:t>
      </w:r>
    </w:p>
    <w:p w14:paraId="00000018" w14:textId="77777777" w:rsidR="00D76EDF" w:rsidRDefault="0025095D">
      <w:pPr>
        <w:spacing w:before="360" w:after="200" w:line="276" w:lineRule="auto"/>
        <w:jc w:val="both"/>
      </w:pPr>
      <w:r>
        <w:rPr>
          <w:b/>
          <w:bCs/>
        </w:rPr>
        <w:t>5.1 Caracterização do sítio e do problema.</w:t>
      </w:r>
    </w:p>
    <w:p w14:paraId="00000019" w14:textId="77777777" w:rsidR="00D76EDF" w:rsidRDefault="0025095D">
      <w:pPr>
        <w:spacing w:before="360" w:after="200" w:line="276" w:lineRule="auto"/>
        <w:jc w:val="both"/>
      </w:pPr>
      <w:r>
        <w:tab/>
      </w:r>
      <w:r>
        <w:t>O Farol de Santa Marta localiza-se no litoral sul de Santa Catarina, em uma formação de promontório rochoso exposto ao oceano Atlântico, condição geograficamente associada a ventos fortes e persistentes. Para fins da Problematização, apresenta-se aos estudantes uma situação-</w:t>
      </w:r>
      <w:r>
        <w:lastRenderedPageBreak/>
        <w:t>problema: uma residência situada nas proximidades do farol, não diretamente na área de maior exposição do promontório, deseja instalar uma turbina de pequeno porte para geração complementar de energia elétrica. A turbina não será posicio</w:t>
      </w:r>
      <w:r>
        <w:t>nada em campo aberto, e sim próxima às edificações, em altura reduzida (telhado ou mastro de poucos metros), o que introduz rugosidade e turbulência típicas de ambiente urbano/residencial, elemento central do problema a ser discutido pelos grupos.</w:t>
      </w:r>
    </w:p>
    <w:p w14:paraId="0000001A" w14:textId="77777777" w:rsidR="00D76EDF" w:rsidRDefault="0025095D">
      <w:pPr>
        <w:spacing w:before="120" w:after="160" w:line="276" w:lineRule="auto"/>
        <w:jc w:val="both"/>
      </w:pPr>
      <w:r>
        <w:tab/>
        <w:t>Para fins didáticos, adotam-se dois cenários de velocidade média de referência: um cenário moderado, de 5 m/s, representativo de um regime residencial com obstáculos e rugosidade média, e um cenário de vento mais forte, de 9 m/s, representativo de exposição mais direta característica de pontos elevados ou desobstruídos próximos ao cabo. Esses valores são tratados como estimativas de projeto preliminar, a serem confirmadas por medição local (anemometria) na fase de Pesquisa do itinerário PBL.</w:t>
      </w:r>
    </w:p>
    <w:p w14:paraId="0000001B" w14:textId="77777777" w:rsidR="00D76EDF" w:rsidRDefault="0025095D">
      <w:pPr>
        <w:spacing w:before="360" w:after="200" w:line="276" w:lineRule="auto"/>
        <w:jc w:val="both"/>
      </w:pPr>
      <w:r>
        <w:rPr>
          <w:b/>
          <w:bCs/>
        </w:rPr>
        <w:t>5.2 Quantificação do potencial eólico.</w:t>
      </w:r>
      <w:sdt>
        <w:sdtPr>
          <w:tag w:val="goog_rdk_0"/>
          <w:id w:val="221335424"/>
        </w:sdtPr>
        <w:sdtEndPr/>
        <w:sdtContent>
          <w:r>
            <w:rPr>
              <w:rFonts w:ascii="Arial Unicode MS" w:eastAsia="Arial Unicode MS" w:hAnsi="Arial Unicode MS" w:cs="Arial Unicode MS"/>
            </w:rPr>
            <w:t xml:space="preserve"> Com densidade do ar  ρ=1,225 kg/m3  e adotando a área varrida de referência do rotor dimensionado (A ≈ 4 m²), a densidade de potência disponível no vento é:</w:t>
          </w:r>
        </w:sdtContent>
      </w:sdt>
    </w:p>
    <w:p w14:paraId="0000001C" w14:textId="77777777" w:rsidR="00D76EDF" w:rsidRDefault="0025095D">
      <w:pPr>
        <w:spacing w:before="120" w:after="60" w:line="276" w:lineRule="auto"/>
        <w:jc w:val="center"/>
      </w:pPr>
      <w:r>
        <w:rPr>
          <w:noProof/>
        </w:rPr>
        <w:drawing>
          <wp:inline distT="0" distB="0" distL="0" distR="0" wp14:anchorId="3A84EA91" wp14:editId="1827916C">
            <wp:extent cx="1220787" cy="33294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220787" cy="332942"/>
                    </a:xfrm>
                    <a:prstGeom prst="rect">
                      <a:avLst/>
                    </a:prstGeom>
                    <a:ln/>
                  </pic:spPr>
                </pic:pic>
              </a:graphicData>
            </a:graphic>
          </wp:inline>
        </w:drawing>
      </w:r>
    </w:p>
    <w:p w14:paraId="0000001D" w14:textId="77777777" w:rsidR="00D76EDF" w:rsidRDefault="0025095D">
      <w:pPr>
        <w:spacing w:before="120" w:after="160" w:line="276" w:lineRule="auto"/>
        <w:jc w:val="both"/>
      </w:pPr>
      <w:sdt>
        <w:sdtPr>
          <w:tag w:val="goog_rdk_1"/>
          <w:id w:val="3814185"/>
        </w:sdtPr>
        <w:sdtEndPr/>
        <w:sdtContent>
          <w:r>
            <w:rPr>
              <w:rFonts w:ascii="Arial Unicode MS" w:eastAsia="Arial Unicode MS" w:hAnsi="Arial Unicode MS" w:cs="Arial Unicode MS"/>
            </w:rPr>
            <w:t>Para v = 5 m/s:  P/A≈76,6 W/m2 , resultando em cerca de 306 W de potência disponível no vento incidente sobre a área varrida.</w:t>
          </w:r>
        </w:sdtContent>
      </w:sdt>
    </w:p>
    <w:p w14:paraId="0000001E" w14:textId="77777777" w:rsidR="00D76EDF" w:rsidRDefault="0025095D">
      <w:pPr>
        <w:spacing w:before="120" w:after="160" w:line="276" w:lineRule="auto"/>
        <w:jc w:val="both"/>
      </w:pPr>
      <w:sdt>
        <w:sdtPr>
          <w:tag w:val="goog_rdk_2"/>
          <w:id w:val="-1842025485"/>
        </w:sdtPr>
        <w:sdtEndPr/>
        <w:sdtContent>
          <w:r>
            <w:rPr>
              <w:rFonts w:ascii="Arial Unicode MS" w:eastAsia="Arial Unicode MS" w:hAnsi="Arial Unicode MS" w:cs="Arial Unicode MS"/>
            </w:rPr>
            <w:t>Para v = 9 m/s:  P/A≈446,4 W/m2 , resultando em cerca de 1785 W de potência disponível.</w:t>
          </w:r>
        </w:sdtContent>
      </w:sdt>
    </w:p>
    <w:p w14:paraId="0000001F" w14:textId="77777777" w:rsidR="00D76EDF" w:rsidRDefault="0025095D">
      <w:pPr>
        <w:spacing w:before="120" w:after="160" w:line="276" w:lineRule="auto"/>
        <w:jc w:val="both"/>
      </w:pPr>
      <w:r>
        <w:tab/>
      </w:r>
      <w:r>
        <w:t>Aplicando o coeficiente de potência do rotor dimensionado (Cp de projeto entre 0,20 e 0,48, típico 0,40), a potência mecânica de eixo estimada resulta em aproximadamente 136 W a 220 rpm no cenário de 5 m/s e 932 W a 380 rpm no cenário de 9 m/s, valores compatíveis com a faixa de microgeração residencial (100 W–1 kW).</w:t>
      </w:r>
    </w:p>
    <w:p w14:paraId="00000020" w14:textId="77777777" w:rsidR="00D76EDF" w:rsidRDefault="0025095D">
      <w:pPr>
        <w:pBdr>
          <w:top w:val="nil"/>
          <w:left w:val="nil"/>
          <w:bottom w:val="nil"/>
          <w:right w:val="nil"/>
          <w:between w:val="nil"/>
        </w:pBdr>
        <w:spacing w:line="276" w:lineRule="auto"/>
        <w:jc w:val="both"/>
        <w:rPr>
          <w:b/>
          <w:bCs/>
        </w:rPr>
      </w:pPr>
      <w:r>
        <w:rPr>
          <w:b/>
          <w:bCs/>
        </w:rPr>
        <w:t>5.3 Proposta técnica da turbina.</w:t>
      </w:r>
    </w:p>
    <w:p w14:paraId="00000021" w14:textId="77777777" w:rsidR="00D76EDF" w:rsidRDefault="0025095D">
      <w:pPr>
        <w:pBdr>
          <w:top w:val="nil"/>
          <w:left w:val="nil"/>
          <w:bottom w:val="nil"/>
          <w:right w:val="nil"/>
          <w:between w:val="nil"/>
        </w:pBdr>
        <w:spacing w:line="276" w:lineRule="auto"/>
        <w:jc w:val="both"/>
      </w:pPr>
      <w:r>
        <w:rPr>
          <w:b/>
          <w:bCs/>
        </w:rPr>
        <w:tab/>
      </w:r>
      <w:sdt>
        <w:sdtPr>
          <w:tag w:val="goog_rdk_3"/>
          <w:id w:val="-788264639"/>
        </w:sdtPr>
        <w:sdtEndPr/>
        <w:sdtContent>
          <w:r>
            <w:rPr>
              <w:rFonts w:ascii="Arial Unicode MS" w:eastAsia="Arial Unicode MS" w:hAnsi="Arial Unicode MS" w:cs="Arial Unicode MS"/>
            </w:rPr>
            <w:t>Propõe-se um rotor do tipo H-Darrieus de três pás, perfil aerodinâmico simétrico (S1046 ou NACA 0018), solidez em torno de 0,30, razão de aspecto altura/diâmetro próxima de 2,6, operando em razão de velocidade de ponta (TSR) próxima de 3,75. A partir da área varrida de referência (A ≈ 4 m²), obtêm-se raio do rotor na faixa de 0,82 m a 0,88 m e corda de pá entre 5 e 9 cm. A escolha de três pás, em detrimento de duas, é justificada pelo maior torque de partida em condições de vento urbano/residencial, mesmo q</w:t>
          </w:r>
          <w:r>
            <w:rPr>
              <w:rFonts w:ascii="Arial Unicode MS" w:eastAsia="Arial Unicode MS" w:hAnsi="Arial Unicode MS" w:cs="Arial Unicode MS"/>
            </w:rPr>
            <w:t>ue o Cp máximo de uma configuração de duas pás seja ligeiramente superior.</w:t>
          </w:r>
        </w:sdtContent>
      </w:sdt>
    </w:p>
    <w:p w14:paraId="00000022" w14:textId="77777777" w:rsidR="00D76EDF" w:rsidRDefault="00D76EDF">
      <w:pPr>
        <w:pBdr>
          <w:top w:val="nil"/>
          <w:left w:val="nil"/>
          <w:bottom w:val="nil"/>
          <w:right w:val="nil"/>
          <w:between w:val="nil"/>
        </w:pBdr>
        <w:spacing w:line="276" w:lineRule="auto"/>
        <w:jc w:val="both"/>
      </w:pPr>
    </w:p>
    <w:p w14:paraId="00000023" w14:textId="77777777" w:rsidR="00D76EDF" w:rsidRDefault="0025095D">
      <w:pPr>
        <w:spacing w:line="276" w:lineRule="auto"/>
        <w:jc w:val="both"/>
      </w:pPr>
      <w:r>
        <w:rPr>
          <w:b/>
          <w:bCs/>
        </w:rPr>
        <w:t>5.4 Justificativa da topologia vertical para o contexto residencial.</w:t>
      </w:r>
    </w:p>
    <w:p w14:paraId="00000024" w14:textId="77777777" w:rsidR="00D76EDF" w:rsidRDefault="0025095D">
      <w:pPr>
        <w:spacing w:line="276" w:lineRule="auto"/>
        <w:ind w:firstLine="720"/>
        <w:jc w:val="both"/>
      </w:pPr>
      <w:r>
        <w:t xml:space="preserve">A turbina de eixo vertical dispensa mecanismo de orientação ao vento, opera adequadamente sob ventos turbulentos e multidirecionais típicos de áreas edificadas, apresenta </w:t>
      </w:r>
      <w:r>
        <w:lastRenderedPageBreak/>
        <w:t>menor altura de instalação, menor impacto visual e sonoro em comparação a turbinas de eixo horizontal de potência equivalente, e permite posicionamento do gerador junto ao solo, simplificando manutenção, características amplamente reportadas na literatura como vantagem dos geradores eólicos de pequeno porte do tipo Darrieus para microgeração urbana e residencial.</w:t>
      </w:r>
    </w:p>
    <w:p w14:paraId="00000025" w14:textId="77777777" w:rsidR="00D76EDF" w:rsidRDefault="00D76EDF">
      <w:pPr>
        <w:spacing w:before="360" w:after="200" w:line="276" w:lineRule="auto"/>
        <w:jc w:val="both"/>
      </w:pPr>
    </w:p>
    <w:p w14:paraId="00000026" w14:textId="77777777" w:rsidR="00D76EDF" w:rsidRDefault="0025095D">
      <w:pPr>
        <w:pStyle w:val="Ttulo3"/>
        <w:spacing w:line="276" w:lineRule="auto"/>
        <w:jc w:val="both"/>
      </w:pPr>
      <w:r>
        <w:t>6. Metodologia de ensino (desenvolvimento da aula segundo PBL+SHES)</w:t>
      </w:r>
    </w:p>
    <w:p w14:paraId="00000027" w14:textId="77777777" w:rsidR="00D76EDF" w:rsidRDefault="0025095D">
      <w:pPr>
        <w:spacing w:before="120" w:after="160" w:line="276" w:lineRule="auto"/>
        <w:jc w:val="both"/>
      </w:pPr>
      <w:r>
        <w:tab/>
        <w:t>A aula é estruturada como a etapa de Problematização de um itinerário PBL+SHES, adaptada ao tempo de duas horas.</w:t>
      </w:r>
    </w:p>
    <w:p w14:paraId="00000028" w14:textId="77777777" w:rsidR="00D76EDF" w:rsidRDefault="0025095D">
      <w:pPr>
        <w:spacing w:before="120" w:after="160" w:line="276" w:lineRule="auto"/>
        <w:jc w:val="both"/>
      </w:pPr>
      <w:r>
        <w:tab/>
        <w:t xml:space="preserve">Introdução e apresentação do problema (10 minutos): docente apresenta a situação-problema (residência no entorno do Cabo de Santa Marta que deseja instalar geração eólica complementar), sem fornecer a solução, retomando os conceitos de vento como recurso energético, potencial eólico e eólica </w:t>
      </w:r>
      <w:r>
        <w:rPr>
          <w:i/>
          <w:iCs/>
        </w:rPr>
        <w:t xml:space="preserve">onshore </w:t>
      </w:r>
      <w:r>
        <w:t>como ferramentas necessárias para abordá-lo.</w:t>
      </w:r>
    </w:p>
    <w:p w14:paraId="00000029" w14:textId="77777777" w:rsidR="00D76EDF" w:rsidRDefault="0025095D">
      <w:pPr>
        <w:spacing w:before="120" w:after="160" w:line="276" w:lineRule="auto"/>
        <w:jc w:val="both"/>
      </w:pPr>
      <w:r>
        <w:tab/>
        <w:t>Formação de equipes e primeiro mapeamento do problema (20 minutos): organização de  pequenos grupos com papéis definidos; cada grupo inicia o mapeamento dos elementos do sistema,  a residência e sua demanda energética, o recurso eólico do sítio, as restrições de instalação (altura, rugosidade, vizinhança), a tecnologia disponível, como primeiro exercício de pensamento holístico e sistêmico (competência SHES).</w:t>
      </w:r>
    </w:p>
    <w:p w14:paraId="0000002A" w14:textId="77777777" w:rsidR="00D76EDF" w:rsidRDefault="0025095D">
      <w:pPr>
        <w:spacing w:before="120" w:after="160" w:line="276" w:lineRule="auto"/>
        <w:jc w:val="both"/>
      </w:pPr>
      <w:r>
        <w:tab/>
      </w:r>
      <w:r>
        <w:t xml:space="preserve">Estudo dirigido de cálculo (10 minutos): os grupos calculam a densidade de potência e a potência de eixo estimada nos dois cenários de vento propostos, utilizando </w:t>
      </w:r>
      <w:r>
        <w:t>portal WindAtlas</w:t>
      </w:r>
      <w:r>
        <w:t>, e relacionam os resultados às restrições levantadas na etapa anterior.</w:t>
      </w:r>
    </w:p>
    <w:p w14:paraId="0000002B" w14:textId="77777777" w:rsidR="00D76EDF" w:rsidRDefault="0025095D">
      <w:pPr>
        <w:spacing w:before="120" w:after="160" w:line="276" w:lineRule="auto"/>
        <w:jc w:val="both"/>
      </w:pPr>
      <w:r>
        <w:tab/>
      </w:r>
      <w:r>
        <w:t>Discussão coletiva (30 minutos): apresentação e discussão dos parâmetros dimensionados do rotor e da justificativa da escolha da topologia vertical, articulando o resultado técnico às condições do sítio e às necessidades da residência hipotética, reforçando a integração entre dimensão técnica e dimensão de uso/contexto, central à abordagem SHES.</w:t>
      </w:r>
    </w:p>
    <w:p w14:paraId="0000002C" w14:textId="77777777" w:rsidR="00D76EDF" w:rsidRDefault="0025095D">
      <w:pPr>
        <w:spacing w:before="120" w:after="160" w:line="276" w:lineRule="auto"/>
        <w:jc w:val="both"/>
      </w:pPr>
      <w:r>
        <w:tab/>
      </w:r>
      <w:r>
        <w:t>Fechamento e definição dos objetivos de aprendizagem para as próximas fases (10 minutos): síntese conceitual relacionando teoria e estudo de caso; registro, por cada grupo, dos objetivos de aprendizagem técnicos e de competências SHES. Sistematização das informações (10 a 20 minutos). As informações contidas nas propostas dos grupos orientarão a etapas seguintes do itinerário;  como por exemplo: estudo de aceitação social, incluindo a visita ao local e debate com as partes interessadas, debate sobre os sist</w:t>
      </w:r>
      <w:r>
        <w:t>emas propostos pelos grupos.</w:t>
      </w:r>
    </w:p>
    <w:p w14:paraId="0000002D" w14:textId="77777777" w:rsidR="00D76EDF" w:rsidRDefault="00D76EDF">
      <w:pPr>
        <w:pStyle w:val="Ttulo3"/>
        <w:spacing w:line="276" w:lineRule="auto"/>
        <w:jc w:val="both"/>
      </w:pPr>
    </w:p>
    <w:p w14:paraId="0000002E" w14:textId="77777777" w:rsidR="00D76EDF" w:rsidRDefault="0025095D">
      <w:pPr>
        <w:pStyle w:val="Ttulo3"/>
        <w:spacing w:line="276" w:lineRule="auto"/>
        <w:jc w:val="both"/>
      </w:pPr>
      <w:r>
        <w:t>7. Recursos didáticos</w:t>
      </w:r>
      <w:r>
        <w:rPr>
          <w:b w:val="0"/>
          <w:bCs w:val="0"/>
          <w:sz w:val="22"/>
          <w:szCs w:val="22"/>
        </w:rPr>
        <w:tab/>
      </w:r>
    </w:p>
    <w:p w14:paraId="0000002F" w14:textId="77777777" w:rsidR="00D76EDF" w:rsidRDefault="0025095D">
      <w:pPr>
        <w:spacing w:before="120" w:after="160" w:line="276" w:lineRule="auto"/>
        <w:jc w:val="both"/>
      </w:pPr>
      <w:r>
        <w:tab/>
        <w:t>Quadro ou projeção para exposição dialogada; scripts para cálculo de densidade de potência e potência de eixo; roteiro impresso ou digital com as equações de dimensionamento paramétrico (área varrida, solidez, corda, raio, TSR); imagens ou esquema da geometria do rotor Darrieus proposto; ficha de mapeamento do sistema (elementos e interdependências) para apoio ao registro do pensamento sistêmico. Modelo paramétrico para visualização da turbina.</w:t>
      </w:r>
    </w:p>
    <w:p w14:paraId="00000030" w14:textId="77777777" w:rsidR="00D76EDF" w:rsidRDefault="0025095D">
      <w:pPr>
        <w:pStyle w:val="Ttulo3"/>
        <w:spacing w:line="276" w:lineRule="auto"/>
        <w:jc w:val="both"/>
      </w:pPr>
      <w:r>
        <w:lastRenderedPageBreak/>
        <w:t>8. Avaliação</w:t>
      </w:r>
    </w:p>
    <w:p w14:paraId="00000031" w14:textId="77777777" w:rsidR="00D76EDF" w:rsidRDefault="0025095D">
      <w:pPr>
        <w:spacing w:before="120" w:after="160" w:line="276" w:lineRule="auto"/>
        <w:jc w:val="both"/>
      </w:pPr>
      <w:r>
        <w:tab/>
      </w:r>
      <w:r>
        <w:t>Avaliação formativa durante o estudo dirigido, verificando a correta aplicação das equações de densidade de potência e de dimensionamento paramétrico, e observando a qualidade do mapeamento do sistema produzido por cada grupo. Avaliação somativa por meio de relatório técnico curto, no qual cada grupo deve apresentar: a memória de cálculo do potencial eólico para os dois cenários de vento; a justificativa da escolha do número de pás e da topologia vertical para o contexto residencial; uma discussão crítica s</w:t>
      </w:r>
      <w:r>
        <w:t>obre a necessidade de medição local do vento antes da instalação definitiva; e um registro inicial do mapeamento do sistema (elementos, interdependências e restrições identificadas), como primeira evidência da competência de pensamento holístico e sistêmico a ser desenvolvida ao longo do itinerário PBL+SHES da disciplina. Estas informações devem ser socializadas, por meio de capturas de telas do telefone celular de um dos integrantes dos grupos. Os dados serão sistematizados e socializados por meio de apres</w:t>
      </w:r>
      <w:r>
        <w:t>entação do Google, acessível durante o encontro. A apresentação será utilizada como mecanismo de síntese e ferramenta para articular o debate.</w:t>
      </w:r>
    </w:p>
    <w:p w14:paraId="00000032" w14:textId="77777777" w:rsidR="00D76EDF" w:rsidRDefault="00D76EDF">
      <w:pPr>
        <w:spacing w:before="120" w:after="160" w:line="276" w:lineRule="auto"/>
        <w:jc w:val="both"/>
      </w:pPr>
    </w:p>
    <w:p w14:paraId="00000033" w14:textId="77777777" w:rsidR="00D76EDF" w:rsidRDefault="0025095D">
      <w:pPr>
        <w:pStyle w:val="Ttulo3"/>
        <w:spacing w:line="276" w:lineRule="auto"/>
        <w:jc w:val="both"/>
      </w:pPr>
      <w:r>
        <w:t xml:space="preserve">9. </w:t>
      </w:r>
      <w:sdt>
        <w:sdtPr>
          <w:tag w:val="goog_rdk_4"/>
          <w:id w:val="1419763317"/>
        </w:sdtPr>
        <w:sdtEndPr/>
        <w:sdtContent>
          <w:commentRangeStart w:id="0"/>
        </w:sdtContent>
      </w:sdt>
      <w:r>
        <w:t>Referências</w:t>
      </w:r>
      <w:commentRangeEnd w:id="0"/>
      <w:r>
        <w:rPr>
          <w:rStyle w:val="Refdecomentrio"/>
          <w:sz w:val="28"/>
          <w:szCs w:val="28"/>
        </w:rPr>
        <w:commentReference w:id="0"/>
      </w:r>
    </w:p>
    <w:p w14:paraId="00000034" w14:textId="77777777" w:rsidR="00D76EDF" w:rsidRPr="002E1B1E" w:rsidRDefault="0025095D">
      <w:pPr>
        <w:spacing w:before="120" w:after="160" w:line="276" w:lineRule="auto"/>
        <w:rPr>
          <w:lang w:val="en-US"/>
        </w:rPr>
      </w:pPr>
      <w:r>
        <w:t xml:space="preserve">BARRY, R. G.; CHORLEY, R. J. Atmosfera, tempo e clima. </w:t>
      </w:r>
      <w:r w:rsidRPr="002E1B1E">
        <w:rPr>
          <w:lang w:val="en-US"/>
        </w:rPr>
        <w:t>Porto Alegre: Bookman, 2013.</w:t>
      </w:r>
    </w:p>
    <w:p w14:paraId="00000035" w14:textId="77777777" w:rsidR="00D76EDF" w:rsidRPr="002E1B1E" w:rsidRDefault="0025095D">
      <w:pPr>
        <w:spacing w:before="120" w:after="160" w:line="276" w:lineRule="auto"/>
        <w:rPr>
          <w:lang w:val="en-US"/>
        </w:rPr>
      </w:pPr>
      <w:r w:rsidRPr="002E1B1E">
        <w:rPr>
          <w:lang w:val="en-US"/>
        </w:rPr>
        <w:t>BURTON, T. Wind energy: handbook. New York: John Wiley &amp; Sons, 2001.</w:t>
      </w:r>
    </w:p>
    <w:p w14:paraId="00000036" w14:textId="77777777" w:rsidR="00D76EDF" w:rsidRDefault="0025095D">
      <w:pPr>
        <w:spacing w:before="120" w:after="160" w:line="276" w:lineRule="auto"/>
      </w:pPr>
      <w:r>
        <w:t>TOLMASQUIM, M. T. Energia Renovável: hidráulica, biomassa, eólica, solar, oceânica. Rio de Janeiro: EPE, 2016.</w:t>
      </w:r>
    </w:p>
    <w:p w14:paraId="00000037" w14:textId="77777777" w:rsidR="00D76EDF" w:rsidRPr="002E1B1E" w:rsidRDefault="0025095D">
      <w:pPr>
        <w:spacing w:before="120" w:after="160" w:line="276" w:lineRule="auto"/>
        <w:rPr>
          <w:lang w:val="en-US"/>
        </w:rPr>
      </w:pPr>
      <w:r>
        <w:t xml:space="preserve">VIAN, A. et al. Energia Eólica: Fundamentos Tecnologia e Aplicações. </w:t>
      </w:r>
      <w:r w:rsidRPr="002E1B1E">
        <w:rPr>
          <w:lang w:val="en-US"/>
        </w:rPr>
        <w:t>São Paulo: Blucher, 2021.</w:t>
      </w:r>
    </w:p>
    <w:p w14:paraId="00000038" w14:textId="77777777" w:rsidR="00D76EDF" w:rsidRPr="002E1B1E" w:rsidRDefault="0025095D">
      <w:pPr>
        <w:spacing w:before="120" w:after="160" w:line="276" w:lineRule="auto"/>
        <w:rPr>
          <w:lang w:val="en-US"/>
        </w:rPr>
      </w:pPr>
      <w:r w:rsidRPr="002E1B1E">
        <w:rPr>
          <w:lang w:val="en-US"/>
        </w:rPr>
        <w:t>DÍAZ-CANUL, F.; AGUILAR, J. O.; HAU, N. R.; SIMÁ, E.; JARAMILLO, Ó. A. Design of Low-Power Vertical-Axis Wind Turbine Based on Parametric Method. Wind, v. 5, n. 4, p. 35, 2025.</w:t>
      </w:r>
    </w:p>
    <w:p w14:paraId="00000039" w14:textId="77777777" w:rsidR="00D76EDF" w:rsidRPr="002E1B1E" w:rsidRDefault="0025095D">
      <w:pPr>
        <w:spacing w:before="120" w:after="160" w:line="276" w:lineRule="auto"/>
        <w:rPr>
          <w:lang w:val="en-US"/>
        </w:rPr>
      </w:pPr>
      <w:r w:rsidRPr="002E1B1E">
        <w:rPr>
          <w:lang w:val="en-US"/>
        </w:rPr>
        <w:t>HASSAN, W. U.; JALAL, A.; BILAL, M. A.; BUZAL, M. Z.; ASGHAR, H.; ALI, U. Parametric analysis of a helical-bladed vertical axis wind turbine. Journal of Ocean Engineering and Marine Energy, v. 10, n. 2, p. 383–398, 2024.</w:t>
      </w:r>
    </w:p>
    <w:p w14:paraId="0000003A" w14:textId="77777777" w:rsidR="00D76EDF" w:rsidRPr="002E1B1E" w:rsidRDefault="0025095D">
      <w:pPr>
        <w:spacing w:before="120" w:after="160" w:line="276" w:lineRule="auto"/>
        <w:rPr>
          <w:lang w:val="en-US"/>
        </w:rPr>
      </w:pPr>
      <w:r w:rsidRPr="002E1B1E">
        <w:rPr>
          <w:lang w:val="en-US"/>
        </w:rPr>
        <w:t>OLIVERA, J.; CHICA, E.; COLORADO, H. A. Design and Manufacturing with 3D Printing and Life Cycle Analysis of a Recyclable Polymer-Based H-Darrieus Wind Turbine. Engineered Science, 2024.</w:t>
      </w:r>
    </w:p>
    <w:p w14:paraId="0000003B" w14:textId="77777777" w:rsidR="00D76EDF" w:rsidRPr="002E1B1E" w:rsidRDefault="0025095D">
      <w:pPr>
        <w:spacing w:before="120" w:after="160" w:line="276" w:lineRule="auto"/>
        <w:rPr>
          <w:lang w:val="en-US"/>
        </w:rPr>
      </w:pPr>
      <w:r w:rsidRPr="002E1B1E">
        <w:rPr>
          <w:lang w:val="en-US"/>
        </w:rPr>
        <w:t>UNZUETA, M.; EGUREN, J. A. Project-Based Learning Implementation in Engineering Education: Challenges and Opportunities. Journal of Industrial Engineering and Management, v. 16, n. 1, p. 5254, 2023.</w:t>
      </w:r>
    </w:p>
    <w:p w14:paraId="0000003C" w14:textId="77777777" w:rsidR="00D76EDF" w:rsidRPr="002E1B1E" w:rsidRDefault="0025095D">
      <w:pPr>
        <w:spacing w:before="120" w:after="160" w:line="276" w:lineRule="auto"/>
        <w:rPr>
          <w:lang w:val="en-US"/>
        </w:rPr>
      </w:pPr>
      <w:r w:rsidRPr="002E1B1E">
        <w:rPr>
          <w:lang w:val="en-US"/>
        </w:rPr>
        <w:t>SIMON, S.; ERDURAN, S.; OSBORNE, J. Learning Science Through Argument and Explanation. Science Education, v. 90, n. 3, p. 394-410, 2013.</w:t>
      </w:r>
    </w:p>
    <w:p w14:paraId="0000003D" w14:textId="77777777" w:rsidR="00D76EDF" w:rsidRPr="002E1B1E" w:rsidRDefault="0025095D">
      <w:pPr>
        <w:spacing w:before="120" w:after="160" w:line="276" w:lineRule="auto"/>
        <w:rPr>
          <w:lang w:val="en-US"/>
        </w:rPr>
      </w:pPr>
      <w:r w:rsidRPr="002E1B1E">
        <w:rPr>
          <w:lang w:val="en-US"/>
        </w:rPr>
        <w:t>SMARDON, R. C.; BARRESI, P. A.; REITER, M. A. The Sustainable Human and Environmental Systems (SHES) Approach to Sustainability Education and Practice: From the Classroom to the Workplace. OIDA International Journal of Sustainable Development, v. 18, n. 12, p. 1046-1053, 2025.</w:t>
      </w:r>
    </w:p>
    <w:p w14:paraId="0000003E" w14:textId="77777777" w:rsidR="00D76EDF" w:rsidRPr="002E1B1E" w:rsidRDefault="0025095D">
      <w:pPr>
        <w:spacing w:before="120" w:after="160" w:line="276" w:lineRule="auto"/>
        <w:rPr>
          <w:lang w:val="en-US"/>
        </w:rPr>
      </w:pPr>
      <w:r w:rsidRPr="002E1B1E">
        <w:rPr>
          <w:lang w:val="en-US"/>
        </w:rPr>
        <w:lastRenderedPageBreak/>
        <w:t xml:space="preserve">REITER, M. A. et al. </w:t>
      </w:r>
      <w:r>
        <w:t xml:space="preserve">Sustainable Human and Environmental Systems: A Framework for Integrating Education, Research, and Practice. </w:t>
      </w:r>
      <w:r w:rsidRPr="002E1B1E">
        <w:rPr>
          <w:lang w:val="en-US"/>
        </w:rPr>
        <w:t>Journal of Cleaner Production, v. 48, p. 147-154, 2013.</w:t>
      </w:r>
    </w:p>
    <w:p w14:paraId="0000003F" w14:textId="77777777" w:rsidR="00D76EDF" w:rsidRPr="002E1B1E" w:rsidRDefault="0025095D">
      <w:pPr>
        <w:spacing w:before="120" w:after="160" w:line="276" w:lineRule="auto"/>
        <w:rPr>
          <w:lang w:val="en-US"/>
        </w:rPr>
      </w:pPr>
      <w:r w:rsidRPr="002E1B1E">
        <w:rPr>
          <w:lang w:val="en-US"/>
        </w:rPr>
        <w:t>FOCHT, W.; BARRESI, P. A. The SHES approach to sustainability education. In: Routledge Handbook of Sustainability Curriculum. 2018. p. 62-80.</w:t>
      </w:r>
    </w:p>
    <w:p w14:paraId="00000040" w14:textId="77777777" w:rsidR="00D76EDF" w:rsidRPr="002E1B1E" w:rsidRDefault="0025095D">
      <w:pPr>
        <w:spacing w:before="120" w:after="160" w:line="276" w:lineRule="auto"/>
        <w:rPr>
          <w:lang w:val="en-US"/>
        </w:rPr>
      </w:pPr>
      <w:r w:rsidRPr="002E1B1E">
        <w:rPr>
          <w:lang w:val="en-US"/>
        </w:rPr>
        <w:t>FOCHT, W.; BELL, D. V. J. Why education for sustainable human and environmental systems? In: Routledge Handbook of Sustainability Curriculum. 2018. p. 3-18.</w:t>
      </w:r>
    </w:p>
    <w:p w14:paraId="00000041" w14:textId="77777777" w:rsidR="00D76EDF" w:rsidRPr="002E1B1E" w:rsidRDefault="0025095D">
      <w:pPr>
        <w:spacing w:before="120" w:after="160" w:line="276" w:lineRule="auto"/>
        <w:rPr>
          <w:lang w:val="en-US"/>
        </w:rPr>
      </w:pPr>
      <w:r w:rsidRPr="002E1B1E">
        <w:rPr>
          <w:lang w:val="en-US"/>
        </w:rPr>
        <w:t>BRUNDIERS, K.; WIEK, A.; REDMAN, C. L. Real-World Learning Opportunities in Sustainability Curricula. International Journal of Sustainability in Higher Education, v. 11, n. 4, p. 308-324, 2010.</w:t>
      </w:r>
    </w:p>
    <w:sectPr w:rsidR="00D76EDF" w:rsidRPr="002E1B1E">
      <w:pgSz w:w="11906" w:h="16838"/>
      <w:pgMar w:top="1120" w:right="1120" w:bottom="1120" w:left="1120" w:header="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I LEANDRO MORSCH FRANCO" w:date="2026-09-30T01:34:00Z" w:initials="">
    <w:p w14:paraId="00000042" w14:textId="77777777" w:rsidR="00D76EDF" w:rsidRDefault="002E1B1E">
      <w:pPr>
        <w:widowControl w:val="0"/>
        <w:pBdr>
          <w:top w:val="nil"/>
          <w:left w:val="nil"/>
          <w:bottom w:val="nil"/>
          <w:right w:val="nil"/>
          <w:between w:val="nil"/>
        </w:pBdr>
        <w:rPr>
          <w:rFonts w:ascii="Arial" w:eastAsia="Arial" w:hAnsi="Arial" w:cs="Arial"/>
          <w:color w:val="000000"/>
        </w:rPr>
      </w:pPr>
      <w:r>
        <w:rPr>
          <w:rStyle w:val="Refdecomentrio"/>
        </w:rPr>
        <w:annotationRef/>
      </w:r>
      <w:r w:rsidR="0025095D">
        <w:rPr>
          <w:rFonts w:ascii="Arial" w:eastAsia="Arial" w:hAnsi="Arial" w:cs="Arial"/>
          <w:color w:val="000000"/>
        </w:rPr>
        <w:t>adicionar DOI dos artigos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42" w16cid:durableId="000000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charset w:val="00"/>
    <w:family w:val="auto"/>
    <w:pitch w:val="default"/>
    <w:embedRegular r:id="rId1" w:fontKey="{DD5B445D-FB43-4142-A028-4344FE8E833E}"/>
    <w:embedBold r:id="rId2" w:fontKey="{84E7CF1E-169C-4B47-AA86-F87156C9BDF3}"/>
    <w:embedItalic r:id="rId3" w:fontKey="{7F6D5652-E177-4ABF-B0C3-0212E072DBAC}"/>
    <w:embedBoldItalic r:id="rId4" w:fontKey="{459703CA-F8C1-4596-8F0C-37CD063BD28D}"/>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FreeSans">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embedRegular r:id="rId5" w:fontKey="{EE2AC973-0FD2-4597-ABEA-0709105D6B0E}"/>
    <w:embedBold r:id="rId6" w:fontKey="{B04E82B3-770F-4720-A0F7-6765047B9E5D}"/>
  </w:font>
  <w:font w:name="Georgia">
    <w:panose1 w:val="02040502050405020303"/>
    <w:charset w:val="00"/>
    <w:family w:val="roman"/>
    <w:pitch w:val="variable"/>
    <w:sig w:usb0="00000287" w:usb1="00000000" w:usb2="00000000" w:usb3="00000000" w:csb0="0000009F" w:csb1="00000000"/>
    <w:embedItalic r:id="rId7" w:fontKey="{8F5081CD-1D94-45F9-83B9-5CCE1CB68797}"/>
  </w:font>
  <w:font w:name="Arial Unicode MS">
    <w:panose1 w:val="020B0604020202020204"/>
    <w:charset w:val="80"/>
    <w:family w:val="swiss"/>
    <w:pitch w:val="variable"/>
    <w:sig w:usb0="F7FFAEFF" w:usb1="F9DFFFFF" w:usb2="0000007F" w:usb3="00000000" w:csb0="003F01FF" w:csb1="00000000"/>
    <w:embedRegular r:id="rId8" w:subsetted="1" w:fontKey="{DC46EC43-460E-44CE-A4C1-91171E6F679B}"/>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EDF"/>
    <w:rsid w:val="0025095D"/>
    <w:rsid w:val="002E1B1E"/>
    <w:rsid w:val="00AE11CE"/>
    <w:rsid w:val="00D76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4A2626-CA67-4567-833A-4DDABC31D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2"/>
        <w:szCs w:val="22"/>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480" w:after="240"/>
      <w:outlineLvl w:val="0"/>
    </w:pPr>
    <w:rPr>
      <w:b/>
      <w:bCs/>
      <w:sz w:val="36"/>
      <w:szCs w:val="36"/>
    </w:rPr>
  </w:style>
  <w:style w:type="paragraph" w:styleId="Ttulo2">
    <w:name w:val="heading 2"/>
    <w:basedOn w:val="Normal"/>
    <w:next w:val="Normal"/>
    <w:uiPriority w:val="9"/>
    <w:unhideWhenUsed/>
    <w:qFormat/>
    <w:pPr>
      <w:keepNext/>
      <w:spacing w:before="360" w:after="200"/>
      <w:outlineLvl w:val="1"/>
    </w:pPr>
    <w:rPr>
      <w:b/>
      <w:bCs/>
      <w:sz w:val="32"/>
      <w:szCs w:val="32"/>
    </w:rPr>
  </w:style>
  <w:style w:type="paragraph" w:styleId="Ttulo3">
    <w:name w:val="heading 3"/>
    <w:basedOn w:val="Normal"/>
    <w:next w:val="Normal"/>
    <w:uiPriority w:val="9"/>
    <w:unhideWhenUsed/>
    <w:qFormat/>
    <w:pPr>
      <w:keepNext/>
      <w:spacing w:before="280" w:after="160"/>
      <w:outlineLvl w:val="2"/>
    </w:pPr>
    <w:rPr>
      <w:b/>
      <w:bCs/>
      <w:sz w:val="28"/>
      <w:szCs w:val="28"/>
    </w:rPr>
  </w:style>
  <w:style w:type="paragraph" w:styleId="Ttulo4">
    <w:name w:val="heading 4"/>
    <w:basedOn w:val="Normal"/>
    <w:next w:val="Normal"/>
    <w:uiPriority w:val="9"/>
    <w:semiHidden/>
    <w:unhideWhenUsed/>
    <w:qFormat/>
    <w:pPr>
      <w:keepNext/>
      <w:spacing w:before="240" w:after="120"/>
      <w:outlineLvl w:val="3"/>
    </w:pPr>
    <w:rPr>
      <w:b/>
      <w:bCs/>
      <w:sz w:val="26"/>
      <w:szCs w:val="26"/>
    </w:rPr>
  </w:style>
  <w:style w:type="paragraph" w:styleId="Ttulo5">
    <w:name w:val="heading 5"/>
    <w:basedOn w:val="Normal"/>
    <w:next w:val="Normal"/>
    <w:uiPriority w:val="9"/>
    <w:semiHidden/>
    <w:unhideWhenUsed/>
    <w:qFormat/>
    <w:pPr>
      <w:keepNext/>
      <w:spacing w:before="200" w:after="120"/>
      <w:outlineLvl w:val="4"/>
    </w:pPr>
    <w:rPr>
      <w:b/>
      <w:bCs/>
      <w:sz w:val="24"/>
      <w:szCs w:val="24"/>
    </w:rPr>
  </w:style>
  <w:style w:type="paragraph" w:styleId="Ttulo6">
    <w:name w:val="heading 6"/>
    <w:basedOn w:val="Normal"/>
    <w:next w:val="Normal"/>
    <w:uiPriority w:val="9"/>
    <w:semiHidden/>
    <w:unhideWhenUsed/>
    <w:qFormat/>
    <w:pPr>
      <w:keepNext/>
      <w:spacing w:before="200" w:after="120"/>
      <w:outlineLvl w:val="5"/>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Corpodetexto"/>
    <w:uiPriority w:val="10"/>
    <w:qFormat/>
    <w:pPr>
      <w:keepNext/>
      <w:spacing w:before="240" w:after="120"/>
    </w:pPr>
    <w:rPr>
      <w:rFonts w:ascii="Liberation Sans" w:eastAsia="Noto Sans CJK SC" w:hAnsi="Liberation Sans" w:cs="FreeSans"/>
      <w:sz w:val="28"/>
      <w:szCs w:val="28"/>
    </w:rPr>
  </w:style>
  <w:style w:type="character" w:styleId="Hyperlink">
    <w:name w:val="Hyperlink"/>
    <w:uiPriority w:val="99"/>
    <w:unhideWhenUsed/>
    <w:rPr>
      <w:color w:val="0563C1"/>
      <w:u w:val="single"/>
    </w:rPr>
  </w:style>
  <w:style w:type="character" w:customStyle="1" w:styleId="Caracteresdenotaderodap">
    <w:name w:val="Caracteres de nota de rodapé"/>
    <w:uiPriority w:val="99"/>
    <w:semiHidden/>
    <w:unhideWhenUsed/>
    <w:qFormat/>
    <w:rPr>
      <w:vertAlign w:val="superscript"/>
    </w:rPr>
  </w:style>
  <w:style w:type="character" w:styleId="Refdenotaderodap">
    <w:name w:val="footnote reference"/>
    <w:rPr>
      <w:vertAlign w:val="superscript"/>
    </w:rPr>
  </w:style>
  <w:style w:type="character" w:customStyle="1" w:styleId="TextodenotaderodapChar">
    <w:name w:val="Texto de nota de rodapé Char"/>
    <w:link w:val="Textodenotaderodap"/>
    <w:uiPriority w:val="99"/>
    <w:semiHidden/>
    <w:unhideWhenUsed/>
    <w:qFormat/>
    <w:rPr>
      <w:sz w:val="20"/>
      <w:szCs w:val="20"/>
    </w:rPr>
  </w:style>
  <w:style w:type="paragraph" w:styleId="Corpodetexto">
    <w:name w:val="Body Text"/>
    <w:basedOn w:val="Normal"/>
    <w:pPr>
      <w:spacing w:after="140" w:line="276" w:lineRule="auto"/>
    </w:pPr>
  </w:style>
  <w:style w:type="paragraph" w:styleId="Lista">
    <w:name w:val="List"/>
    <w:basedOn w:val="Corpodetexto"/>
    <w:rPr>
      <w:rFonts w:cs="FreeSans"/>
    </w:rPr>
  </w:style>
  <w:style w:type="paragraph" w:styleId="Legenda">
    <w:name w:val="caption"/>
    <w:basedOn w:val="Normal"/>
    <w:qFormat/>
    <w:pPr>
      <w:suppressLineNumbers/>
      <w:spacing w:before="120" w:after="120"/>
    </w:pPr>
    <w:rPr>
      <w:rFonts w:cs="FreeSans"/>
      <w:i/>
      <w:iCs/>
      <w:sz w:val="24"/>
      <w:szCs w:val="24"/>
    </w:rPr>
  </w:style>
  <w:style w:type="paragraph" w:customStyle="1" w:styleId="ndice">
    <w:name w:val="Índice"/>
    <w:basedOn w:val="Normal"/>
    <w:qFormat/>
    <w:pPr>
      <w:suppressLineNumbers/>
    </w:pPr>
    <w:rPr>
      <w:rFonts w:cs="FreeSans"/>
    </w:rPr>
  </w:style>
  <w:style w:type="paragraph" w:customStyle="1" w:styleId="StrongEmphasis">
    <w:name w:val="Strong Emphasis"/>
    <w:qFormat/>
    <w:rPr>
      <w:rFonts w:ascii="Helvetica" w:eastAsia="Helvetica" w:hAnsi="Helvetica" w:cs="Helvetica"/>
      <w:b/>
      <w:bCs/>
      <w:lang w:eastAsia="zh-CN" w:bidi="hi-IN"/>
    </w:rPr>
  </w:style>
  <w:style w:type="paragraph" w:styleId="PargrafodaLista">
    <w:name w:val="List Paragraph"/>
    <w:qFormat/>
    <w:rPr>
      <w:rFonts w:ascii="Helvetica" w:eastAsia="Helvetica" w:hAnsi="Helvetica" w:cs="Helvetica"/>
      <w:lang w:eastAsia="zh-CN" w:bidi="hi-IN"/>
    </w:rPr>
  </w:style>
  <w:style w:type="paragraph" w:styleId="Textodenotaderodap">
    <w:name w:val="footnote text"/>
    <w:basedOn w:val="Normal"/>
    <w:link w:val="TextodenotaderodapChar"/>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PVDOn+lNvwaNe2NVA7ZbZiBQ==">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2631</Words>
  <Characters>14998</Characters>
  <Application>Microsoft Office Word</Application>
  <DocSecurity>0</DocSecurity>
  <Lines>124</Lines>
  <Paragraphs>35</Paragraphs>
  <ScaleCrop>false</ScaleCrop>
  <Company/>
  <LinksUpToDate>false</LinksUpToDate>
  <CharactersWithSpaces>17594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Andrei Franco</cp:lastModifiedBy>
  <cp:revision>2</cp:revision>
  <dcterms:created xsi:type="dcterms:W3CDTF">2026-10-07T13:56:00Z</dcterms:created>
  <dcterms:modified xsi:type="dcterms:W3CDTF">2026-10-07T13:56:00Z</dcterms:modified>
</cp:coreProperties>
</file>