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44CA" w14:textId="65ADE50E" w:rsidR="00047E5A" w:rsidRPr="002F428D" w:rsidRDefault="00047E5A" w:rsidP="00EB7D4E">
      <w:pPr>
        <w:bidi w:val="0"/>
        <w:spacing w:line="240" w:lineRule="auto"/>
        <w:rPr>
          <w:rFonts w:asciiTheme="majorBidi" w:hAnsiTheme="majorBidi" w:cstheme="majorBidi"/>
          <w:b/>
          <w:bCs/>
          <w:sz w:val="32"/>
          <w:szCs w:val="32"/>
        </w:rPr>
      </w:pPr>
      <w:r w:rsidRPr="002F428D">
        <w:rPr>
          <w:rFonts w:asciiTheme="majorBidi" w:hAnsiTheme="majorBidi" w:cstheme="majorBidi"/>
          <w:b/>
          <w:bCs/>
          <w:sz w:val="32"/>
          <w:szCs w:val="32"/>
        </w:rPr>
        <w:t>A Causal Data Science Framework for Educational Displacement Under Extreme Resource Scarcity: Simulation-Based Evidence from Gaza (2023–2026)</w:t>
      </w:r>
    </w:p>
    <w:p w14:paraId="4E89C895" w14:textId="77777777" w:rsidR="00047E5A" w:rsidRPr="00047E5A" w:rsidRDefault="00047E5A" w:rsidP="00047E5A">
      <w:pPr>
        <w:bidi w:val="0"/>
        <w:spacing w:line="360" w:lineRule="auto"/>
        <w:rPr>
          <w:rFonts w:asciiTheme="majorBidi" w:hAnsiTheme="majorBidi" w:cstheme="majorBidi"/>
        </w:rPr>
      </w:pPr>
    </w:p>
    <w:p w14:paraId="16E0D5BF"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 xml:space="preserve">Author: Morsi Abdalla Shaban  </w:t>
      </w:r>
    </w:p>
    <w:p w14:paraId="4A74BD27" w14:textId="75A8F88D" w:rsidR="00047E5A" w:rsidRDefault="00047E5A" w:rsidP="00047E5A">
      <w:pPr>
        <w:bidi w:val="0"/>
        <w:spacing w:line="360" w:lineRule="auto"/>
        <w:rPr>
          <w:rFonts w:asciiTheme="majorBidi" w:hAnsiTheme="majorBidi" w:cstheme="majorBidi"/>
        </w:rPr>
      </w:pPr>
      <w:r w:rsidRPr="00047E5A">
        <w:rPr>
          <w:rFonts w:asciiTheme="majorBidi" w:hAnsiTheme="majorBidi" w:cstheme="majorBidi"/>
        </w:rPr>
        <w:t>Independent Researcher, Palestine</w:t>
      </w:r>
      <w:r w:rsidR="00EC3F73">
        <w:rPr>
          <w:rFonts w:asciiTheme="majorBidi" w:hAnsiTheme="majorBidi" w:cstheme="majorBidi"/>
        </w:rPr>
        <w:t xml:space="preserve"> -</w:t>
      </w:r>
      <w:r w:rsidR="00522956">
        <w:rPr>
          <w:rFonts w:asciiTheme="majorBidi" w:hAnsiTheme="majorBidi" w:cstheme="majorBidi"/>
        </w:rPr>
        <w:t xml:space="preserve"> Gaza </w:t>
      </w:r>
    </w:p>
    <w:p w14:paraId="2E1F3FFC" w14:textId="77777777" w:rsidR="00EC3F73" w:rsidRPr="001A5E28" w:rsidRDefault="00EC3F73" w:rsidP="007707FA">
      <w:pPr>
        <w:pStyle w:val="aa"/>
        <w:spacing w:after="240" w:line="360" w:lineRule="auto"/>
      </w:pPr>
      <w:r w:rsidRPr="001A5E28">
        <w:t>Your ORCID iD: 0009-0006-2033-7972</w:t>
      </w:r>
    </w:p>
    <w:p w14:paraId="7B8966EB"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 xml:space="preserve">Email: morsishaban6@gmail.com  </w:t>
      </w:r>
    </w:p>
    <w:p w14:paraId="613E38D5" w14:textId="77777777" w:rsidR="00047E5A" w:rsidRPr="00047E5A" w:rsidRDefault="00047E5A" w:rsidP="00047E5A">
      <w:pPr>
        <w:bidi w:val="0"/>
        <w:spacing w:line="360" w:lineRule="auto"/>
        <w:rPr>
          <w:rFonts w:asciiTheme="majorBidi" w:hAnsiTheme="majorBidi" w:cstheme="majorBidi"/>
        </w:rPr>
      </w:pPr>
    </w:p>
    <w:p w14:paraId="0DF8F452" w14:textId="2E8CD71C" w:rsidR="00781100" w:rsidRPr="000736CD" w:rsidRDefault="00047E5A" w:rsidP="000736CD">
      <w:pPr>
        <w:bidi w:val="0"/>
        <w:spacing w:line="360" w:lineRule="auto"/>
        <w:rPr>
          <w:rFonts w:asciiTheme="majorBidi" w:hAnsiTheme="majorBidi" w:cstheme="majorBidi"/>
          <w:b/>
          <w:bCs/>
          <w:sz w:val="28"/>
          <w:szCs w:val="28"/>
        </w:rPr>
      </w:pPr>
      <w:r w:rsidRPr="002F428D">
        <w:rPr>
          <w:rFonts w:asciiTheme="majorBidi" w:hAnsiTheme="majorBidi" w:cstheme="majorBidi"/>
          <w:b/>
          <w:bCs/>
          <w:sz w:val="28"/>
          <w:szCs w:val="28"/>
        </w:rPr>
        <w:t>Abstract</w:t>
      </w:r>
    </w:p>
    <w:p w14:paraId="4A7E1A8B" w14:textId="78E5673D" w:rsidR="00781100" w:rsidRPr="00F57BDF" w:rsidRDefault="00781100" w:rsidP="00F57BDF">
      <w:pPr>
        <w:bidi w:val="0"/>
        <w:spacing w:line="360" w:lineRule="auto"/>
        <w:rPr>
          <w:rFonts w:asciiTheme="majorBidi" w:hAnsiTheme="majorBidi" w:cstheme="majorBidi"/>
        </w:rPr>
      </w:pPr>
      <w:r w:rsidRPr="00781100">
        <w:rPr>
          <w:rFonts w:asciiTheme="majorBidi" w:hAnsiTheme="majorBidi" w:cstheme="majorBidi"/>
        </w:rPr>
        <w:t>Educational disruption in conflict-affected regions is often quantified through descriptive statistics, yet rarely analysed through causal lenses that account for the sequential nature of household decisions under survival constraints. This study introduces a causal data science framework that combines causal inference with machine learning to estimate the causal effect of resource-based interventions on school attendance in closed-system scarcity environments. Using secondary data from United Nations agencies, the World Bank, and peer-reviewed literature (2023–2026), we construct a synthetic population that replicates the demographic, nutritional, and water-access conditions of the Gaza Strip. The framework estimates heterogeneous treatment effects through a two-stage procedure: first, inverse probability weighting adjusts for observed confounders; second, double machine learning with gradient boosting and causal forests captures non-linear interactions and effect heterogeneity. Policy implications are derived from optimal policy trees that partition households into subgroups with distinct intervention recommendations. Results indicate that decentralised water access increases attendance by an average of 32.1 percentage points, with gains reaching 38–45 percentage points among households initially spending more than five hours on daily survival labour. Nutritional supplementation alone yields a smaller but significant average gain of 11.3 percentage points, primarily through cognitive recovery. Critically, the two interventions are complementary: a formal interaction analysis reveals a synergistic effect of 12.4 percentage points</w:t>
      </w:r>
      <w:r w:rsidRPr="000736CD">
        <w:rPr>
          <w:rFonts w:asciiTheme="majorBidi" w:hAnsiTheme="majorBidi" w:cstheme="majorBidi"/>
          <w:i/>
          <w:iCs/>
        </w:rPr>
        <w:t xml:space="preserve"> (</w:t>
      </w:r>
      <w:r w:rsidR="00F57BDF" w:rsidRPr="000736CD">
        <w:rPr>
          <w:rFonts w:asciiTheme="majorBidi" w:hAnsiTheme="majorBidi" w:cstheme="majorBidi"/>
          <w:i/>
          <w:iCs/>
        </w:rPr>
        <w:t xml:space="preserve"> </w:t>
      </w:r>
      <w:r w:rsidRPr="000736CD">
        <w:rPr>
          <w:rFonts w:asciiTheme="majorBidi" w:hAnsiTheme="majorBidi" w:cstheme="majorBidi"/>
          <w:i/>
          <w:iCs/>
        </w:rPr>
        <w:t>p</w:t>
      </w:r>
      <w:r w:rsidR="00F57BDF" w:rsidRPr="000736CD">
        <w:rPr>
          <w:rFonts w:asciiTheme="majorBidi" w:hAnsiTheme="majorBidi" w:cstheme="majorBidi"/>
          <w:i/>
          <w:iCs/>
        </w:rPr>
        <w:t xml:space="preserve"> </w:t>
      </w:r>
      <w:r w:rsidRPr="000736CD">
        <w:rPr>
          <w:rFonts w:asciiTheme="majorBidi" w:hAnsiTheme="majorBidi" w:cstheme="majorBidi"/>
          <w:i/>
          <w:iCs/>
        </w:rPr>
        <w:t>&lt; 0.001)</w:t>
      </w:r>
      <w:r w:rsidRPr="00781100">
        <w:rPr>
          <w:rFonts w:asciiTheme="majorBidi" w:hAnsiTheme="majorBidi" w:cstheme="majorBidi"/>
        </w:rPr>
        <w:t>, such that combined water–nutrition packages generate substantially larger gains than either intervention alone. Policy trees recommend water interventions for high‑labour households and combined water–nutrition packages for those with elevated physiological penalty scores. All causal estimates pass refutation tests (random common cause, placebo treatment, data subset), confirming robustness. By relying exclusively on secondary data and simulation, the framework operates without requiring primary data collection or direct human subject involvement, thereby avoiding the logistical and institutional review complexities of fieldwork in active conflict zones. The methodology is readily transferable to other humanitarian settings where secondary data are available.</w:t>
      </w:r>
    </w:p>
    <w:p w14:paraId="175C50DD" w14:textId="3375D521" w:rsidR="008851F7" w:rsidRPr="008851F7" w:rsidRDefault="008851F7" w:rsidP="00781100">
      <w:pPr>
        <w:bidi w:val="0"/>
        <w:spacing w:line="360" w:lineRule="auto"/>
        <w:rPr>
          <w:rFonts w:asciiTheme="majorBidi" w:hAnsiTheme="majorBidi" w:cstheme="majorBidi"/>
        </w:rPr>
      </w:pPr>
      <w:r w:rsidRPr="00E55C8B">
        <w:rPr>
          <w:rFonts w:asciiTheme="majorBidi" w:hAnsiTheme="majorBidi" w:cstheme="majorBidi"/>
          <w:b/>
          <w:bCs/>
          <w:i/>
          <w:iCs/>
        </w:rPr>
        <w:t>Keywords:</w:t>
      </w:r>
      <w:r w:rsidR="00E55C8B" w:rsidRPr="00E55C8B">
        <w:rPr>
          <w:rFonts w:asciiTheme="majorBidi" w:hAnsiTheme="majorBidi" w:cstheme="majorBidi" w:hint="cs"/>
          <w:b/>
          <w:bCs/>
          <w:i/>
          <w:iCs/>
        </w:rPr>
        <w:t xml:space="preserve"> </w:t>
      </w:r>
      <w:r w:rsidRPr="00E55C8B">
        <w:rPr>
          <w:rFonts w:asciiTheme="majorBidi" w:hAnsiTheme="majorBidi" w:cstheme="majorBidi"/>
          <w:i/>
          <w:iCs/>
        </w:rPr>
        <w:t xml:space="preserve"> Causal Machine Learning; Survival–Learning Trade-off; Heterogeneous Treatment Effects; Policy Learning; Gaza; Humanitarian Data Science</w:t>
      </w:r>
      <w:r w:rsidRPr="008851F7">
        <w:rPr>
          <w:rFonts w:asciiTheme="majorBidi" w:hAnsiTheme="majorBidi" w:cstheme="majorBidi"/>
        </w:rPr>
        <w:t>.</w:t>
      </w:r>
    </w:p>
    <w:p w14:paraId="29A90B0F" w14:textId="06207D8F" w:rsidR="00047E5A" w:rsidRPr="009E69BA" w:rsidRDefault="00047E5A" w:rsidP="00DE732E">
      <w:pPr>
        <w:bidi w:val="0"/>
        <w:spacing w:line="360" w:lineRule="auto"/>
        <w:rPr>
          <w:rFonts w:asciiTheme="majorBidi" w:hAnsiTheme="majorBidi" w:cstheme="majorBidi"/>
          <w:rtl/>
        </w:rPr>
      </w:pPr>
      <w:r w:rsidRPr="00EF2EEC">
        <w:rPr>
          <w:rFonts w:asciiTheme="majorBidi" w:hAnsiTheme="majorBidi" w:cstheme="majorBidi"/>
          <w:i/>
          <w:iCs/>
        </w:rPr>
        <w:t xml:space="preserve">  </w:t>
      </w:r>
    </w:p>
    <w:p w14:paraId="144D63E1" w14:textId="77777777" w:rsidR="00EF2EEC" w:rsidRPr="00047E5A" w:rsidRDefault="00EF2EEC" w:rsidP="00EF2EEC">
      <w:pPr>
        <w:bidi w:val="0"/>
        <w:spacing w:line="360" w:lineRule="auto"/>
        <w:rPr>
          <w:rFonts w:asciiTheme="majorBidi" w:hAnsiTheme="majorBidi" w:cstheme="majorBidi"/>
        </w:rPr>
      </w:pPr>
    </w:p>
    <w:p w14:paraId="61E3FCEE" w14:textId="20E28BF8" w:rsidR="00047E5A" w:rsidRPr="001B7A0D" w:rsidRDefault="00047E5A" w:rsidP="001B7A0D">
      <w:pPr>
        <w:bidi w:val="0"/>
        <w:spacing w:line="360" w:lineRule="auto"/>
        <w:rPr>
          <w:rFonts w:asciiTheme="majorBidi" w:hAnsiTheme="majorBidi" w:cstheme="majorBidi"/>
          <w:b/>
          <w:bCs/>
          <w:sz w:val="28"/>
          <w:szCs w:val="28"/>
        </w:rPr>
      </w:pPr>
      <w:r w:rsidRPr="001B7A0D">
        <w:rPr>
          <w:rFonts w:asciiTheme="majorBidi" w:hAnsiTheme="majorBidi" w:cstheme="majorBidi"/>
          <w:b/>
          <w:bCs/>
          <w:sz w:val="28"/>
          <w:szCs w:val="28"/>
        </w:rPr>
        <w:t>1. Introduction</w:t>
      </w:r>
    </w:p>
    <w:p w14:paraId="64F1F6E1" w14:textId="041BE1CA" w:rsidR="00047E5A" w:rsidRPr="00047E5A" w:rsidRDefault="00047E5A" w:rsidP="001B7A0D">
      <w:pPr>
        <w:bidi w:val="0"/>
        <w:spacing w:line="360" w:lineRule="auto"/>
        <w:rPr>
          <w:rFonts w:asciiTheme="majorBidi" w:hAnsiTheme="majorBidi" w:cstheme="majorBidi"/>
        </w:rPr>
      </w:pPr>
      <w:r w:rsidRPr="00047E5A">
        <w:rPr>
          <w:rFonts w:asciiTheme="majorBidi" w:hAnsiTheme="majorBidi" w:cstheme="majorBidi"/>
        </w:rPr>
        <w:t>The disruption of education in conflict zones has been extensively documented through institutional reports and observational studies, but most analyses remain correlational rather than causal [1,2]. In protracted crises such as the Gaza Strip (2023–2026), households face a binding trade-off: allocate scarce time and cognitive resources to immediate survival activities—water collection, fuel procurement, food seeking—or to the delayed, uncertain returns of education [3,4]. Traditional machine learning models can predict declines in attendance but cannot answer counterfactual questions such as “What would happen to school participation if a household’s water collection time were reduced by two hours?” [5]. Answering such questions requires causal inference methods that explicitly model the underlying mechanisms linking resource availability to educational outcomes.</w:t>
      </w:r>
    </w:p>
    <w:p w14:paraId="7D34368C" w14:textId="4C4533EC" w:rsidR="00047E5A" w:rsidRPr="00047E5A" w:rsidRDefault="00047E5A" w:rsidP="00967D6B">
      <w:pPr>
        <w:bidi w:val="0"/>
        <w:spacing w:line="360" w:lineRule="auto"/>
        <w:rPr>
          <w:rFonts w:asciiTheme="majorBidi" w:hAnsiTheme="majorBidi" w:cstheme="majorBidi"/>
        </w:rPr>
      </w:pPr>
      <w:r w:rsidRPr="00047E5A">
        <w:rPr>
          <w:rFonts w:asciiTheme="majorBidi" w:hAnsiTheme="majorBidi" w:cstheme="majorBidi"/>
        </w:rPr>
        <w:t>Recent advances in causal machine learning (causal ML) offer a way forward by combining the predictive power of ML with the formal rigour of causal reasoning [6]. In fields such as supply chain management, healthcare, and economics, causal ML has been used to estimate heterogeneous treatment effects and derive optimal decision rules [7,8,9,53,54,55]. However, its application to education in humanitarian settings remains nascent.</w:t>
      </w:r>
      <w:r w:rsidR="00967D6B" w:rsidRPr="00967D6B">
        <w:rPr>
          <w:rFonts w:asciiTheme="majorBidi" w:hAnsiTheme="majorBidi" w:cstheme="majorBidi"/>
        </w:rPr>
        <w:t xml:space="preserve"> This study addresses this gap by developing a causal data science framework tailored to conflict-driven educational constraints.</w:t>
      </w:r>
      <w:r w:rsidR="00967D6B">
        <w:rPr>
          <w:rFonts w:asciiTheme="majorBidi" w:hAnsiTheme="majorBidi" w:cstheme="majorBidi" w:hint="cs"/>
        </w:rPr>
        <w:t xml:space="preserve"> </w:t>
      </w:r>
      <w:r w:rsidRPr="00047E5A">
        <w:rPr>
          <w:rFonts w:asciiTheme="majorBidi" w:hAnsiTheme="majorBidi" w:cstheme="majorBidi"/>
        </w:rPr>
        <w:t>The framework proceeds in three interconnected steps. First, we construct a directed acyclic graph (DAG) based on domain knowledge and secondary literature to identify plausible causal pathways from survival constraints to educational outcomes [53]. Second, we use inverse probability weighting (IPW) and double machine learning (DoubleML) to estimate both average and heterogeneous treatment effects for two candidate interventions: decentralised water access (which reduces survival labour time) and nutritional supplementation (which mitigates cognitive penalties). Third, we apply policy learning algorithms to translate heterogeneous effect estimates into simple, interpretable decision trees that recommend which households should receive which interventions.</w:t>
      </w:r>
    </w:p>
    <w:p w14:paraId="261E25A2" w14:textId="7F973CF8" w:rsidR="00047E5A" w:rsidRPr="00047E5A" w:rsidRDefault="00047E5A" w:rsidP="001B7A0D">
      <w:pPr>
        <w:bidi w:val="0"/>
        <w:spacing w:line="360" w:lineRule="auto"/>
        <w:rPr>
          <w:rFonts w:asciiTheme="majorBidi" w:hAnsiTheme="majorBidi" w:cstheme="majorBidi"/>
        </w:rPr>
      </w:pPr>
      <w:r w:rsidRPr="00047E5A">
        <w:rPr>
          <w:rFonts w:asciiTheme="majorBidi" w:hAnsiTheme="majorBidi" w:cstheme="majorBidi"/>
        </w:rPr>
        <w:t>All parameters are calibrated from publicly available secondary sources (UN OCHA, UNICEF, UNESCO, World Bank, WHO, FAO, UNRWA, and peer-reviewed studies 2023–2026). A synthetic population of 10,000 households is simulated to reflect the demographic and resource-scarcity conditions documented for Gaza during the conflict period. By design, the study does not involve primary data collection from human subjects, thereby avoiding the ethical and logistical complexities of fieldwork in active conflict zones.</w:t>
      </w:r>
    </w:p>
    <w:p w14:paraId="405253A9" w14:textId="5AE0DD50" w:rsidR="00047E5A" w:rsidRPr="00047E5A" w:rsidRDefault="00047E5A" w:rsidP="001B7A0D">
      <w:pPr>
        <w:bidi w:val="0"/>
        <w:spacing w:line="360" w:lineRule="auto"/>
        <w:rPr>
          <w:rFonts w:asciiTheme="majorBidi" w:hAnsiTheme="majorBidi" w:cstheme="majorBidi"/>
        </w:rPr>
      </w:pPr>
      <w:r w:rsidRPr="00047E5A">
        <w:rPr>
          <w:rFonts w:asciiTheme="majorBidi" w:hAnsiTheme="majorBidi" w:cstheme="majorBidi"/>
        </w:rPr>
        <w:t>The main contributions are: (1) a novel application of causal ML to the survival–learning tradeoff; (2) empirical evidence from secondary data that the causal effect of water access on attendance is strongly heterogeneous, with the largest gains concentrated among households already facing extreme time poverty; (3) a set of policy trees that provide actionable, subgroup-specific intervention recommendations; (4) a methodological blueprint for independent researchers to conduct rigorous policy analysis without primary data collection.</w:t>
      </w:r>
    </w:p>
    <w:p w14:paraId="68F62CE2" w14:textId="29AC87C2" w:rsidR="00047E5A" w:rsidRPr="00047E5A" w:rsidRDefault="00047E5A" w:rsidP="001B7A0D">
      <w:pPr>
        <w:bidi w:val="0"/>
        <w:spacing w:line="360" w:lineRule="auto"/>
        <w:rPr>
          <w:rFonts w:asciiTheme="majorBidi" w:hAnsiTheme="majorBidi" w:cstheme="majorBidi"/>
        </w:rPr>
      </w:pPr>
      <w:r w:rsidRPr="00047E5A">
        <w:rPr>
          <w:rFonts w:asciiTheme="majorBidi" w:hAnsiTheme="majorBidi" w:cstheme="majorBidi"/>
        </w:rPr>
        <w:t>The remainder of the paper is organised as follows. Section 2 reviews the relevant literature. Section 3 describes the causal framework and its mathematical underpinnings. Section 4 presents the simulation design and secondary data sources. Section 5 reports the results, including effect estimates, heterogeneity patterns, and policy trees. Section 6 discusses implications, limitations, and transferability. Section 7 concludes.</w:t>
      </w:r>
    </w:p>
    <w:p w14:paraId="4724C8D8" w14:textId="77777777" w:rsidR="00047E5A" w:rsidRPr="00047E5A" w:rsidRDefault="00047E5A" w:rsidP="00047E5A">
      <w:pPr>
        <w:bidi w:val="0"/>
        <w:spacing w:line="360" w:lineRule="auto"/>
        <w:rPr>
          <w:rFonts w:asciiTheme="majorBidi" w:hAnsiTheme="majorBidi" w:cstheme="majorBidi"/>
        </w:rPr>
      </w:pPr>
    </w:p>
    <w:p w14:paraId="4664534B" w14:textId="77777777" w:rsidR="00BA5559" w:rsidRDefault="00BA5559" w:rsidP="00047E5A">
      <w:pPr>
        <w:bidi w:val="0"/>
        <w:spacing w:line="360" w:lineRule="auto"/>
        <w:rPr>
          <w:rFonts w:asciiTheme="majorBidi" w:hAnsiTheme="majorBidi" w:cstheme="majorBidi"/>
          <w:b/>
          <w:bCs/>
          <w:sz w:val="28"/>
          <w:szCs w:val="28"/>
        </w:rPr>
      </w:pPr>
    </w:p>
    <w:p w14:paraId="46EAFED3" w14:textId="77777777" w:rsidR="00BA5559" w:rsidRDefault="00BA5559" w:rsidP="00BA5559">
      <w:pPr>
        <w:bidi w:val="0"/>
        <w:spacing w:line="360" w:lineRule="auto"/>
        <w:rPr>
          <w:rFonts w:asciiTheme="majorBidi" w:hAnsiTheme="majorBidi" w:cstheme="majorBidi"/>
          <w:b/>
          <w:bCs/>
          <w:sz w:val="28"/>
          <w:szCs w:val="28"/>
        </w:rPr>
      </w:pPr>
    </w:p>
    <w:p w14:paraId="3F83D773" w14:textId="77777777" w:rsidR="00BA5559" w:rsidRDefault="00BA5559" w:rsidP="00BA5559">
      <w:pPr>
        <w:bidi w:val="0"/>
        <w:spacing w:line="360" w:lineRule="auto"/>
        <w:rPr>
          <w:rFonts w:asciiTheme="majorBidi" w:hAnsiTheme="majorBidi" w:cstheme="majorBidi"/>
          <w:b/>
          <w:bCs/>
          <w:sz w:val="28"/>
          <w:szCs w:val="28"/>
        </w:rPr>
      </w:pPr>
    </w:p>
    <w:p w14:paraId="6939F223" w14:textId="403EAD1C" w:rsidR="00047E5A" w:rsidRPr="001B7A0D" w:rsidRDefault="00047E5A" w:rsidP="00BA5559">
      <w:pPr>
        <w:bidi w:val="0"/>
        <w:spacing w:line="360" w:lineRule="auto"/>
        <w:rPr>
          <w:rFonts w:asciiTheme="majorBidi" w:hAnsiTheme="majorBidi" w:cstheme="majorBidi"/>
          <w:b/>
          <w:bCs/>
          <w:sz w:val="28"/>
          <w:szCs w:val="28"/>
        </w:rPr>
      </w:pPr>
      <w:r w:rsidRPr="001B7A0D">
        <w:rPr>
          <w:rFonts w:asciiTheme="majorBidi" w:hAnsiTheme="majorBidi" w:cstheme="majorBidi"/>
          <w:b/>
          <w:bCs/>
          <w:sz w:val="28"/>
          <w:szCs w:val="28"/>
        </w:rPr>
        <w:t>2. Literature Review</w:t>
      </w:r>
    </w:p>
    <w:p w14:paraId="419BE57A" w14:textId="5E108417" w:rsidR="00047E5A" w:rsidRPr="001B7A0D" w:rsidRDefault="00047E5A" w:rsidP="001B7A0D">
      <w:pPr>
        <w:bidi w:val="0"/>
        <w:spacing w:line="360" w:lineRule="auto"/>
        <w:rPr>
          <w:rFonts w:asciiTheme="majorBidi" w:hAnsiTheme="majorBidi" w:cstheme="majorBidi"/>
          <w:b/>
          <w:bCs/>
        </w:rPr>
      </w:pPr>
      <w:r w:rsidRPr="001B7A0D">
        <w:rPr>
          <w:rFonts w:asciiTheme="majorBidi" w:hAnsiTheme="majorBidi" w:cstheme="majorBidi"/>
          <w:b/>
          <w:bCs/>
        </w:rPr>
        <w:t>2.1 Educational Disruption in Conflict Settings</w:t>
      </w:r>
    </w:p>
    <w:p w14:paraId="14BF51E3"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Education in emergencies has been studied through various lenses, including infrastructure damage, psychosocial trauma, and governance collapse [1,10]. In Gaza, the 2023–2026 blockade created a “closed-system scarcity” environment where the majority of households had less than five litres of water per capita per day and spent four to seven hours daily on basic survival tasks [3,11,28]. Attendance rates dropped from 94% pre-conflict to 38% during 2024–2025, while chronic dehydration and malnutrition imposed a 32% cognitive penalty on learning efficiency [12,13,29]. Similar patterns exist in Syria and Yemen, but Gaza’s geographic isolation and lack of resource porosity amplify the survival–learning tradeoff [14].</w:t>
      </w:r>
    </w:p>
    <w:p w14:paraId="0AB53FC5" w14:textId="77777777" w:rsidR="00047E5A" w:rsidRPr="00047E5A" w:rsidRDefault="00047E5A" w:rsidP="00047E5A">
      <w:pPr>
        <w:bidi w:val="0"/>
        <w:spacing w:line="360" w:lineRule="auto"/>
        <w:rPr>
          <w:rFonts w:asciiTheme="majorBidi" w:hAnsiTheme="majorBidi" w:cstheme="majorBidi"/>
        </w:rPr>
      </w:pPr>
    </w:p>
    <w:p w14:paraId="759B8FF3" w14:textId="6BC137F0" w:rsidR="00047E5A" w:rsidRPr="001B7A0D" w:rsidRDefault="00047E5A" w:rsidP="001B7A0D">
      <w:pPr>
        <w:bidi w:val="0"/>
        <w:spacing w:line="360" w:lineRule="auto"/>
        <w:rPr>
          <w:rFonts w:asciiTheme="majorBidi" w:hAnsiTheme="majorBidi" w:cstheme="majorBidi"/>
          <w:b/>
          <w:bCs/>
        </w:rPr>
      </w:pPr>
      <w:r w:rsidRPr="001B7A0D">
        <w:rPr>
          <w:rFonts w:asciiTheme="majorBidi" w:hAnsiTheme="majorBidi" w:cstheme="majorBidi"/>
          <w:b/>
          <w:bCs/>
        </w:rPr>
        <w:t>2.2 Behavioural Responses to Scarcity</w:t>
      </w:r>
    </w:p>
    <w:p w14:paraId="6BEE64E5" w14:textId="51779CE6"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 xml:space="preserve">Behavioural economics suggests that scarcity narrows cognitive bandwidth and shortens planning horizons, leading to a systematic devaluation of future rewards [15,16]. In the context of </w:t>
      </w:r>
      <w:r w:rsidR="000A559E" w:rsidRPr="00047E5A">
        <w:rPr>
          <w:rFonts w:asciiTheme="majorBidi" w:hAnsiTheme="majorBidi" w:cstheme="majorBidi"/>
        </w:rPr>
        <w:t>education</w:t>
      </w:r>
      <w:r w:rsidR="000A559E" w:rsidRPr="00E300EE">
        <w:rPr>
          <w:rFonts w:asciiTheme="majorBidi" w:hAnsiTheme="majorBidi" w:cstheme="majorBidi"/>
        </w:rPr>
        <w:t xml:space="preserve"> this</w:t>
      </w:r>
      <w:r w:rsidR="00E300EE" w:rsidRPr="00E300EE">
        <w:rPr>
          <w:rFonts w:asciiTheme="majorBidi" w:hAnsiTheme="majorBidi" w:cstheme="majorBidi"/>
        </w:rPr>
        <w:t xml:space="preserve"> behavior formalizes the mechanism through which scarcity reshapes intertemporal decision-making</w:t>
      </w:r>
      <w:r w:rsidR="000A559E">
        <w:rPr>
          <w:rFonts w:asciiTheme="majorBidi" w:hAnsiTheme="majorBidi" w:cstheme="majorBidi" w:hint="cs"/>
        </w:rPr>
        <w:t xml:space="preserve"> </w:t>
      </w:r>
      <w:r w:rsidRPr="00047E5A">
        <w:rPr>
          <w:rFonts w:asciiTheme="majorBidi" w:hAnsiTheme="majorBidi" w:cstheme="majorBidi"/>
        </w:rPr>
        <w:t xml:space="preserve"> [35,36]. Markov decision process models have been used to formalise this tradeoff, showing that when survival labour exceeds a threshold of approximately five hours per day, the educational system enters an “absorbing state” from which recovery is unlikely without external intervention [4,17,32]. However, such models typically assume homogeneous decision rules and do not account for heterogeneity in household characteristics that could guide targeted policy [37,38].</w:t>
      </w:r>
    </w:p>
    <w:p w14:paraId="33A19C8E" w14:textId="77777777" w:rsidR="00047E5A" w:rsidRPr="00EB6F4C" w:rsidRDefault="00047E5A" w:rsidP="00EB6F4C">
      <w:pPr>
        <w:bidi w:val="0"/>
        <w:spacing w:line="240" w:lineRule="auto"/>
        <w:rPr>
          <w:rFonts w:asciiTheme="majorBidi" w:hAnsiTheme="majorBidi" w:cstheme="majorBidi"/>
          <w:b/>
          <w:bCs/>
        </w:rPr>
      </w:pPr>
    </w:p>
    <w:p w14:paraId="41C40AF2" w14:textId="730E0FE2" w:rsidR="00047E5A" w:rsidRPr="00EB6F4C" w:rsidRDefault="00047E5A" w:rsidP="00EB6F4C">
      <w:pPr>
        <w:bidi w:val="0"/>
        <w:spacing w:line="240" w:lineRule="auto"/>
        <w:rPr>
          <w:rFonts w:asciiTheme="majorBidi" w:hAnsiTheme="majorBidi" w:cstheme="majorBidi"/>
          <w:b/>
          <w:bCs/>
        </w:rPr>
      </w:pPr>
      <w:r w:rsidRPr="00EB6F4C">
        <w:rPr>
          <w:rFonts w:asciiTheme="majorBidi" w:hAnsiTheme="majorBidi" w:cstheme="majorBidi"/>
          <w:b/>
          <w:bCs/>
        </w:rPr>
        <w:t>2.3 Causal Machine Learning in Humanitarian and Supply Chain Contexts</w:t>
      </w:r>
    </w:p>
    <w:p w14:paraId="18E4D08A" w14:textId="77777777" w:rsidR="00047E5A" w:rsidRPr="00047E5A" w:rsidRDefault="00047E5A" w:rsidP="004359C0">
      <w:pPr>
        <w:bidi w:val="0"/>
        <w:spacing w:line="360" w:lineRule="auto"/>
        <w:rPr>
          <w:rFonts w:asciiTheme="majorBidi" w:hAnsiTheme="majorBidi" w:cstheme="majorBidi"/>
        </w:rPr>
      </w:pPr>
      <w:r w:rsidRPr="00047E5A">
        <w:rPr>
          <w:rFonts w:asciiTheme="majorBidi" w:hAnsiTheme="majorBidi" w:cstheme="majorBidi"/>
        </w:rPr>
        <w:t>Causal ML has emerged as a powerful toolkit for estimating treatment effects in observational data [6,54,55]. Applications in supply chain management have demonstrated the ability to identify causal drivers of payment delays and optimise operational strategies using backdoor adjustment, DoubleML, and policy trees [7,8]. In healthcare, causal models have been used to evaluate drug efficacy and personalise treatment plans [18,19,39]. In humanitarian logistics, causal methods have been applied to assess the impact of aid delivery on health outcomes [20,45]. Despite these advances, the use of causal ML to evaluate educational interventions in conflict settings remains underexplored. This study aims to fill that gap by adapting established causal techniques to the survival–learning tradeoff.</w:t>
      </w:r>
    </w:p>
    <w:p w14:paraId="034CEFCB" w14:textId="245FACA7" w:rsidR="00047E5A" w:rsidRPr="00047E5A" w:rsidRDefault="00047E5A" w:rsidP="004359C0">
      <w:pPr>
        <w:bidi w:val="0"/>
        <w:spacing w:line="360" w:lineRule="auto"/>
        <w:rPr>
          <w:rFonts w:asciiTheme="majorBidi" w:hAnsiTheme="majorBidi" w:cstheme="majorBidi"/>
        </w:rPr>
      </w:pPr>
    </w:p>
    <w:p w14:paraId="0259D773" w14:textId="615F9CA1" w:rsidR="00047E5A" w:rsidRPr="009240E5" w:rsidRDefault="00047E5A" w:rsidP="004359C0">
      <w:pPr>
        <w:bidi w:val="0"/>
        <w:spacing w:line="360" w:lineRule="auto"/>
        <w:rPr>
          <w:rFonts w:asciiTheme="majorBidi" w:hAnsiTheme="majorBidi" w:cstheme="majorBidi"/>
          <w:b/>
          <w:bCs/>
          <w:sz w:val="28"/>
          <w:szCs w:val="28"/>
          <w:rtl/>
        </w:rPr>
      </w:pPr>
      <w:r w:rsidRPr="00EB6F4C">
        <w:rPr>
          <w:rFonts w:asciiTheme="majorBidi" w:hAnsiTheme="majorBidi" w:cstheme="majorBidi"/>
          <w:b/>
          <w:bCs/>
          <w:sz w:val="28"/>
          <w:szCs w:val="28"/>
        </w:rPr>
        <w:t>3. Causal Framework and Methodology</w:t>
      </w:r>
    </w:p>
    <w:p w14:paraId="27B3DA15" w14:textId="468A716C" w:rsidR="003B59E1" w:rsidRPr="00B75C0C" w:rsidRDefault="00966E0D" w:rsidP="004359C0">
      <w:pPr>
        <w:bidi w:val="0"/>
        <w:spacing w:line="360" w:lineRule="auto"/>
        <w:rPr>
          <w:rFonts w:asciiTheme="majorBidi" w:hAnsiTheme="majorBidi" w:cstheme="majorBidi"/>
          <w:b/>
          <w:bCs/>
        </w:rPr>
      </w:pPr>
      <w:r w:rsidRPr="009240E5">
        <w:rPr>
          <w:rFonts w:asciiTheme="majorBidi" w:hAnsiTheme="majorBidi" w:cstheme="majorBidi"/>
          <w:b/>
          <w:bCs/>
        </w:rPr>
        <w:t>3.1 Problem Definition and Causal Graph</w:t>
      </w:r>
    </w:p>
    <w:p w14:paraId="66672300" w14:textId="0B7B9488" w:rsidR="003B59E1" w:rsidRPr="003B59E1" w:rsidRDefault="003B59E1" w:rsidP="004359C0">
      <w:pPr>
        <w:bidi w:val="0"/>
        <w:spacing w:line="360" w:lineRule="auto"/>
        <w:rPr>
          <w:rFonts w:asciiTheme="majorBidi" w:hAnsiTheme="majorBidi" w:cstheme="majorBidi"/>
        </w:rPr>
      </w:pPr>
      <w:r w:rsidRPr="003B59E1">
        <w:rPr>
          <w:rFonts w:asciiTheme="majorBidi" w:hAnsiTheme="majorBidi" w:cstheme="majorBidi"/>
        </w:rPr>
        <w:t>We consider a population of households \\(i = 1,\\dots,N\\). For each household, we observe a set of pre-treatment covariates \\(X_i\\) (household size, displacement status, baseline water access, nutritional status, proximity to school, dependency ratio). The treatment variable \\(T_i\\) is binary: for the water intervention, \\(T_i=1\\) indicates that the household receives decentralised water access that reduces daily survival labour by two hours; for the nutrition intervention, \\(T_i=1\\) indicates receipt of micronutrient supplementation that reduces the cognitive penalty by 15 percentage points. The outcome \\(Y_i\\) is school attendance rate (0–100%).</w:t>
      </w:r>
    </w:p>
    <w:p w14:paraId="049F4314" w14:textId="22E72824" w:rsidR="003B59E1" w:rsidRPr="003B59E1" w:rsidRDefault="003B59E1" w:rsidP="004359C0">
      <w:pPr>
        <w:bidi w:val="0"/>
        <w:spacing w:line="360" w:lineRule="auto"/>
        <w:rPr>
          <w:rFonts w:asciiTheme="majorBidi" w:hAnsiTheme="majorBidi" w:cstheme="majorBidi"/>
        </w:rPr>
      </w:pPr>
      <w:r w:rsidRPr="003B59E1">
        <w:rPr>
          <w:rFonts w:asciiTheme="majorBidi" w:hAnsiTheme="majorBidi" w:cstheme="majorBidi"/>
        </w:rPr>
        <w:t>The identification strategy relies on the conditional ignorability assumption given observed covariates, supported by domain‑informed graph specification and the exclusion of unmeasured common causes that would violate the backdoor criterion [53,54].</w:t>
      </w:r>
    </w:p>
    <w:p w14:paraId="78CAEC62" w14:textId="18FBB5D6" w:rsidR="003B59E1" w:rsidRDefault="003B59E1" w:rsidP="004359C0">
      <w:pPr>
        <w:bidi w:val="0"/>
        <w:spacing w:line="360" w:lineRule="auto"/>
        <w:rPr>
          <w:rFonts w:asciiTheme="majorBidi" w:hAnsiTheme="majorBidi" w:cstheme="majorBidi"/>
        </w:rPr>
      </w:pPr>
      <w:r w:rsidRPr="003B59E1">
        <w:rPr>
          <w:rFonts w:asciiTheme="majorBidi" w:hAnsiTheme="majorBidi" w:cstheme="majorBidi"/>
        </w:rPr>
        <w:t xml:space="preserve">The causal graph (Figure 1) is built from domain knowledge and secondary literature [3,12,17,53]. It posits that water access affects attendance through two channels: directly by freeing time for school, and indirectly by improving hydration and cognitive function. Nutrition affects attendance </w:t>
      </w:r>
      <w:r w:rsidR="00B75C0C">
        <w:rPr>
          <w:rFonts w:asciiTheme="majorBidi" w:hAnsiTheme="majorBidi" w:cstheme="majorBidi"/>
        </w:rPr>
        <w:t xml:space="preserve"> </w:t>
      </w:r>
      <w:r w:rsidRPr="003B59E1">
        <w:rPr>
          <w:rFonts w:asciiTheme="majorBidi" w:hAnsiTheme="majorBidi" w:cstheme="majorBidi"/>
        </w:rPr>
        <w:t>primarily</w:t>
      </w:r>
      <w:r w:rsidR="00B75C0C">
        <w:rPr>
          <w:rFonts w:asciiTheme="majorBidi" w:hAnsiTheme="majorBidi" w:cstheme="majorBidi"/>
        </w:rPr>
        <w:t xml:space="preserve"> </w:t>
      </w:r>
      <w:r w:rsidRPr="003B59E1">
        <w:rPr>
          <w:rFonts w:asciiTheme="majorBidi" w:hAnsiTheme="majorBidi" w:cstheme="majorBidi"/>
        </w:rPr>
        <w:t xml:space="preserve"> through cognitive recovery. Confounders such as household size and displacement status influence both treatment assignment (because aid targeting may be correlated with these factors) and the outcome</w:t>
      </w:r>
      <w:r w:rsidR="00B75C0C">
        <w:rPr>
          <w:rFonts w:asciiTheme="majorBidi" w:hAnsiTheme="majorBidi" w:cstheme="majorBidi"/>
        </w:rPr>
        <w:t>.</w:t>
      </w:r>
    </w:p>
    <w:p w14:paraId="499BA86A" w14:textId="77777777" w:rsidR="003B59E1" w:rsidRDefault="003B59E1" w:rsidP="003B59E1">
      <w:pPr>
        <w:bidi w:val="0"/>
        <w:spacing w:line="360" w:lineRule="auto"/>
        <w:rPr>
          <w:rFonts w:asciiTheme="majorBidi" w:hAnsiTheme="majorBidi" w:cstheme="majorBidi"/>
        </w:rPr>
      </w:pPr>
    </w:p>
    <w:p w14:paraId="0A6DB597" w14:textId="74338D91" w:rsidR="00311867" w:rsidRDefault="00311867" w:rsidP="003B59E1">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71552" behindDoc="0" locked="0" layoutInCell="1" allowOverlap="1" wp14:anchorId="5CAD5250" wp14:editId="7ACEBB09">
            <wp:simplePos x="0" y="0"/>
            <wp:positionH relativeFrom="column">
              <wp:posOffset>-160655</wp:posOffset>
            </wp:positionH>
            <wp:positionV relativeFrom="paragraph">
              <wp:posOffset>0</wp:posOffset>
            </wp:positionV>
            <wp:extent cx="5274310" cy="4130040"/>
            <wp:effectExtent l="0" t="0" r="2540" b="3810"/>
            <wp:wrapTopAndBottom/>
            <wp:docPr id="1228306780"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6780" name="صورة 1228306780"/>
                    <pic:cNvPicPr/>
                  </pic:nvPicPr>
                  <pic:blipFill>
                    <a:blip r:embed="rId7">
                      <a:extLst>
                        <a:ext uri="{28A0092B-C50C-407E-A947-70E740481C1C}">
                          <a14:useLocalDpi xmlns:a14="http://schemas.microsoft.com/office/drawing/2010/main" val="0"/>
                        </a:ext>
                      </a:extLst>
                    </a:blip>
                    <a:stretch>
                      <a:fillRect/>
                    </a:stretch>
                  </pic:blipFill>
                  <pic:spPr>
                    <a:xfrm>
                      <a:off x="0" y="0"/>
                      <a:ext cx="5274310" cy="4130040"/>
                    </a:xfrm>
                    <a:prstGeom prst="rect">
                      <a:avLst/>
                    </a:prstGeom>
                  </pic:spPr>
                </pic:pic>
              </a:graphicData>
            </a:graphic>
          </wp:anchor>
        </w:drawing>
      </w:r>
    </w:p>
    <w:p w14:paraId="5F0306D4" w14:textId="77777777" w:rsidR="00311867" w:rsidRDefault="00311867" w:rsidP="00311867">
      <w:pPr>
        <w:bidi w:val="0"/>
        <w:spacing w:line="360" w:lineRule="auto"/>
        <w:rPr>
          <w:rFonts w:asciiTheme="majorBidi" w:hAnsiTheme="majorBidi" w:cstheme="majorBidi"/>
        </w:rPr>
      </w:pPr>
    </w:p>
    <w:p w14:paraId="289A9EB8" w14:textId="4B81D37D" w:rsidR="00966E0D" w:rsidRPr="000D4855" w:rsidRDefault="00966E0D" w:rsidP="00163175">
      <w:pPr>
        <w:bidi w:val="0"/>
        <w:spacing w:line="240" w:lineRule="auto"/>
        <w:rPr>
          <w:rFonts w:asciiTheme="majorBidi" w:hAnsiTheme="majorBidi" w:cstheme="majorBidi"/>
          <w:b/>
          <w:bCs/>
          <w:sz w:val="22"/>
          <w:szCs w:val="22"/>
        </w:rPr>
      </w:pPr>
      <w:r w:rsidRPr="000D4855">
        <w:rPr>
          <w:rFonts w:asciiTheme="majorBidi" w:hAnsiTheme="majorBidi" w:cstheme="majorBidi"/>
          <w:b/>
          <w:bCs/>
          <w:sz w:val="22"/>
          <w:szCs w:val="22"/>
        </w:rPr>
        <w:t>Figure 1: Directed Acyclic Graph for the Survival–Learning Tradeoff</w:t>
      </w:r>
    </w:p>
    <w:p w14:paraId="5AAEF5BF" w14:textId="1E627A3B" w:rsidR="00966E0D" w:rsidRPr="00163175" w:rsidRDefault="00966E0D" w:rsidP="00163175">
      <w:pPr>
        <w:bidi w:val="0"/>
        <w:spacing w:line="360" w:lineRule="auto"/>
        <w:rPr>
          <w:rFonts w:asciiTheme="majorBidi" w:hAnsiTheme="majorBidi" w:cstheme="majorBidi"/>
          <w:b/>
          <w:bCs/>
        </w:rPr>
      </w:pPr>
    </w:p>
    <w:p w14:paraId="15E501DF" w14:textId="42F7E1DB" w:rsidR="00082DE1" w:rsidRPr="00082DE1" w:rsidRDefault="00082DE1" w:rsidP="00F83616">
      <w:pPr>
        <w:bidi w:val="0"/>
        <w:spacing w:line="360" w:lineRule="auto"/>
        <w:rPr>
          <w:rFonts w:asciiTheme="majorBidi" w:hAnsiTheme="majorBidi" w:cstheme="majorBidi"/>
        </w:rPr>
      </w:pPr>
      <w:r w:rsidRPr="00F83616">
        <w:rPr>
          <w:rFonts w:asciiTheme="majorBidi" w:hAnsiTheme="majorBidi" w:cstheme="majorBidi"/>
          <w:b/>
          <w:bCs/>
        </w:rPr>
        <w:t>The structural relationships illustrated in Figure 1 define the following causal pathways</w:t>
      </w:r>
      <w:r w:rsidRPr="00082DE1">
        <w:rPr>
          <w:rFonts w:asciiTheme="majorBidi" w:hAnsiTheme="majorBidi" w:cstheme="majorBidi"/>
        </w:rPr>
        <w:t>:</w:t>
      </w:r>
    </w:p>
    <w:p w14:paraId="547AA09C" w14:textId="351072A7" w:rsidR="00082DE1" w:rsidRPr="00082DE1" w:rsidRDefault="00082DE1" w:rsidP="001E029B">
      <w:pPr>
        <w:bidi w:val="0"/>
        <w:spacing w:line="360" w:lineRule="auto"/>
        <w:rPr>
          <w:rFonts w:asciiTheme="majorBidi" w:hAnsiTheme="majorBidi" w:cstheme="majorBidi"/>
        </w:rPr>
      </w:pPr>
      <w:r w:rsidRPr="001E029B">
        <w:rPr>
          <w:rFonts w:asciiTheme="majorBidi" w:hAnsiTheme="majorBidi" w:cstheme="majorBidi"/>
          <w:b/>
          <w:bCs/>
        </w:rPr>
        <w:t>The Time Poverty Path:</w:t>
      </w:r>
      <w:r w:rsidR="00F83616" w:rsidRPr="001E029B">
        <w:rPr>
          <w:rFonts w:asciiTheme="majorBidi" w:hAnsiTheme="majorBidi" w:cstheme="majorBidi"/>
          <w:b/>
          <w:bCs/>
        </w:rPr>
        <w:t xml:space="preserve"> </w:t>
      </w:r>
      <w:r w:rsidR="00F83616">
        <w:rPr>
          <w:rFonts w:asciiTheme="majorBidi" w:hAnsiTheme="majorBidi" w:cstheme="majorBidi"/>
        </w:rPr>
        <w:t xml:space="preserve"> </w:t>
      </w:r>
      <w:r w:rsidRPr="00082DE1">
        <w:rPr>
          <w:rFonts w:asciiTheme="majorBidi" w:hAnsiTheme="majorBidi" w:cstheme="majorBidi"/>
        </w:rPr>
        <w:t>Water Access acts as a primary exogenous determinant of Survival Labour. A reduction in water scarcity directly decreases the time burden on households, thereby increasing the temporal resources available for School Attendance. This channel represents a direct causal pathway from resource availability to educational engagement.</w:t>
      </w:r>
    </w:p>
    <w:p w14:paraId="12DA55F3" w14:textId="6EBA51E0" w:rsidR="00082DE1" w:rsidRPr="00082DE1" w:rsidRDefault="00082DE1" w:rsidP="001E029B">
      <w:pPr>
        <w:bidi w:val="0"/>
        <w:spacing w:line="360" w:lineRule="auto"/>
        <w:rPr>
          <w:rFonts w:asciiTheme="majorBidi" w:hAnsiTheme="majorBidi" w:cstheme="majorBidi"/>
        </w:rPr>
      </w:pPr>
      <w:r w:rsidRPr="001E029B">
        <w:rPr>
          <w:rFonts w:asciiTheme="majorBidi" w:hAnsiTheme="majorBidi" w:cstheme="majorBidi"/>
          <w:b/>
          <w:bCs/>
        </w:rPr>
        <w:t>The Biological-Cognitive Path:</w:t>
      </w:r>
      <w:r w:rsidR="001E029B" w:rsidRPr="001E029B">
        <w:rPr>
          <w:rFonts w:asciiTheme="majorBidi" w:hAnsiTheme="majorBidi" w:cstheme="majorBidi"/>
          <w:b/>
          <w:bCs/>
        </w:rPr>
        <w:t xml:space="preserve"> </w:t>
      </w:r>
      <w:r w:rsidR="001E029B">
        <w:rPr>
          <w:rFonts w:asciiTheme="majorBidi" w:hAnsiTheme="majorBidi" w:cstheme="majorBidi"/>
        </w:rPr>
        <w:t xml:space="preserve"> </w:t>
      </w:r>
      <w:r w:rsidRPr="00082DE1">
        <w:rPr>
          <w:rFonts w:asciiTheme="majorBidi" w:hAnsiTheme="majorBidi" w:cstheme="majorBidi"/>
        </w:rPr>
        <w:t>Both Water Access (via hydration) and Nutritional Status influence the Cognitive Penalty node. This pathway captures the physiological constraints through which improved resource access mitigates cognitive erosion, indirectly boosting learning engagement. Unlike the time poverty path, this mechanism operates through biological rather than temporal constraints.</w:t>
      </w:r>
    </w:p>
    <w:p w14:paraId="2E9CCDE0" w14:textId="101DB6AF" w:rsidR="00082DE1" w:rsidRPr="00082DE1" w:rsidRDefault="00082DE1" w:rsidP="00082DE1">
      <w:pPr>
        <w:bidi w:val="0"/>
        <w:spacing w:line="360" w:lineRule="auto"/>
        <w:rPr>
          <w:rFonts w:asciiTheme="majorBidi" w:hAnsiTheme="majorBidi" w:cstheme="majorBidi"/>
        </w:rPr>
      </w:pPr>
      <w:r w:rsidRPr="001E029B">
        <w:rPr>
          <w:rFonts w:asciiTheme="majorBidi" w:hAnsiTheme="majorBidi" w:cstheme="majorBidi"/>
          <w:b/>
          <w:bCs/>
        </w:rPr>
        <w:t>Confounding Control:</w:t>
      </w:r>
      <w:r w:rsidR="001E029B" w:rsidRPr="001E029B">
        <w:rPr>
          <w:rFonts w:asciiTheme="majorBidi" w:hAnsiTheme="majorBidi" w:cstheme="majorBidi"/>
          <w:b/>
          <w:bCs/>
        </w:rPr>
        <w:t xml:space="preserve">  </w:t>
      </w:r>
      <w:r w:rsidRPr="00082DE1">
        <w:rPr>
          <w:rFonts w:asciiTheme="majorBidi" w:hAnsiTheme="majorBidi" w:cstheme="majorBidi"/>
        </w:rPr>
        <w:t>Variables such as Household Size, Displacement Status, and Dependency Ratio are identified as confounders. These variables influence both treatment assignment (aid targeting) and the educational outcome, necessitating adjustment through IPW and DoubleML to isolate the true causal effect. The DAG explicitly conditions on these observed confounders, while the refutation tests in Section 5.4 assess sensitivity to potential unmeasured confounding.</w:t>
      </w:r>
    </w:p>
    <w:p w14:paraId="5291527B" w14:textId="77777777" w:rsidR="00082DE1" w:rsidRDefault="00082DE1" w:rsidP="00082DE1">
      <w:pPr>
        <w:bidi w:val="0"/>
        <w:spacing w:line="360" w:lineRule="auto"/>
        <w:rPr>
          <w:rFonts w:asciiTheme="majorBidi" w:hAnsiTheme="majorBidi" w:cstheme="majorBidi"/>
          <w:b/>
          <w:bCs/>
        </w:rPr>
      </w:pPr>
      <w:r w:rsidRPr="00082DE1">
        <w:rPr>
          <w:rFonts w:asciiTheme="majorBidi" w:hAnsiTheme="majorBidi" w:cstheme="majorBidi"/>
        </w:rPr>
        <w:t>This directed acyclic graph thus formalises the causal assumptions underpinning the empirical strategy: the average and heterogeneous treatment effects estimated in Sections 5.1–5.3 are identified through adjustment for the observed confounders listed above, under the assumption that no unmeasured confounders remain after conditioning.</w:t>
      </w:r>
    </w:p>
    <w:p w14:paraId="68E22D0B" w14:textId="77777777" w:rsidR="00082DE1" w:rsidRDefault="00082DE1" w:rsidP="00082DE1">
      <w:pPr>
        <w:bidi w:val="0"/>
        <w:spacing w:line="240" w:lineRule="auto"/>
        <w:rPr>
          <w:rFonts w:asciiTheme="majorBidi" w:hAnsiTheme="majorBidi" w:cstheme="majorBidi"/>
          <w:b/>
          <w:bCs/>
        </w:rPr>
      </w:pPr>
    </w:p>
    <w:p w14:paraId="7B0B98EA" w14:textId="2C1626FB" w:rsidR="00047E5A" w:rsidRPr="00C804E4" w:rsidRDefault="00047E5A" w:rsidP="00082DE1">
      <w:pPr>
        <w:bidi w:val="0"/>
        <w:spacing w:line="240" w:lineRule="auto"/>
        <w:rPr>
          <w:rFonts w:asciiTheme="majorBidi" w:hAnsiTheme="majorBidi" w:cstheme="majorBidi"/>
          <w:b/>
          <w:bCs/>
        </w:rPr>
      </w:pPr>
      <w:r w:rsidRPr="00C804E4">
        <w:rPr>
          <w:rFonts w:asciiTheme="majorBidi" w:hAnsiTheme="majorBidi" w:cstheme="majorBidi"/>
          <w:b/>
          <w:bCs/>
        </w:rPr>
        <w:t>3.2 Estimating Average Treatment Effects with Inverse Probability Weighting</w:t>
      </w:r>
    </w:p>
    <w:p w14:paraId="06F6465E" w14:textId="77777777" w:rsidR="00047E5A" w:rsidRPr="00047E5A" w:rsidRDefault="00047E5A" w:rsidP="00B27016">
      <w:pPr>
        <w:bidi w:val="0"/>
        <w:spacing w:line="360" w:lineRule="auto"/>
        <w:rPr>
          <w:rFonts w:asciiTheme="majorBidi" w:hAnsiTheme="majorBidi" w:cstheme="majorBidi"/>
        </w:rPr>
      </w:pPr>
      <w:r w:rsidRPr="00047E5A">
        <w:rPr>
          <w:rFonts w:asciiTheme="majorBidi" w:hAnsiTheme="majorBidi" w:cstheme="majorBidi"/>
        </w:rPr>
        <w:t>To estimate the average treatment effect (ATE), we apply inverse probability weighting (IPW) based on the propensity score [21]. The propensity score is defined as \(e(X) = P(T=1|X)\) and is estimated using logistic regression. The IPW estimator for the ATE is:</w:t>
      </w:r>
    </w:p>
    <w:p w14:paraId="30F63348" w14:textId="77777777" w:rsidR="00047E5A" w:rsidRPr="00047E5A" w:rsidRDefault="00047E5A" w:rsidP="00B27016">
      <w:pPr>
        <w:bidi w:val="0"/>
        <w:spacing w:line="360" w:lineRule="auto"/>
        <w:rPr>
          <w:rFonts w:asciiTheme="majorBidi" w:hAnsiTheme="majorBidi" w:cstheme="majorBidi"/>
        </w:rPr>
      </w:pPr>
    </w:p>
    <w:p w14:paraId="701A0E4C"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32A35BD7"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\tau_{\text{IPW}} = \mathbb{E}\left[\frac{T Y}{e(X)} - \frac{(1-T)Y}{1-e(X)}\right].</w:t>
      </w:r>
    </w:p>
    <w:p w14:paraId="4007260A"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6D4B2CCA" w14:textId="77777777" w:rsidR="00047E5A" w:rsidRPr="00047E5A" w:rsidRDefault="00047E5A" w:rsidP="00047E5A">
      <w:pPr>
        <w:bidi w:val="0"/>
        <w:spacing w:line="360" w:lineRule="auto"/>
        <w:rPr>
          <w:rFonts w:asciiTheme="majorBidi" w:hAnsiTheme="majorBidi" w:cstheme="majorBidi"/>
        </w:rPr>
      </w:pPr>
    </w:p>
    <w:p w14:paraId="78023572" w14:textId="77777777" w:rsidR="00047E5A" w:rsidRDefault="00047E5A" w:rsidP="00047E5A">
      <w:pPr>
        <w:bidi w:val="0"/>
        <w:spacing w:line="360" w:lineRule="auto"/>
        <w:rPr>
          <w:rFonts w:asciiTheme="majorBidi" w:hAnsiTheme="majorBidi" w:cstheme="majorBidi"/>
        </w:rPr>
      </w:pPr>
      <w:r w:rsidRPr="00047E5A">
        <w:rPr>
          <w:rFonts w:asciiTheme="majorBidi" w:hAnsiTheme="majorBidi" w:cstheme="majorBidi"/>
        </w:rPr>
        <w:t>IPW balances observed confounders between treated and untreated households, creating a pseudo-population where treatment assignment is independent of confounders. Standard errors are computed via bootstrapping.</w:t>
      </w:r>
    </w:p>
    <w:p w14:paraId="5C33DC2D" w14:textId="77777777" w:rsidR="0066129E" w:rsidRDefault="0066129E" w:rsidP="0066129E">
      <w:pPr>
        <w:bidi w:val="0"/>
        <w:spacing w:line="360" w:lineRule="auto"/>
        <w:rPr>
          <w:rFonts w:asciiTheme="majorBidi" w:hAnsiTheme="majorBidi" w:cstheme="majorBidi"/>
        </w:rPr>
      </w:pPr>
    </w:p>
    <w:p w14:paraId="58600642" w14:textId="3911D3E3" w:rsidR="004715BC" w:rsidRDefault="0048067E" w:rsidP="004715BC">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60288" behindDoc="0" locked="0" layoutInCell="1" allowOverlap="1" wp14:anchorId="7BFA7497" wp14:editId="750652D0">
            <wp:simplePos x="0" y="0"/>
            <wp:positionH relativeFrom="column">
              <wp:posOffset>-126365</wp:posOffset>
            </wp:positionH>
            <wp:positionV relativeFrom="paragraph">
              <wp:posOffset>0</wp:posOffset>
            </wp:positionV>
            <wp:extent cx="5274310" cy="3492500"/>
            <wp:effectExtent l="0" t="0" r="2540" b="0"/>
            <wp:wrapTopAndBottom/>
            <wp:docPr id="94631119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11192" name="صورة 9463111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492500"/>
                    </a:xfrm>
                    <a:prstGeom prst="rect">
                      <a:avLst/>
                    </a:prstGeom>
                  </pic:spPr>
                </pic:pic>
              </a:graphicData>
            </a:graphic>
          </wp:anchor>
        </w:drawing>
      </w:r>
    </w:p>
    <w:p w14:paraId="5BBD3529" w14:textId="13F0CE69" w:rsidR="004715BC" w:rsidRPr="000D4855" w:rsidRDefault="004C3BAD" w:rsidP="007B5480">
      <w:pPr>
        <w:bidi w:val="0"/>
        <w:spacing w:line="240" w:lineRule="auto"/>
        <w:rPr>
          <w:rFonts w:asciiTheme="majorBidi" w:hAnsiTheme="majorBidi" w:cstheme="majorBidi"/>
          <w:b/>
          <w:bCs/>
          <w:sz w:val="22"/>
          <w:szCs w:val="22"/>
        </w:rPr>
      </w:pPr>
      <w:r w:rsidRPr="000D4855">
        <w:rPr>
          <w:rFonts w:asciiTheme="majorBidi" w:hAnsiTheme="majorBidi" w:cstheme="majorBidi"/>
          <w:b/>
          <w:bCs/>
          <w:sz w:val="22"/>
          <w:szCs w:val="22"/>
        </w:rPr>
        <w:t>Figure 2: Demographic Distribution and Scarcity Metrics of the Synthetic Population (N=10,000)</w:t>
      </w:r>
    </w:p>
    <w:p w14:paraId="07C93E32" w14:textId="77777777" w:rsidR="00047E5A" w:rsidRPr="00047E5A" w:rsidRDefault="00047E5A" w:rsidP="00047E5A">
      <w:pPr>
        <w:bidi w:val="0"/>
        <w:spacing w:line="360" w:lineRule="auto"/>
        <w:rPr>
          <w:rFonts w:asciiTheme="majorBidi" w:hAnsiTheme="majorBidi" w:cstheme="majorBidi"/>
        </w:rPr>
      </w:pPr>
    </w:p>
    <w:p w14:paraId="60163C71" w14:textId="2AEA705B" w:rsidR="00047E5A" w:rsidRPr="00C804E4" w:rsidRDefault="00047E5A" w:rsidP="00C804E4">
      <w:pPr>
        <w:bidi w:val="0"/>
        <w:spacing w:line="360" w:lineRule="auto"/>
        <w:rPr>
          <w:rFonts w:asciiTheme="majorBidi" w:hAnsiTheme="majorBidi" w:cstheme="majorBidi"/>
          <w:b/>
          <w:bCs/>
        </w:rPr>
      </w:pPr>
      <w:r w:rsidRPr="00C804E4">
        <w:rPr>
          <w:rFonts w:asciiTheme="majorBidi" w:hAnsiTheme="majorBidi" w:cstheme="majorBidi"/>
          <w:b/>
          <w:bCs/>
        </w:rPr>
        <w:t>3.3 Heterogeneous Treatment Effects via Double Machine Learning</w:t>
      </w:r>
    </w:p>
    <w:p w14:paraId="5019A479"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Because the relationship between treatments and outcomes may be nonlinear and involve high-dimensional confounders, we employ double machine learning (DoubleML) [22]. The model is specified as:</w:t>
      </w:r>
    </w:p>
    <w:p w14:paraId="02C7A59B" w14:textId="77777777" w:rsidR="00047E5A" w:rsidRPr="00047E5A" w:rsidRDefault="00047E5A" w:rsidP="00047E5A">
      <w:pPr>
        <w:bidi w:val="0"/>
        <w:spacing w:line="360" w:lineRule="auto"/>
        <w:rPr>
          <w:rFonts w:asciiTheme="majorBidi" w:hAnsiTheme="majorBidi" w:cstheme="majorBidi"/>
        </w:rPr>
      </w:pPr>
    </w:p>
    <w:p w14:paraId="4028D126"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78EC6E3A"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Y = \tau(X) T + g(X) + \epsilon, \quad \mathbb{E}[\epsilon | X, T] = 0,</w:t>
      </w:r>
    </w:p>
    <w:p w14:paraId="214DAC98"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3BE310EC" w14:textId="77777777" w:rsidR="00047E5A" w:rsidRPr="00047E5A" w:rsidRDefault="00047E5A" w:rsidP="00047E5A">
      <w:pPr>
        <w:bidi w:val="0"/>
        <w:spacing w:line="360" w:lineRule="auto"/>
        <w:rPr>
          <w:rFonts w:asciiTheme="majorBidi" w:hAnsiTheme="majorBidi" w:cstheme="majorBidi"/>
        </w:rPr>
      </w:pPr>
    </w:p>
    <w:p w14:paraId="110CEF13"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where \(g(X) = \mathbb{E}[Y|X]\) and \(e(X) = P(T=1|X)\) are nuisance functions estimated using machine learning (XGBoost). The treatment effect \(\tau(X)\) is estimated after residualising both outcome and treatment:</w:t>
      </w:r>
    </w:p>
    <w:p w14:paraId="383C6E5D" w14:textId="77777777" w:rsidR="00047E5A" w:rsidRPr="00047E5A" w:rsidRDefault="00047E5A" w:rsidP="00047E5A">
      <w:pPr>
        <w:bidi w:val="0"/>
        <w:spacing w:line="360" w:lineRule="auto"/>
        <w:rPr>
          <w:rFonts w:asciiTheme="majorBidi" w:hAnsiTheme="majorBidi" w:cstheme="majorBidi"/>
        </w:rPr>
      </w:pPr>
    </w:p>
    <w:p w14:paraId="0162C40D"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4507C72B"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\tilde{Y} = Y - \hat{g}(X), \quad \tilde{T} = T - \hat{e}(X),</w:t>
      </w:r>
    </w:p>
    <w:p w14:paraId="5670890C"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36468127" w14:textId="77777777" w:rsidR="00047E5A" w:rsidRPr="00047E5A" w:rsidRDefault="00047E5A" w:rsidP="00047E5A">
      <w:pPr>
        <w:bidi w:val="0"/>
        <w:spacing w:line="360" w:lineRule="auto"/>
        <w:rPr>
          <w:rFonts w:asciiTheme="majorBidi" w:hAnsiTheme="majorBidi" w:cstheme="majorBidi"/>
        </w:rPr>
      </w:pPr>
    </w:p>
    <w:p w14:paraId="49D58F4E"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then regressing \(\tilde{Y}\) on \(\tilde{T}\) using a causal forest [23] that allows \(\tau(X)\) to vary with \(X\). Cross-fitting is used to avoid overfitting bias.</w:t>
      </w:r>
    </w:p>
    <w:p w14:paraId="20E790E2" w14:textId="77777777" w:rsidR="00047E5A" w:rsidRPr="00047E5A" w:rsidRDefault="00047E5A" w:rsidP="00047E5A">
      <w:pPr>
        <w:bidi w:val="0"/>
        <w:spacing w:line="360" w:lineRule="auto"/>
        <w:rPr>
          <w:rFonts w:asciiTheme="majorBidi" w:hAnsiTheme="majorBidi" w:cstheme="majorBidi"/>
        </w:rPr>
      </w:pPr>
    </w:p>
    <w:p w14:paraId="22E9D774" w14:textId="2803B049" w:rsidR="00047E5A" w:rsidRPr="00454EE8" w:rsidRDefault="00047E5A" w:rsidP="00454EE8">
      <w:pPr>
        <w:bidi w:val="0"/>
        <w:spacing w:line="360" w:lineRule="auto"/>
        <w:rPr>
          <w:rFonts w:asciiTheme="majorBidi" w:hAnsiTheme="majorBidi" w:cstheme="majorBidi"/>
          <w:b/>
          <w:bCs/>
        </w:rPr>
      </w:pPr>
      <w:r w:rsidRPr="00454EE8">
        <w:rPr>
          <w:rFonts w:asciiTheme="majorBidi" w:hAnsiTheme="majorBidi" w:cstheme="majorBidi"/>
          <w:b/>
          <w:bCs/>
        </w:rPr>
        <w:t>3.4 Policy Learning from Heterogeneous Effects</w:t>
      </w:r>
    </w:p>
    <w:p w14:paraId="7FFB3ACE"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To derive actionable intervention rules, we use policy learning with trees [9,24]. The goal is to find a policy \(\pi(X) \in \{0,1\}\) that maps covariates to treatment decisions so as to maximise the expected outcome minus a cost \(C\):</w:t>
      </w:r>
    </w:p>
    <w:p w14:paraId="640BDD7B" w14:textId="77777777" w:rsidR="00047E5A" w:rsidRPr="00047E5A" w:rsidRDefault="00047E5A" w:rsidP="00047E5A">
      <w:pPr>
        <w:bidi w:val="0"/>
        <w:spacing w:line="360" w:lineRule="auto"/>
        <w:rPr>
          <w:rFonts w:asciiTheme="majorBidi" w:hAnsiTheme="majorBidi" w:cstheme="majorBidi"/>
        </w:rPr>
      </w:pPr>
    </w:p>
    <w:p w14:paraId="363CA00F"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4ED53A43"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\pi^{*}(X) = \arg\max_{\pi} \mathbb{E}[Y(\pi(X)) - C].</w:t>
      </w:r>
    </w:p>
    <w:p w14:paraId="6528FBDF"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t>
      </w:r>
    </w:p>
    <w:p w14:paraId="70538A8D" w14:textId="77777777" w:rsidR="00047E5A" w:rsidRPr="00047E5A" w:rsidRDefault="00047E5A" w:rsidP="00047E5A">
      <w:pPr>
        <w:bidi w:val="0"/>
        <w:spacing w:line="360" w:lineRule="auto"/>
        <w:rPr>
          <w:rFonts w:asciiTheme="majorBidi" w:hAnsiTheme="majorBidi" w:cstheme="majorBidi"/>
        </w:rPr>
      </w:pPr>
    </w:p>
    <w:p w14:paraId="4FF73CAE"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We implement this using the SingleTreePolicyInterpreter, which fits a single decision tree to the estimated heterogeneous treatment effects \(\hat{\tau}(X)\). The tree splits the covariate space into regions where the optimal treatment decision is constant, producing simple rules that can be communicated to humanitarian practitioners.</w:t>
      </w:r>
    </w:p>
    <w:p w14:paraId="5ADFC9FC" w14:textId="77777777" w:rsidR="00047E5A" w:rsidRPr="00047E5A" w:rsidRDefault="00047E5A" w:rsidP="00047E5A">
      <w:pPr>
        <w:bidi w:val="0"/>
        <w:spacing w:line="360" w:lineRule="auto"/>
        <w:rPr>
          <w:rFonts w:asciiTheme="majorBidi" w:hAnsiTheme="majorBidi" w:cstheme="majorBidi"/>
        </w:rPr>
      </w:pPr>
    </w:p>
    <w:p w14:paraId="06F7EC60" w14:textId="1C8065CB" w:rsidR="00047E5A" w:rsidRPr="00454EE8" w:rsidRDefault="00047E5A" w:rsidP="00454EE8">
      <w:pPr>
        <w:bidi w:val="0"/>
        <w:spacing w:line="360" w:lineRule="auto"/>
        <w:rPr>
          <w:rFonts w:asciiTheme="majorBidi" w:hAnsiTheme="majorBidi" w:cstheme="majorBidi"/>
          <w:b/>
          <w:bCs/>
        </w:rPr>
      </w:pPr>
      <w:r w:rsidRPr="00454EE8">
        <w:rPr>
          <w:rFonts w:asciiTheme="majorBidi" w:hAnsiTheme="majorBidi" w:cstheme="majorBidi"/>
          <w:b/>
          <w:bCs/>
        </w:rPr>
        <w:t>3.5 Robustness Checks</w:t>
      </w:r>
    </w:p>
    <w:p w14:paraId="7033CEAD" w14:textId="77777777" w:rsidR="00047E5A" w:rsidRPr="00454EE8" w:rsidRDefault="00047E5A" w:rsidP="00047E5A">
      <w:pPr>
        <w:bidi w:val="0"/>
        <w:spacing w:line="360" w:lineRule="auto"/>
        <w:rPr>
          <w:rFonts w:asciiTheme="majorBidi" w:hAnsiTheme="majorBidi" w:cstheme="majorBidi"/>
          <w:b/>
          <w:bCs/>
        </w:rPr>
      </w:pPr>
      <w:r w:rsidRPr="00454EE8">
        <w:rPr>
          <w:rFonts w:asciiTheme="majorBidi" w:hAnsiTheme="majorBidi" w:cstheme="majorBidi"/>
          <w:b/>
          <w:bCs/>
        </w:rPr>
        <w:t xml:space="preserve">We perform three refutation tests using the DoWhy library [25]:  </w:t>
      </w:r>
    </w:p>
    <w:p w14:paraId="0E8CBEB5" w14:textId="404ADA82" w:rsidR="00047E5A" w:rsidRPr="00047E5A" w:rsidRDefault="00047E5A" w:rsidP="00047E5A">
      <w:pPr>
        <w:bidi w:val="0"/>
        <w:spacing w:line="360" w:lineRule="auto"/>
        <w:rPr>
          <w:rFonts w:asciiTheme="majorBidi" w:hAnsiTheme="majorBidi" w:cstheme="majorBidi"/>
        </w:rPr>
      </w:pPr>
      <w:r w:rsidRPr="00454EE8">
        <w:rPr>
          <w:rFonts w:asciiTheme="majorBidi" w:hAnsiTheme="majorBidi" w:cstheme="majorBidi"/>
          <w:b/>
          <w:bCs/>
        </w:rPr>
        <w:t xml:space="preserve">- </w:t>
      </w:r>
      <w:r w:rsidR="00454EE8" w:rsidRPr="00454EE8">
        <w:rPr>
          <w:rFonts w:asciiTheme="majorBidi" w:hAnsiTheme="majorBidi" w:cstheme="majorBidi" w:hint="cs"/>
          <w:b/>
          <w:bCs/>
        </w:rPr>
        <w:t xml:space="preserve"> </w:t>
      </w:r>
      <w:r w:rsidRPr="00454EE8">
        <w:rPr>
          <w:rFonts w:asciiTheme="majorBidi" w:hAnsiTheme="majorBidi" w:cstheme="majorBidi"/>
          <w:b/>
          <w:bCs/>
        </w:rPr>
        <w:t>Random common cause:</w:t>
      </w:r>
      <w:r w:rsidR="00454EE8" w:rsidRPr="00454EE8">
        <w:rPr>
          <w:rFonts w:asciiTheme="majorBidi" w:hAnsiTheme="majorBidi" w:cstheme="majorBidi" w:hint="cs"/>
          <w:b/>
          <w:bCs/>
        </w:rPr>
        <w:t xml:space="preserve"> </w:t>
      </w:r>
      <w:r w:rsidRPr="00047E5A">
        <w:rPr>
          <w:rFonts w:asciiTheme="majorBidi" w:hAnsiTheme="majorBidi" w:cstheme="majorBidi"/>
        </w:rPr>
        <w:t xml:space="preserve">Add a randomly generated confounder to the model; the estimated ATE should remain stable.  </w:t>
      </w:r>
    </w:p>
    <w:p w14:paraId="487CE2F8" w14:textId="140AB3BE" w:rsidR="00047E5A" w:rsidRPr="00047E5A" w:rsidRDefault="00047E5A" w:rsidP="00047E5A">
      <w:pPr>
        <w:bidi w:val="0"/>
        <w:spacing w:line="360" w:lineRule="auto"/>
        <w:rPr>
          <w:rFonts w:asciiTheme="majorBidi" w:hAnsiTheme="majorBidi" w:cstheme="majorBidi"/>
        </w:rPr>
      </w:pPr>
      <w:r w:rsidRPr="00EC0A4F">
        <w:rPr>
          <w:rFonts w:asciiTheme="majorBidi" w:hAnsiTheme="majorBidi" w:cstheme="majorBidi"/>
          <w:b/>
          <w:bCs/>
        </w:rPr>
        <w:t xml:space="preserve">- </w:t>
      </w:r>
      <w:r w:rsidR="00EC0A4F" w:rsidRPr="00EC0A4F">
        <w:rPr>
          <w:rFonts w:asciiTheme="majorBidi" w:hAnsiTheme="majorBidi" w:cstheme="majorBidi" w:hint="cs"/>
          <w:b/>
          <w:bCs/>
        </w:rPr>
        <w:t xml:space="preserve"> </w:t>
      </w:r>
      <w:r w:rsidRPr="00EC0A4F">
        <w:rPr>
          <w:rFonts w:asciiTheme="majorBidi" w:hAnsiTheme="majorBidi" w:cstheme="majorBidi"/>
          <w:b/>
          <w:bCs/>
        </w:rPr>
        <w:t>Placebo treatment:</w:t>
      </w:r>
      <w:r w:rsidR="00EC0A4F">
        <w:rPr>
          <w:rFonts w:asciiTheme="majorBidi" w:hAnsiTheme="majorBidi" w:cstheme="majorBidi" w:hint="cs"/>
        </w:rPr>
        <w:t xml:space="preserve"> </w:t>
      </w:r>
      <w:r w:rsidRPr="00047E5A">
        <w:rPr>
          <w:rFonts w:asciiTheme="majorBidi" w:hAnsiTheme="majorBidi" w:cstheme="majorBidi"/>
        </w:rPr>
        <w:t xml:space="preserve">Replace the true treatment with a random variable; the estimated effect should be close to zero.  </w:t>
      </w:r>
    </w:p>
    <w:p w14:paraId="260270FC" w14:textId="144D57E2" w:rsidR="00047E5A" w:rsidRPr="00047E5A" w:rsidRDefault="00047E5A" w:rsidP="00EC0A4F">
      <w:pPr>
        <w:bidi w:val="0"/>
        <w:spacing w:line="360" w:lineRule="auto"/>
        <w:rPr>
          <w:rFonts w:asciiTheme="majorBidi" w:hAnsiTheme="majorBidi" w:cstheme="majorBidi"/>
        </w:rPr>
      </w:pPr>
      <w:r w:rsidRPr="00EC0A4F">
        <w:rPr>
          <w:rFonts w:asciiTheme="majorBidi" w:hAnsiTheme="majorBidi" w:cstheme="majorBidi"/>
          <w:b/>
          <w:bCs/>
        </w:rPr>
        <w:t xml:space="preserve">- </w:t>
      </w:r>
      <w:r w:rsidR="00EC0A4F" w:rsidRPr="00EC0A4F">
        <w:rPr>
          <w:rFonts w:asciiTheme="majorBidi" w:hAnsiTheme="majorBidi" w:cstheme="majorBidi" w:hint="cs"/>
          <w:b/>
          <w:bCs/>
        </w:rPr>
        <w:t xml:space="preserve"> </w:t>
      </w:r>
      <w:r w:rsidRPr="00EC0A4F">
        <w:rPr>
          <w:rFonts w:asciiTheme="majorBidi" w:hAnsiTheme="majorBidi" w:cstheme="majorBidi"/>
          <w:b/>
          <w:bCs/>
        </w:rPr>
        <w:t>Data subset:</w:t>
      </w:r>
      <w:r w:rsidR="00EC0A4F" w:rsidRPr="00EC0A4F">
        <w:rPr>
          <w:rFonts w:asciiTheme="majorBidi" w:hAnsiTheme="majorBidi" w:cstheme="majorBidi" w:hint="cs"/>
          <w:b/>
          <w:bCs/>
        </w:rPr>
        <w:t xml:space="preserve"> </w:t>
      </w:r>
      <w:r w:rsidRPr="00EC0A4F">
        <w:rPr>
          <w:rFonts w:asciiTheme="majorBidi" w:hAnsiTheme="majorBidi" w:cstheme="majorBidi"/>
          <w:b/>
          <w:bCs/>
        </w:rPr>
        <w:t xml:space="preserve"> </w:t>
      </w:r>
      <w:r w:rsidRPr="00047E5A">
        <w:rPr>
          <w:rFonts w:asciiTheme="majorBidi" w:hAnsiTheme="majorBidi" w:cstheme="majorBidi"/>
        </w:rPr>
        <w:t xml:space="preserve">Re-estimate the ATE on random 80% subsamples; the estimates should show little variation.  </w:t>
      </w:r>
    </w:p>
    <w:p w14:paraId="46B54C30"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These tests help assess sensitivity to unobserved confounding and data instability.</w:t>
      </w:r>
    </w:p>
    <w:p w14:paraId="7BC6C85A" w14:textId="6305D9D2" w:rsidR="00047E5A" w:rsidRPr="00047E5A" w:rsidRDefault="00047E5A" w:rsidP="00047E5A">
      <w:pPr>
        <w:bidi w:val="0"/>
        <w:spacing w:line="360" w:lineRule="auto"/>
        <w:rPr>
          <w:rFonts w:asciiTheme="majorBidi" w:hAnsiTheme="majorBidi" w:cstheme="majorBidi"/>
        </w:rPr>
      </w:pPr>
    </w:p>
    <w:p w14:paraId="2DEF1F28" w14:textId="092B7D1E" w:rsidR="00047E5A" w:rsidRPr="00EC0A4F" w:rsidRDefault="00047E5A" w:rsidP="00991CB4">
      <w:pPr>
        <w:bidi w:val="0"/>
        <w:spacing w:line="360" w:lineRule="auto"/>
        <w:rPr>
          <w:rFonts w:asciiTheme="majorBidi" w:hAnsiTheme="majorBidi" w:cstheme="majorBidi"/>
          <w:b/>
          <w:bCs/>
          <w:sz w:val="28"/>
          <w:szCs w:val="28"/>
        </w:rPr>
      </w:pPr>
      <w:r w:rsidRPr="00EC0A4F">
        <w:rPr>
          <w:rFonts w:asciiTheme="majorBidi" w:hAnsiTheme="majorBidi" w:cstheme="majorBidi"/>
          <w:b/>
          <w:bCs/>
          <w:sz w:val="28"/>
          <w:szCs w:val="28"/>
        </w:rPr>
        <w:t>4. Simulation Design and Data</w:t>
      </w:r>
    </w:p>
    <w:p w14:paraId="753644C1" w14:textId="3338BE05" w:rsidR="00047E5A" w:rsidRPr="00991CB4" w:rsidRDefault="00047E5A" w:rsidP="00991CB4">
      <w:pPr>
        <w:bidi w:val="0"/>
        <w:spacing w:line="360" w:lineRule="auto"/>
        <w:rPr>
          <w:rFonts w:asciiTheme="majorBidi" w:hAnsiTheme="majorBidi" w:cstheme="majorBidi"/>
          <w:b/>
          <w:bCs/>
        </w:rPr>
      </w:pPr>
      <w:r w:rsidRPr="00991CB4">
        <w:rPr>
          <w:rFonts w:asciiTheme="majorBidi" w:hAnsiTheme="majorBidi" w:cstheme="majorBidi"/>
          <w:b/>
          <w:bCs/>
        </w:rPr>
        <w:t>4.1 Secondary Data Sources</w:t>
      </w:r>
    </w:p>
    <w:p w14:paraId="3DF89AEC" w14:textId="77777777" w:rsidR="00047E5A" w:rsidRPr="00047E5A" w:rsidRDefault="00047E5A" w:rsidP="00047E5A">
      <w:pPr>
        <w:bidi w:val="0"/>
        <w:spacing w:line="360" w:lineRule="auto"/>
        <w:rPr>
          <w:rFonts w:asciiTheme="majorBidi" w:hAnsiTheme="majorBidi" w:cstheme="majorBidi"/>
        </w:rPr>
      </w:pPr>
      <w:r w:rsidRPr="00047E5A">
        <w:rPr>
          <w:rFonts w:asciiTheme="majorBidi" w:hAnsiTheme="majorBidi" w:cstheme="majorBidi"/>
        </w:rPr>
        <w:t>All parameters are derived from publicly available reports and peer-reviewed studies published between 2023 and 2026 (Table 1). No primary data were collected.</w:t>
      </w:r>
    </w:p>
    <w:p w14:paraId="055C1E7D" w14:textId="77777777" w:rsidR="00047E5A" w:rsidRPr="002F7746" w:rsidRDefault="00047E5A" w:rsidP="002F7746">
      <w:pPr>
        <w:bidi w:val="0"/>
        <w:spacing w:line="240" w:lineRule="auto"/>
        <w:rPr>
          <w:rFonts w:asciiTheme="majorBidi" w:hAnsiTheme="majorBidi" w:cstheme="majorBidi"/>
        </w:rPr>
      </w:pPr>
    </w:p>
    <w:p w14:paraId="58781AF1" w14:textId="424FCC6B" w:rsidR="00CB37DE" w:rsidRPr="00D5128C" w:rsidRDefault="002F7746" w:rsidP="00D5128C">
      <w:pPr>
        <w:pStyle w:val="3"/>
        <w:bidi w:val="0"/>
        <w:spacing w:before="0" w:after="240" w:line="240" w:lineRule="auto"/>
        <w:rPr>
          <w:rFonts w:asciiTheme="majorBidi" w:eastAsia="Times New Roman" w:hAnsiTheme="majorBidi"/>
          <w:kern w:val="0"/>
          <w:sz w:val="24"/>
          <w:szCs w:val="24"/>
          <w14:ligatures w14:val="none"/>
        </w:rPr>
      </w:pPr>
      <w:r w:rsidRPr="00D5128C">
        <w:rPr>
          <w:rFonts w:asciiTheme="majorBidi" w:eastAsiaTheme="minorEastAsia" w:hAnsiTheme="majorBidi"/>
          <w:b/>
          <w:bCs/>
          <w:color w:val="auto"/>
          <w:sz w:val="24"/>
          <w:szCs w:val="24"/>
        </w:rPr>
        <w:t>Table 1: Key Model Parameters and Data Sources for Synthetic Population Calibration</w:t>
      </w:r>
    </w:p>
    <w:tbl>
      <w:tblPr>
        <w:tblW w:w="0" w:type="auto"/>
        <w:tblCellMar>
          <w:top w:w="15" w:type="dxa"/>
          <w:left w:w="15" w:type="dxa"/>
          <w:bottom w:w="15" w:type="dxa"/>
          <w:right w:w="15" w:type="dxa"/>
        </w:tblCellMar>
        <w:tblLook w:val="04A0" w:firstRow="1" w:lastRow="0" w:firstColumn="1" w:lastColumn="0" w:noHBand="0" w:noVBand="1"/>
      </w:tblPr>
      <w:tblGrid>
        <w:gridCol w:w="2252"/>
        <w:gridCol w:w="1225"/>
        <w:gridCol w:w="1430"/>
        <w:gridCol w:w="1554"/>
        <w:gridCol w:w="1825"/>
      </w:tblGrid>
      <w:tr w:rsidR="00CB37DE" w:rsidRPr="00D5128C" w14:paraId="72DA2189"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12AE7CA6" w14:textId="77777777" w:rsidR="00CB37DE" w:rsidRPr="00D5128C" w:rsidRDefault="00CB37DE">
            <w:pPr>
              <w:pStyle w:val="aa"/>
              <w:spacing w:before="0" w:beforeAutospacing="0" w:after="0" w:afterAutospacing="0"/>
              <w:jc w:val="center"/>
              <w:rPr>
                <w:rFonts w:asciiTheme="majorBidi" w:hAnsiTheme="majorBidi" w:cstheme="majorBidi"/>
                <w:b/>
                <w:bCs/>
                <w:sz w:val="22"/>
                <w:szCs w:val="22"/>
              </w:rPr>
            </w:pPr>
            <w:r w:rsidRPr="00D5128C">
              <w:rPr>
                <w:rFonts w:asciiTheme="majorBidi" w:hAnsiTheme="majorBidi" w:cstheme="majorBidi"/>
                <w:b/>
                <w:bCs/>
                <w:color w:val="000000"/>
                <w:sz w:val="22"/>
                <w:szCs w:val="22"/>
              </w:rPr>
              <w:t>Rationale / Source Type</w:t>
            </w:r>
          </w:p>
        </w:tc>
        <w:tc>
          <w:tcPr>
            <w:tcW w:w="0" w:type="auto"/>
            <w:tcBorders>
              <w:top w:val="single" w:sz="8" w:space="0" w:color="000000"/>
              <w:left w:val="single" w:sz="8" w:space="0" w:color="000000"/>
              <w:bottom w:val="single" w:sz="8" w:space="0" w:color="000000"/>
              <w:right w:val="single" w:sz="8" w:space="0" w:color="000000"/>
            </w:tcBorders>
            <w:hideMark/>
          </w:tcPr>
          <w:p w14:paraId="4AF0B1C3" w14:textId="77777777" w:rsidR="00CB37DE" w:rsidRPr="00D5128C" w:rsidRDefault="00CB37DE">
            <w:pPr>
              <w:pStyle w:val="aa"/>
              <w:spacing w:before="0" w:beforeAutospacing="0" w:after="0" w:afterAutospacing="0"/>
              <w:jc w:val="center"/>
              <w:rPr>
                <w:rFonts w:asciiTheme="majorBidi" w:hAnsiTheme="majorBidi" w:cstheme="majorBidi"/>
                <w:b/>
                <w:bCs/>
                <w:sz w:val="22"/>
                <w:szCs w:val="22"/>
              </w:rPr>
            </w:pPr>
            <w:r w:rsidRPr="00D5128C">
              <w:rPr>
                <w:rFonts w:asciiTheme="majorBidi" w:hAnsiTheme="majorBidi" w:cstheme="majorBidi"/>
                <w:b/>
                <w:bCs/>
                <w:color w:val="000000"/>
                <w:sz w:val="22"/>
                <w:szCs w:val="22"/>
              </w:rPr>
              <w:t>Data Confidence</w:t>
            </w:r>
          </w:p>
        </w:tc>
        <w:tc>
          <w:tcPr>
            <w:tcW w:w="0" w:type="auto"/>
            <w:tcBorders>
              <w:top w:val="single" w:sz="8" w:space="0" w:color="000000"/>
              <w:left w:val="single" w:sz="8" w:space="0" w:color="000000"/>
              <w:bottom w:val="single" w:sz="8" w:space="0" w:color="000000"/>
              <w:right w:val="single" w:sz="8" w:space="0" w:color="000000"/>
            </w:tcBorders>
            <w:hideMark/>
          </w:tcPr>
          <w:p w14:paraId="0EE06E4B" w14:textId="77777777" w:rsidR="00CB37DE" w:rsidRPr="00D5128C" w:rsidRDefault="00CB37DE">
            <w:pPr>
              <w:pStyle w:val="aa"/>
              <w:spacing w:before="0" w:beforeAutospacing="0" w:after="0" w:afterAutospacing="0"/>
              <w:jc w:val="center"/>
              <w:rPr>
                <w:rFonts w:asciiTheme="majorBidi" w:hAnsiTheme="majorBidi" w:cstheme="majorBidi"/>
                <w:b/>
                <w:bCs/>
                <w:sz w:val="22"/>
                <w:szCs w:val="22"/>
              </w:rPr>
            </w:pPr>
            <w:r w:rsidRPr="00D5128C">
              <w:rPr>
                <w:rFonts w:asciiTheme="majorBidi" w:hAnsiTheme="majorBidi" w:cstheme="majorBidi"/>
                <w:b/>
                <w:bCs/>
                <w:color w:val="000000"/>
                <w:sz w:val="22"/>
                <w:szCs w:val="22"/>
              </w:rPr>
              <w:t>Value / Distribution</w:t>
            </w:r>
          </w:p>
        </w:tc>
        <w:tc>
          <w:tcPr>
            <w:tcW w:w="0" w:type="auto"/>
            <w:tcBorders>
              <w:top w:val="single" w:sz="8" w:space="0" w:color="000000"/>
              <w:left w:val="single" w:sz="8" w:space="0" w:color="000000"/>
              <w:bottom w:val="single" w:sz="8" w:space="0" w:color="000000"/>
              <w:right w:val="single" w:sz="8" w:space="0" w:color="000000"/>
            </w:tcBorders>
            <w:hideMark/>
          </w:tcPr>
          <w:p w14:paraId="52F3EEAA" w14:textId="77777777" w:rsidR="00CB37DE" w:rsidRPr="00D5128C" w:rsidRDefault="00CB37DE">
            <w:pPr>
              <w:pStyle w:val="aa"/>
              <w:spacing w:before="0" w:beforeAutospacing="0" w:after="0" w:afterAutospacing="0"/>
              <w:jc w:val="center"/>
              <w:rPr>
                <w:rFonts w:asciiTheme="majorBidi" w:hAnsiTheme="majorBidi" w:cstheme="majorBidi"/>
                <w:b/>
                <w:bCs/>
                <w:sz w:val="22"/>
                <w:szCs w:val="22"/>
              </w:rPr>
            </w:pPr>
            <w:r w:rsidRPr="00D5128C">
              <w:rPr>
                <w:rFonts w:asciiTheme="majorBidi" w:hAnsiTheme="majorBidi" w:cstheme="majorBidi"/>
                <w:b/>
                <w:bCs/>
                <w:color w:val="000000"/>
                <w:sz w:val="22"/>
                <w:szCs w:val="22"/>
              </w:rPr>
              <w:t>Source Calibration</w:t>
            </w:r>
          </w:p>
        </w:tc>
        <w:tc>
          <w:tcPr>
            <w:tcW w:w="0" w:type="auto"/>
            <w:tcBorders>
              <w:top w:val="single" w:sz="8" w:space="0" w:color="000000"/>
              <w:left w:val="single" w:sz="8" w:space="0" w:color="000000"/>
              <w:bottom w:val="single" w:sz="8" w:space="0" w:color="000000"/>
              <w:right w:val="single" w:sz="8" w:space="0" w:color="000000"/>
            </w:tcBorders>
            <w:hideMark/>
          </w:tcPr>
          <w:p w14:paraId="7317CB2B" w14:textId="77777777" w:rsidR="00CB37DE" w:rsidRPr="00D5128C" w:rsidRDefault="00CB37DE">
            <w:pPr>
              <w:pStyle w:val="aa"/>
              <w:spacing w:before="0" w:beforeAutospacing="0" w:after="0" w:afterAutospacing="0"/>
              <w:jc w:val="center"/>
              <w:rPr>
                <w:rFonts w:asciiTheme="majorBidi" w:hAnsiTheme="majorBidi" w:cstheme="majorBidi"/>
                <w:b/>
                <w:bCs/>
                <w:sz w:val="22"/>
                <w:szCs w:val="22"/>
              </w:rPr>
            </w:pPr>
            <w:r w:rsidRPr="00D5128C">
              <w:rPr>
                <w:rFonts w:asciiTheme="majorBidi" w:hAnsiTheme="majorBidi" w:cstheme="majorBidi"/>
                <w:b/>
                <w:bCs/>
                <w:color w:val="000000"/>
                <w:sz w:val="22"/>
                <w:szCs w:val="22"/>
              </w:rPr>
              <w:t>Parameter</w:t>
            </w:r>
          </w:p>
        </w:tc>
      </w:tr>
      <w:tr w:rsidR="00CB37DE" w:rsidRPr="00D5128C" w14:paraId="66ED177C" w14:textId="77777777">
        <w:tc>
          <w:tcPr>
            <w:tcW w:w="0" w:type="auto"/>
            <w:tcBorders>
              <w:top w:val="single" w:sz="8" w:space="0" w:color="000000"/>
              <w:left w:val="single" w:sz="8" w:space="0" w:color="000000"/>
              <w:bottom w:val="single" w:sz="8" w:space="0" w:color="000000"/>
              <w:right w:val="single" w:sz="8" w:space="0" w:color="000000"/>
            </w:tcBorders>
            <w:hideMark/>
          </w:tcPr>
          <w:p w14:paraId="35457AC8"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Official administrative data &amp; historical records.</w:t>
            </w:r>
          </w:p>
        </w:tc>
        <w:tc>
          <w:tcPr>
            <w:tcW w:w="0" w:type="auto"/>
            <w:tcBorders>
              <w:top w:val="single" w:sz="8" w:space="0" w:color="000000"/>
              <w:left w:val="single" w:sz="8" w:space="0" w:color="000000"/>
              <w:bottom w:val="single" w:sz="8" w:space="0" w:color="000000"/>
              <w:right w:val="single" w:sz="8" w:space="0" w:color="000000"/>
            </w:tcBorders>
            <w:hideMark/>
          </w:tcPr>
          <w:p w14:paraId="458427CB"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High</w:t>
            </w:r>
          </w:p>
        </w:tc>
        <w:tc>
          <w:tcPr>
            <w:tcW w:w="0" w:type="auto"/>
            <w:tcBorders>
              <w:top w:val="single" w:sz="8" w:space="0" w:color="000000"/>
              <w:left w:val="single" w:sz="8" w:space="0" w:color="000000"/>
              <w:bottom w:val="single" w:sz="8" w:space="0" w:color="000000"/>
              <w:right w:val="single" w:sz="8" w:space="0" w:color="000000"/>
            </w:tcBorders>
            <w:hideMark/>
          </w:tcPr>
          <w:p w14:paraId="79F7681D"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94%</w:t>
            </w:r>
          </w:p>
        </w:tc>
        <w:tc>
          <w:tcPr>
            <w:tcW w:w="0" w:type="auto"/>
            <w:tcBorders>
              <w:top w:val="single" w:sz="8" w:space="0" w:color="000000"/>
              <w:left w:val="single" w:sz="8" w:space="0" w:color="000000"/>
              <w:bottom w:val="single" w:sz="8" w:space="0" w:color="000000"/>
              <w:right w:val="single" w:sz="8" w:space="0" w:color="000000"/>
            </w:tcBorders>
            <w:hideMark/>
          </w:tcPr>
          <w:p w14:paraId="23622AC8"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UNESCO (2024) [26]</w:t>
            </w:r>
          </w:p>
        </w:tc>
        <w:tc>
          <w:tcPr>
            <w:tcW w:w="0" w:type="auto"/>
            <w:tcBorders>
              <w:top w:val="single" w:sz="8" w:space="0" w:color="000000"/>
              <w:left w:val="single" w:sz="8" w:space="0" w:color="000000"/>
              <w:bottom w:val="single" w:sz="8" w:space="0" w:color="000000"/>
              <w:right w:val="single" w:sz="8" w:space="0" w:color="000000"/>
            </w:tcBorders>
            <w:hideMark/>
          </w:tcPr>
          <w:p w14:paraId="080FF315"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Baseline attendance</w:t>
            </w:r>
          </w:p>
        </w:tc>
      </w:tr>
      <w:tr w:rsidR="00CB37DE" w:rsidRPr="00D5128C" w14:paraId="4AC5C91F" w14:textId="77777777">
        <w:tc>
          <w:tcPr>
            <w:tcW w:w="0" w:type="auto"/>
            <w:tcBorders>
              <w:top w:val="single" w:sz="8" w:space="0" w:color="000000"/>
              <w:left w:val="single" w:sz="8" w:space="0" w:color="000000"/>
              <w:bottom w:val="single" w:sz="8" w:space="0" w:color="000000"/>
              <w:right w:val="single" w:sz="8" w:space="0" w:color="000000"/>
            </w:tcBorders>
            <w:hideMark/>
          </w:tcPr>
          <w:p w14:paraId="30AAEC5B"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Cross-verified multi-source humanitarian surveys.</w:t>
            </w:r>
          </w:p>
        </w:tc>
        <w:tc>
          <w:tcPr>
            <w:tcW w:w="0" w:type="auto"/>
            <w:tcBorders>
              <w:top w:val="single" w:sz="8" w:space="0" w:color="000000"/>
              <w:left w:val="single" w:sz="8" w:space="0" w:color="000000"/>
              <w:bottom w:val="single" w:sz="8" w:space="0" w:color="000000"/>
              <w:right w:val="single" w:sz="8" w:space="0" w:color="000000"/>
            </w:tcBorders>
            <w:hideMark/>
          </w:tcPr>
          <w:p w14:paraId="283A1FA6"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High</w:t>
            </w:r>
          </w:p>
        </w:tc>
        <w:tc>
          <w:tcPr>
            <w:tcW w:w="0" w:type="auto"/>
            <w:tcBorders>
              <w:top w:val="single" w:sz="8" w:space="0" w:color="000000"/>
              <w:left w:val="single" w:sz="8" w:space="0" w:color="000000"/>
              <w:bottom w:val="single" w:sz="8" w:space="0" w:color="000000"/>
              <w:right w:val="single" w:sz="8" w:space="0" w:color="000000"/>
            </w:tcBorders>
            <w:hideMark/>
          </w:tcPr>
          <w:p w14:paraId="58DCECCF"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38% (mean)</w:t>
            </w:r>
          </w:p>
        </w:tc>
        <w:tc>
          <w:tcPr>
            <w:tcW w:w="0" w:type="auto"/>
            <w:tcBorders>
              <w:top w:val="single" w:sz="8" w:space="0" w:color="000000"/>
              <w:left w:val="single" w:sz="8" w:space="0" w:color="000000"/>
              <w:bottom w:val="single" w:sz="8" w:space="0" w:color="000000"/>
              <w:right w:val="single" w:sz="8" w:space="0" w:color="000000"/>
            </w:tcBorders>
            <w:hideMark/>
          </w:tcPr>
          <w:p w14:paraId="2E75A24F"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UNICEF (2025) [12]</w:t>
            </w:r>
          </w:p>
        </w:tc>
        <w:tc>
          <w:tcPr>
            <w:tcW w:w="0" w:type="auto"/>
            <w:tcBorders>
              <w:top w:val="single" w:sz="8" w:space="0" w:color="000000"/>
              <w:left w:val="single" w:sz="8" w:space="0" w:color="000000"/>
              <w:bottom w:val="single" w:sz="8" w:space="0" w:color="000000"/>
              <w:right w:val="single" w:sz="8" w:space="0" w:color="000000"/>
            </w:tcBorders>
            <w:hideMark/>
          </w:tcPr>
          <w:p w14:paraId="71E073C2"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Attendance during conflict</w:t>
            </w:r>
          </w:p>
        </w:tc>
      </w:tr>
      <w:tr w:rsidR="00CB37DE" w:rsidRPr="00D5128C" w14:paraId="387EC81B" w14:textId="77777777">
        <w:tc>
          <w:tcPr>
            <w:tcW w:w="0" w:type="auto"/>
            <w:tcBorders>
              <w:top w:val="single" w:sz="8" w:space="0" w:color="000000"/>
              <w:left w:val="single" w:sz="8" w:space="0" w:color="000000"/>
              <w:bottom w:val="single" w:sz="8" w:space="0" w:color="000000"/>
              <w:right w:val="single" w:sz="8" w:space="0" w:color="000000"/>
            </w:tcBorders>
            <w:hideMark/>
          </w:tcPr>
          <w:p w14:paraId="20C17677"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Estimates derived from qualitative field reports.</w:t>
            </w:r>
          </w:p>
        </w:tc>
        <w:tc>
          <w:tcPr>
            <w:tcW w:w="0" w:type="auto"/>
            <w:tcBorders>
              <w:top w:val="single" w:sz="8" w:space="0" w:color="000000"/>
              <w:left w:val="single" w:sz="8" w:space="0" w:color="000000"/>
              <w:bottom w:val="single" w:sz="8" w:space="0" w:color="000000"/>
              <w:right w:val="single" w:sz="8" w:space="0" w:color="000000"/>
            </w:tcBorders>
            <w:hideMark/>
          </w:tcPr>
          <w:p w14:paraId="38EA82A8"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Medium</w:t>
            </w:r>
          </w:p>
        </w:tc>
        <w:tc>
          <w:tcPr>
            <w:tcW w:w="0" w:type="auto"/>
            <w:tcBorders>
              <w:top w:val="single" w:sz="8" w:space="0" w:color="000000"/>
              <w:left w:val="single" w:sz="8" w:space="0" w:color="000000"/>
              <w:bottom w:val="single" w:sz="8" w:space="0" w:color="000000"/>
              <w:right w:val="single" w:sz="8" w:space="0" w:color="000000"/>
            </w:tcBorders>
            <w:hideMark/>
          </w:tcPr>
          <w:p w14:paraId="17A32F31"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Normal(4.5, 1.2) hours</w:t>
            </w:r>
          </w:p>
        </w:tc>
        <w:tc>
          <w:tcPr>
            <w:tcW w:w="0" w:type="auto"/>
            <w:tcBorders>
              <w:top w:val="single" w:sz="8" w:space="0" w:color="000000"/>
              <w:left w:val="single" w:sz="8" w:space="0" w:color="000000"/>
              <w:bottom w:val="single" w:sz="8" w:space="0" w:color="000000"/>
              <w:right w:val="single" w:sz="8" w:space="0" w:color="000000"/>
            </w:tcBorders>
            <w:hideMark/>
          </w:tcPr>
          <w:p w14:paraId="6A561B34"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OCHA (2025) [3]</w:t>
            </w:r>
          </w:p>
        </w:tc>
        <w:tc>
          <w:tcPr>
            <w:tcW w:w="0" w:type="auto"/>
            <w:tcBorders>
              <w:top w:val="single" w:sz="8" w:space="0" w:color="000000"/>
              <w:left w:val="single" w:sz="8" w:space="0" w:color="000000"/>
              <w:bottom w:val="single" w:sz="8" w:space="0" w:color="000000"/>
              <w:right w:val="single" w:sz="8" w:space="0" w:color="000000"/>
            </w:tcBorders>
            <w:hideMark/>
          </w:tcPr>
          <w:p w14:paraId="045E80C5"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Daily survival labour</w:t>
            </w:r>
          </w:p>
        </w:tc>
      </w:tr>
      <w:tr w:rsidR="00CB37DE" w:rsidRPr="00D5128C" w14:paraId="308DE95E" w14:textId="77777777">
        <w:tc>
          <w:tcPr>
            <w:tcW w:w="0" w:type="auto"/>
            <w:tcBorders>
              <w:top w:val="single" w:sz="8" w:space="0" w:color="000000"/>
              <w:left w:val="single" w:sz="8" w:space="0" w:color="000000"/>
              <w:bottom w:val="single" w:sz="8" w:space="0" w:color="000000"/>
              <w:right w:val="single" w:sz="8" w:space="0" w:color="000000"/>
            </w:tcBorders>
            <w:hideMark/>
          </w:tcPr>
          <w:p w14:paraId="72CF72AC"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Large-scale cluster surveys and rapid assessments.</w:t>
            </w:r>
          </w:p>
        </w:tc>
        <w:tc>
          <w:tcPr>
            <w:tcW w:w="0" w:type="auto"/>
            <w:tcBorders>
              <w:top w:val="single" w:sz="8" w:space="0" w:color="000000"/>
              <w:left w:val="single" w:sz="8" w:space="0" w:color="000000"/>
              <w:bottom w:val="single" w:sz="8" w:space="0" w:color="000000"/>
              <w:right w:val="single" w:sz="8" w:space="0" w:color="000000"/>
            </w:tcBorders>
            <w:hideMark/>
          </w:tcPr>
          <w:p w14:paraId="1B6F1989"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High</w:t>
            </w:r>
          </w:p>
        </w:tc>
        <w:tc>
          <w:tcPr>
            <w:tcW w:w="0" w:type="auto"/>
            <w:tcBorders>
              <w:top w:val="single" w:sz="8" w:space="0" w:color="000000"/>
              <w:left w:val="single" w:sz="8" w:space="0" w:color="000000"/>
              <w:bottom w:val="single" w:sz="8" w:space="0" w:color="000000"/>
              <w:right w:val="single" w:sz="8" w:space="0" w:color="000000"/>
            </w:tcBorders>
            <w:hideMark/>
          </w:tcPr>
          <w:p w14:paraId="10336993"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65% of households</w:t>
            </w:r>
          </w:p>
        </w:tc>
        <w:tc>
          <w:tcPr>
            <w:tcW w:w="0" w:type="auto"/>
            <w:tcBorders>
              <w:top w:val="single" w:sz="8" w:space="0" w:color="000000"/>
              <w:left w:val="single" w:sz="8" w:space="0" w:color="000000"/>
              <w:bottom w:val="single" w:sz="8" w:space="0" w:color="000000"/>
              <w:right w:val="single" w:sz="8" w:space="0" w:color="000000"/>
            </w:tcBorders>
            <w:hideMark/>
          </w:tcPr>
          <w:p w14:paraId="1F65E6D9"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UNICEF (2025) [12]</w:t>
            </w:r>
          </w:p>
        </w:tc>
        <w:tc>
          <w:tcPr>
            <w:tcW w:w="0" w:type="auto"/>
            <w:tcBorders>
              <w:top w:val="single" w:sz="8" w:space="0" w:color="000000"/>
              <w:left w:val="single" w:sz="8" w:space="0" w:color="000000"/>
              <w:bottom w:val="single" w:sz="8" w:space="0" w:color="000000"/>
              <w:right w:val="single" w:sz="8" w:space="0" w:color="000000"/>
            </w:tcBorders>
            <w:hideMark/>
          </w:tcPr>
          <w:p w14:paraId="2355E063"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Water access (&lt;5 L/cap/day)</w:t>
            </w:r>
          </w:p>
        </w:tc>
      </w:tr>
      <w:tr w:rsidR="00CB37DE" w:rsidRPr="00D5128C" w14:paraId="0FFAE421" w14:textId="77777777">
        <w:tc>
          <w:tcPr>
            <w:tcW w:w="0" w:type="auto"/>
            <w:tcBorders>
              <w:top w:val="single" w:sz="8" w:space="0" w:color="000000"/>
              <w:left w:val="single" w:sz="8" w:space="0" w:color="000000"/>
              <w:bottom w:val="single" w:sz="8" w:space="0" w:color="000000"/>
              <w:right w:val="single" w:sz="8" w:space="0" w:color="000000"/>
            </w:tcBorders>
            <w:hideMark/>
          </w:tcPr>
          <w:p w14:paraId="4F3E85DA"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Standardised nutrition surveys (SMART methodology).</w:t>
            </w:r>
          </w:p>
        </w:tc>
        <w:tc>
          <w:tcPr>
            <w:tcW w:w="0" w:type="auto"/>
            <w:tcBorders>
              <w:top w:val="single" w:sz="8" w:space="0" w:color="000000"/>
              <w:left w:val="single" w:sz="8" w:space="0" w:color="000000"/>
              <w:bottom w:val="single" w:sz="8" w:space="0" w:color="000000"/>
              <w:right w:val="single" w:sz="8" w:space="0" w:color="000000"/>
            </w:tcBorders>
            <w:hideMark/>
          </w:tcPr>
          <w:p w14:paraId="2CA1D9B5"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High</w:t>
            </w:r>
          </w:p>
        </w:tc>
        <w:tc>
          <w:tcPr>
            <w:tcW w:w="0" w:type="auto"/>
            <w:tcBorders>
              <w:top w:val="single" w:sz="8" w:space="0" w:color="000000"/>
              <w:left w:val="single" w:sz="8" w:space="0" w:color="000000"/>
              <w:bottom w:val="single" w:sz="8" w:space="0" w:color="000000"/>
              <w:right w:val="single" w:sz="8" w:space="0" w:color="000000"/>
            </w:tcBorders>
            <w:hideMark/>
          </w:tcPr>
          <w:p w14:paraId="5829C29A"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68%</w:t>
            </w:r>
          </w:p>
        </w:tc>
        <w:tc>
          <w:tcPr>
            <w:tcW w:w="0" w:type="auto"/>
            <w:tcBorders>
              <w:top w:val="single" w:sz="8" w:space="0" w:color="000000"/>
              <w:left w:val="single" w:sz="8" w:space="0" w:color="000000"/>
              <w:bottom w:val="single" w:sz="8" w:space="0" w:color="000000"/>
              <w:right w:val="single" w:sz="8" w:space="0" w:color="000000"/>
            </w:tcBorders>
            <w:hideMark/>
          </w:tcPr>
          <w:p w14:paraId="551B8395"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WHO (2024) [27]</w:t>
            </w:r>
          </w:p>
        </w:tc>
        <w:tc>
          <w:tcPr>
            <w:tcW w:w="0" w:type="auto"/>
            <w:tcBorders>
              <w:top w:val="single" w:sz="8" w:space="0" w:color="000000"/>
              <w:left w:val="single" w:sz="8" w:space="0" w:color="000000"/>
              <w:bottom w:val="single" w:sz="8" w:space="0" w:color="000000"/>
              <w:right w:val="single" w:sz="8" w:space="0" w:color="000000"/>
            </w:tcBorders>
            <w:hideMark/>
          </w:tcPr>
          <w:p w14:paraId="1B93CBB7"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Malnutrition prevalence</w:t>
            </w:r>
          </w:p>
        </w:tc>
      </w:tr>
      <w:tr w:rsidR="00CB37DE" w:rsidRPr="00D5128C" w14:paraId="3CA112B8" w14:textId="77777777">
        <w:tc>
          <w:tcPr>
            <w:tcW w:w="0" w:type="auto"/>
            <w:tcBorders>
              <w:top w:val="single" w:sz="8" w:space="0" w:color="000000"/>
              <w:left w:val="single" w:sz="8" w:space="0" w:color="000000"/>
              <w:bottom w:val="single" w:sz="8" w:space="0" w:color="000000"/>
              <w:right w:val="single" w:sz="8" w:space="0" w:color="000000"/>
            </w:tcBorders>
            <w:hideMark/>
          </w:tcPr>
          <w:p w14:paraId="270E85C1"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Single-context study with localized sample size.</w:t>
            </w:r>
          </w:p>
        </w:tc>
        <w:tc>
          <w:tcPr>
            <w:tcW w:w="0" w:type="auto"/>
            <w:tcBorders>
              <w:top w:val="single" w:sz="8" w:space="0" w:color="000000"/>
              <w:left w:val="single" w:sz="8" w:space="0" w:color="000000"/>
              <w:bottom w:val="single" w:sz="8" w:space="0" w:color="000000"/>
              <w:right w:val="single" w:sz="8" w:space="0" w:color="000000"/>
            </w:tcBorders>
            <w:hideMark/>
          </w:tcPr>
          <w:p w14:paraId="732E06B1"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Medium</w:t>
            </w:r>
          </w:p>
        </w:tc>
        <w:tc>
          <w:tcPr>
            <w:tcW w:w="0" w:type="auto"/>
            <w:tcBorders>
              <w:top w:val="single" w:sz="8" w:space="0" w:color="000000"/>
              <w:left w:val="single" w:sz="8" w:space="0" w:color="000000"/>
              <w:bottom w:val="single" w:sz="8" w:space="0" w:color="000000"/>
              <w:right w:val="single" w:sz="8" w:space="0" w:color="000000"/>
            </w:tcBorders>
            <w:hideMark/>
          </w:tcPr>
          <w:p w14:paraId="47C39C60"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45% reduction</w:t>
            </w:r>
          </w:p>
        </w:tc>
        <w:tc>
          <w:tcPr>
            <w:tcW w:w="0" w:type="auto"/>
            <w:tcBorders>
              <w:top w:val="single" w:sz="8" w:space="0" w:color="000000"/>
              <w:left w:val="single" w:sz="8" w:space="0" w:color="000000"/>
              <w:bottom w:val="single" w:sz="8" w:space="0" w:color="000000"/>
              <w:right w:val="single" w:sz="8" w:space="0" w:color="000000"/>
            </w:tcBorders>
            <w:hideMark/>
          </w:tcPr>
          <w:p w14:paraId="3652F441"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El Tamimi &amp; Saleh (2024) [13]</w:t>
            </w:r>
          </w:p>
        </w:tc>
        <w:tc>
          <w:tcPr>
            <w:tcW w:w="0" w:type="auto"/>
            <w:tcBorders>
              <w:top w:val="single" w:sz="8" w:space="0" w:color="000000"/>
              <w:left w:val="single" w:sz="8" w:space="0" w:color="000000"/>
              <w:bottom w:val="single" w:sz="8" w:space="0" w:color="000000"/>
              <w:right w:val="single" w:sz="8" w:space="0" w:color="000000"/>
            </w:tcBorders>
            <w:hideMark/>
          </w:tcPr>
          <w:p w14:paraId="2771323D"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Cognitive penalty (dehydration)</w:t>
            </w:r>
          </w:p>
        </w:tc>
      </w:tr>
      <w:tr w:rsidR="00CB37DE" w:rsidRPr="00D5128C" w14:paraId="450AC461" w14:textId="77777777">
        <w:tc>
          <w:tcPr>
            <w:tcW w:w="0" w:type="auto"/>
            <w:tcBorders>
              <w:top w:val="single" w:sz="8" w:space="0" w:color="000000"/>
              <w:left w:val="single" w:sz="8" w:space="0" w:color="000000"/>
              <w:bottom w:val="single" w:sz="8" w:space="0" w:color="000000"/>
              <w:right w:val="single" w:sz="8" w:space="0" w:color="000000"/>
            </w:tcBorders>
            <w:hideMark/>
          </w:tcPr>
          <w:p w14:paraId="0A57FE67"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Meta-analytic estimate adapted for acute scarcity.</w:t>
            </w:r>
          </w:p>
        </w:tc>
        <w:tc>
          <w:tcPr>
            <w:tcW w:w="0" w:type="auto"/>
            <w:tcBorders>
              <w:top w:val="single" w:sz="8" w:space="0" w:color="000000"/>
              <w:left w:val="single" w:sz="8" w:space="0" w:color="000000"/>
              <w:bottom w:val="single" w:sz="8" w:space="0" w:color="000000"/>
              <w:right w:val="single" w:sz="8" w:space="0" w:color="000000"/>
            </w:tcBorders>
            <w:hideMark/>
          </w:tcPr>
          <w:p w14:paraId="6CC77BEC"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Medium</w:t>
            </w:r>
          </w:p>
        </w:tc>
        <w:tc>
          <w:tcPr>
            <w:tcW w:w="0" w:type="auto"/>
            <w:tcBorders>
              <w:top w:val="single" w:sz="8" w:space="0" w:color="000000"/>
              <w:left w:val="single" w:sz="8" w:space="0" w:color="000000"/>
              <w:bottom w:val="single" w:sz="8" w:space="0" w:color="000000"/>
              <w:right w:val="single" w:sz="8" w:space="0" w:color="000000"/>
            </w:tcBorders>
            <w:hideMark/>
          </w:tcPr>
          <w:p w14:paraId="3BEA0A04"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30% reduction</w:t>
            </w:r>
          </w:p>
        </w:tc>
        <w:tc>
          <w:tcPr>
            <w:tcW w:w="0" w:type="auto"/>
            <w:tcBorders>
              <w:top w:val="single" w:sz="8" w:space="0" w:color="000000"/>
              <w:left w:val="single" w:sz="8" w:space="0" w:color="000000"/>
              <w:bottom w:val="single" w:sz="8" w:space="0" w:color="000000"/>
              <w:right w:val="single" w:sz="8" w:space="0" w:color="000000"/>
            </w:tcBorders>
            <w:hideMark/>
          </w:tcPr>
          <w:p w14:paraId="1C8F09E8"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Walker &amp; Carter (2024) [29]</w:t>
            </w:r>
          </w:p>
        </w:tc>
        <w:tc>
          <w:tcPr>
            <w:tcW w:w="0" w:type="auto"/>
            <w:tcBorders>
              <w:top w:val="single" w:sz="8" w:space="0" w:color="000000"/>
              <w:left w:val="single" w:sz="8" w:space="0" w:color="000000"/>
              <w:bottom w:val="single" w:sz="8" w:space="0" w:color="000000"/>
              <w:right w:val="single" w:sz="8" w:space="0" w:color="000000"/>
            </w:tcBorders>
            <w:hideMark/>
          </w:tcPr>
          <w:p w14:paraId="367BC394"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Cognitive penalty (malnutrition)</w:t>
            </w:r>
          </w:p>
        </w:tc>
      </w:tr>
      <w:tr w:rsidR="00CB37DE" w:rsidRPr="00D5128C" w14:paraId="22E8FF53" w14:textId="77777777">
        <w:tc>
          <w:tcPr>
            <w:tcW w:w="0" w:type="auto"/>
            <w:tcBorders>
              <w:top w:val="single" w:sz="8" w:space="0" w:color="000000"/>
              <w:left w:val="single" w:sz="8" w:space="0" w:color="000000"/>
              <w:bottom w:val="single" w:sz="8" w:space="0" w:color="000000"/>
              <w:right w:val="single" w:sz="8" w:space="0" w:color="000000"/>
            </w:tcBorders>
            <w:hideMark/>
          </w:tcPr>
          <w:p w14:paraId="491C9F3F"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Systematic facility-level satellite &amp; site assessments.</w:t>
            </w:r>
          </w:p>
        </w:tc>
        <w:tc>
          <w:tcPr>
            <w:tcW w:w="0" w:type="auto"/>
            <w:tcBorders>
              <w:top w:val="single" w:sz="8" w:space="0" w:color="000000"/>
              <w:left w:val="single" w:sz="8" w:space="0" w:color="000000"/>
              <w:bottom w:val="single" w:sz="8" w:space="0" w:color="000000"/>
              <w:right w:val="single" w:sz="8" w:space="0" w:color="000000"/>
            </w:tcBorders>
            <w:hideMark/>
          </w:tcPr>
          <w:p w14:paraId="6A15FDD7"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High</w:t>
            </w:r>
          </w:p>
        </w:tc>
        <w:tc>
          <w:tcPr>
            <w:tcW w:w="0" w:type="auto"/>
            <w:tcBorders>
              <w:top w:val="single" w:sz="8" w:space="0" w:color="000000"/>
              <w:left w:val="single" w:sz="8" w:space="0" w:color="000000"/>
              <w:bottom w:val="single" w:sz="8" w:space="0" w:color="000000"/>
              <w:right w:val="single" w:sz="8" w:space="0" w:color="000000"/>
            </w:tcBorders>
            <w:hideMark/>
          </w:tcPr>
          <w:p w14:paraId="68B805A8"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70% of schools affected</w:t>
            </w:r>
          </w:p>
        </w:tc>
        <w:tc>
          <w:tcPr>
            <w:tcW w:w="0" w:type="auto"/>
            <w:tcBorders>
              <w:top w:val="single" w:sz="8" w:space="0" w:color="000000"/>
              <w:left w:val="single" w:sz="8" w:space="0" w:color="000000"/>
              <w:bottom w:val="single" w:sz="8" w:space="0" w:color="000000"/>
              <w:right w:val="single" w:sz="8" w:space="0" w:color="000000"/>
            </w:tcBorders>
            <w:hideMark/>
          </w:tcPr>
          <w:p w14:paraId="76BDF517"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UNRWA (2024)</w:t>
            </w:r>
          </w:p>
        </w:tc>
        <w:tc>
          <w:tcPr>
            <w:tcW w:w="0" w:type="auto"/>
            <w:tcBorders>
              <w:top w:val="single" w:sz="8" w:space="0" w:color="000000"/>
              <w:left w:val="single" w:sz="8" w:space="0" w:color="000000"/>
              <w:bottom w:val="single" w:sz="8" w:space="0" w:color="000000"/>
              <w:right w:val="single" w:sz="8" w:space="0" w:color="000000"/>
            </w:tcBorders>
            <w:hideMark/>
          </w:tcPr>
          <w:p w14:paraId="7070653E"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Infrastructure damage</w:t>
            </w:r>
          </w:p>
        </w:tc>
      </w:tr>
      <w:tr w:rsidR="00CB37DE" w:rsidRPr="00D5128C" w14:paraId="3D0707BB" w14:textId="77777777">
        <w:tc>
          <w:tcPr>
            <w:tcW w:w="0" w:type="auto"/>
            <w:tcBorders>
              <w:top w:val="single" w:sz="8" w:space="0" w:color="000000"/>
              <w:left w:val="single" w:sz="8" w:space="0" w:color="000000"/>
              <w:bottom w:val="single" w:sz="8" w:space="0" w:color="000000"/>
              <w:right w:val="single" w:sz="8" w:space="0" w:color="000000"/>
            </w:tcBorders>
            <w:hideMark/>
          </w:tcPr>
          <w:p w14:paraId="5F97DA1C"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IPC-compatible food security and livelihood surveys.</w:t>
            </w:r>
          </w:p>
        </w:tc>
        <w:tc>
          <w:tcPr>
            <w:tcW w:w="0" w:type="auto"/>
            <w:tcBorders>
              <w:top w:val="single" w:sz="8" w:space="0" w:color="000000"/>
              <w:left w:val="single" w:sz="8" w:space="0" w:color="000000"/>
              <w:bottom w:val="single" w:sz="8" w:space="0" w:color="000000"/>
              <w:right w:val="single" w:sz="8" w:space="0" w:color="000000"/>
            </w:tcBorders>
            <w:hideMark/>
          </w:tcPr>
          <w:p w14:paraId="5F973E89"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High</w:t>
            </w:r>
          </w:p>
        </w:tc>
        <w:tc>
          <w:tcPr>
            <w:tcW w:w="0" w:type="auto"/>
            <w:tcBorders>
              <w:top w:val="single" w:sz="8" w:space="0" w:color="000000"/>
              <w:left w:val="single" w:sz="8" w:space="0" w:color="000000"/>
              <w:bottom w:val="single" w:sz="8" w:space="0" w:color="000000"/>
              <w:right w:val="single" w:sz="8" w:space="0" w:color="000000"/>
            </w:tcBorders>
            <w:hideMark/>
          </w:tcPr>
          <w:p w14:paraId="4846E9DB"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80% of households</w:t>
            </w:r>
          </w:p>
        </w:tc>
        <w:tc>
          <w:tcPr>
            <w:tcW w:w="0" w:type="auto"/>
            <w:tcBorders>
              <w:top w:val="single" w:sz="8" w:space="0" w:color="000000"/>
              <w:left w:val="single" w:sz="8" w:space="0" w:color="000000"/>
              <w:bottom w:val="single" w:sz="8" w:space="0" w:color="000000"/>
              <w:right w:val="single" w:sz="8" w:space="0" w:color="000000"/>
            </w:tcBorders>
            <w:hideMark/>
          </w:tcPr>
          <w:p w14:paraId="63865976"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color w:val="000000"/>
                <w:sz w:val="22"/>
                <w:szCs w:val="22"/>
              </w:rPr>
              <w:t>FAO (2025) [30]</w:t>
            </w:r>
          </w:p>
        </w:tc>
        <w:tc>
          <w:tcPr>
            <w:tcW w:w="0" w:type="auto"/>
            <w:tcBorders>
              <w:top w:val="single" w:sz="8" w:space="0" w:color="000000"/>
              <w:left w:val="single" w:sz="8" w:space="0" w:color="000000"/>
              <w:bottom w:val="single" w:sz="8" w:space="0" w:color="000000"/>
              <w:right w:val="single" w:sz="8" w:space="0" w:color="000000"/>
            </w:tcBorders>
            <w:hideMark/>
          </w:tcPr>
          <w:p w14:paraId="3422FB14" w14:textId="77777777" w:rsidR="00CB37DE" w:rsidRPr="00D5128C" w:rsidRDefault="00CB37DE">
            <w:pPr>
              <w:pStyle w:val="aa"/>
              <w:spacing w:before="0" w:beforeAutospacing="0" w:after="0" w:afterAutospacing="0"/>
              <w:rPr>
                <w:rFonts w:asciiTheme="majorBidi" w:hAnsiTheme="majorBidi" w:cstheme="majorBidi"/>
                <w:sz w:val="22"/>
                <w:szCs w:val="22"/>
              </w:rPr>
            </w:pPr>
            <w:r w:rsidRPr="00D5128C">
              <w:rPr>
                <w:rFonts w:asciiTheme="majorBidi" w:hAnsiTheme="majorBidi" w:cstheme="majorBidi"/>
                <w:b/>
                <w:bCs/>
                <w:color w:val="000000"/>
                <w:sz w:val="22"/>
                <w:szCs w:val="22"/>
              </w:rPr>
              <w:t>Food insecurity</w:t>
            </w:r>
          </w:p>
        </w:tc>
      </w:tr>
    </w:tbl>
    <w:p w14:paraId="3DE5E42B" w14:textId="77777777" w:rsidR="00CB37DE" w:rsidRPr="00D5128C" w:rsidRDefault="00CB37DE" w:rsidP="007D678A">
      <w:pPr>
        <w:bidi w:val="0"/>
        <w:spacing w:line="360" w:lineRule="auto"/>
        <w:rPr>
          <w:rFonts w:asciiTheme="majorBidi" w:hAnsiTheme="majorBidi" w:cstheme="majorBidi"/>
          <w:b/>
          <w:bCs/>
          <w:sz w:val="22"/>
          <w:szCs w:val="22"/>
        </w:rPr>
      </w:pPr>
    </w:p>
    <w:p w14:paraId="374DBEA0" w14:textId="647A2B8E" w:rsidR="00047E5A" w:rsidRDefault="007D678A" w:rsidP="00CB37DE">
      <w:pPr>
        <w:bidi w:val="0"/>
        <w:spacing w:line="360" w:lineRule="auto"/>
        <w:rPr>
          <w:rFonts w:asciiTheme="majorBidi" w:hAnsiTheme="majorBidi" w:cstheme="majorBidi"/>
        </w:rPr>
      </w:pPr>
      <w:r w:rsidRPr="00D5128C">
        <w:rPr>
          <w:rFonts w:asciiTheme="majorBidi" w:hAnsiTheme="majorBidi" w:cstheme="majorBidi"/>
          <w:b/>
          <w:bCs/>
        </w:rPr>
        <w:t xml:space="preserve">Note: </w:t>
      </w:r>
      <w:r w:rsidRPr="00D5128C">
        <w:rPr>
          <w:rFonts w:asciiTheme="majorBidi" w:hAnsiTheme="majorBidi" w:cstheme="majorBidi"/>
        </w:rPr>
        <w:t>Basel</w:t>
      </w:r>
      <w:r w:rsidRPr="007D678A">
        <w:rPr>
          <w:rFonts w:asciiTheme="majorBidi" w:hAnsiTheme="majorBidi" w:cstheme="majorBidi"/>
        </w:rPr>
        <w:t>ine and conflict-related parameters are sourced from the most recent humanitarian reports (2024–2025). Cognitive penalties reflect the percentage reduction in standardized test scores or developmental milestones as identified in the cited neurological and educational studies.</w:t>
      </w:r>
    </w:p>
    <w:p w14:paraId="00240469" w14:textId="77777777" w:rsidR="0066129E" w:rsidRDefault="0066129E" w:rsidP="0066129E">
      <w:pPr>
        <w:bidi w:val="0"/>
        <w:spacing w:line="360" w:lineRule="auto"/>
        <w:rPr>
          <w:rFonts w:asciiTheme="majorBidi" w:hAnsiTheme="majorBidi" w:cstheme="majorBidi"/>
        </w:rPr>
      </w:pPr>
    </w:p>
    <w:p w14:paraId="6029A08F" w14:textId="4C753F0F" w:rsidR="002E0C67" w:rsidRDefault="00195D76" w:rsidP="002E0C67">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490106DA" wp14:editId="5C58A7BD">
            <wp:simplePos x="0" y="0"/>
            <wp:positionH relativeFrom="column">
              <wp:posOffset>-168275</wp:posOffset>
            </wp:positionH>
            <wp:positionV relativeFrom="paragraph">
              <wp:posOffset>353060</wp:posOffset>
            </wp:positionV>
            <wp:extent cx="5274310" cy="3483610"/>
            <wp:effectExtent l="0" t="0" r="2540" b="2540"/>
            <wp:wrapTopAndBottom/>
            <wp:docPr id="151944247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42477" name="صورة 15194424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483610"/>
                    </a:xfrm>
                    <a:prstGeom prst="rect">
                      <a:avLst/>
                    </a:prstGeom>
                  </pic:spPr>
                </pic:pic>
              </a:graphicData>
            </a:graphic>
          </wp:anchor>
        </w:drawing>
      </w:r>
    </w:p>
    <w:p w14:paraId="2AC92D1B" w14:textId="1F2A6743" w:rsidR="002E0C67" w:rsidRPr="000D4855" w:rsidRDefault="00D24F8C" w:rsidP="0066129E">
      <w:pPr>
        <w:bidi w:val="0"/>
        <w:spacing w:line="240" w:lineRule="auto"/>
        <w:rPr>
          <w:rFonts w:asciiTheme="majorBidi" w:hAnsiTheme="majorBidi" w:cstheme="majorBidi"/>
          <w:b/>
          <w:bCs/>
          <w:sz w:val="22"/>
          <w:szCs w:val="22"/>
        </w:rPr>
      </w:pPr>
      <w:r w:rsidRPr="000D4855">
        <w:rPr>
          <w:rFonts w:asciiTheme="majorBidi" w:hAnsiTheme="majorBidi" w:cstheme="majorBidi"/>
          <w:b/>
          <w:bCs/>
          <w:sz w:val="22"/>
          <w:szCs w:val="22"/>
        </w:rPr>
        <w:t xml:space="preserve">Figure 3: Conditional Average Treatment Effect (CATE) of Water Access on School </w:t>
      </w:r>
      <w:r w:rsidR="00506B92">
        <w:rPr>
          <w:rFonts w:asciiTheme="majorBidi" w:hAnsiTheme="majorBidi" w:cstheme="majorBidi"/>
          <w:b/>
          <w:bCs/>
          <w:sz w:val="22"/>
          <w:szCs w:val="22"/>
        </w:rPr>
        <w:t>Attendance</w:t>
      </w:r>
    </w:p>
    <w:p w14:paraId="5EFF945D" w14:textId="77777777" w:rsidR="003C713C" w:rsidRDefault="003C713C" w:rsidP="003C713C">
      <w:pPr>
        <w:bidi w:val="0"/>
        <w:spacing w:line="240" w:lineRule="auto"/>
        <w:rPr>
          <w:rFonts w:asciiTheme="majorBidi" w:hAnsiTheme="majorBidi" w:cstheme="majorBidi"/>
          <w:b/>
          <w:bCs/>
          <w:sz w:val="28"/>
          <w:szCs w:val="28"/>
        </w:rPr>
      </w:pPr>
    </w:p>
    <w:p w14:paraId="23C9E096" w14:textId="77777777" w:rsidR="003C713C" w:rsidRDefault="003C713C" w:rsidP="003C713C">
      <w:pPr>
        <w:bidi w:val="0"/>
        <w:spacing w:line="240" w:lineRule="auto"/>
        <w:rPr>
          <w:rFonts w:asciiTheme="majorBidi" w:hAnsiTheme="majorBidi" w:cstheme="majorBidi"/>
          <w:b/>
          <w:bCs/>
          <w:sz w:val="28"/>
          <w:szCs w:val="28"/>
        </w:rPr>
      </w:pPr>
    </w:p>
    <w:p w14:paraId="604D8C2B" w14:textId="5F1925FD" w:rsidR="009D6A27" w:rsidRDefault="00E32A12" w:rsidP="003C713C">
      <w:pPr>
        <w:bidi w:val="0"/>
        <w:spacing w:line="240" w:lineRule="auto"/>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62336" behindDoc="0" locked="0" layoutInCell="1" allowOverlap="1" wp14:anchorId="79E3365F" wp14:editId="13728BCA">
            <wp:simplePos x="0" y="0"/>
            <wp:positionH relativeFrom="column">
              <wp:posOffset>-67310</wp:posOffset>
            </wp:positionH>
            <wp:positionV relativeFrom="paragraph">
              <wp:posOffset>0</wp:posOffset>
            </wp:positionV>
            <wp:extent cx="5274310" cy="3371850"/>
            <wp:effectExtent l="0" t="0" r="2540" b="0"/>
            <wp:wrapTopAndBottom/>
            <wp:docPr id="561607599"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7599" name="صورة 5616075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371850"/>
                    </a:xfrm>
                    <a:prstGeom prst="rect">
                      <a:avLst/>
                    </a:prstGeom>
                  </pic:spPr>
                </pic:pic>
              </a:graphicData>
            </a:graphic>
          </wp:anchor>
        </w:drawing>
      </w:r>
    </w:p>
    <w:p w14:paraId="457E707E" w14:textId="1EAE7BCD" w:rsidR="006D6A34" w:rsidRDefault="00E32A12" w:rsidP="006D6A34">
      <w:pPr>
        <w:bidi w:val="0"/>
        <w:spacing w:line="240" w:lineRule="auto"/>
        <w:rPr>
          <w:rFonts w:asciiTheme="majorBidi" w:hAnsiTheme="majorBidi" w:cstheme="majorBidi"/>
          <w:b/>
          <w:bCs/>
          <w:sz w:val="22"/>
          <w:szCs w:val="22"/>
        </w:rPr>
      </w:pPr>
      <w:r w:rsidRPr="00DA405D">
        <w:rPr>
          <w:rFonts w:asciiTheme="majorBidi" w:hAnsiTheme="majorBidi" w:cstheme="majorBidi"/>
          <w:b/>
          <w:bCs/>
          <w:sz w:val="22"/>
          <w:szCs w:val="22"/>
        </w:rPr>
        <w:t>Figure 4:</w:t>
      </w:r>
      <w:r w:rsidR="006D6A34" w:rsidRPr="00DA405D">
        <w:rPr>
          <w:rFonts w:asciiTheme="majorBidi" w:hAnsiTheme="majorBidi" w:cstheme="majorBidi"/>
          <w:b/>
          <w:bCs/>
          <w:sz w:val="22"/>
          <w:szCs w:val="22"/>
        </w:rPr>
        <w:t>Conditional Average Treatment Effect (CATE) of Nutritional Support on School Attendance</w:t>
      </w:r>
    </w:p>
    <w:p w14:paraId="5F82AE5D" w14:textId="77777777" w:rsidR="00DA405D" w:rsidRPr="00DA405D" w:rsidRDefault="00DA405D" w:rsidP="00DA405D">
      <w:pPr>
        <w:bidi w:val="0"/>
        <w:spacing w:line="240" w:lineRule="auto"/>
        <w:rPr>
          <w:rFonts w:asciiTheme="majorBidi" w:hAnsiTheme="majorBidi" w:cstheme="majorBidi"/>
          <w:b/>
          <w:bCs/>
          <w:sz w:val="22"/>
          <w:szCs w:val="22"/>
        </w:rPr>
      </w:pPr>
    </w:p>
    <w:p w14:paraId="7B3ACF0A" w14:textId="77777777" w:rsidR="00C03055" w:rsidRDefault="00C03055" w:rsidP="006D6A34">
      <w:pPr>
        <w:bidi w:val="0"/>
        <w:spacing w:line="360" w:lineRule="auto"/>
        <w:rPr>
          <w:rFonts w:asciiTheme="majorBidi" w:hAnsiTheme="majorBidi" w:cstheme="majorBidi"/>
          <w:b/>
          <w:bCs/>
        </w:rPr>
      </w:pPr>
    </w:p>
    <w:p w14:paraId="3416A43C" w14:textId="77777777" w:rsidR="00C03055" w:rsidRDefault="00C03055" w:rsidP="00C03055">
      <w:pPr>
        <w:bidi w:val="0"/>
        <w:spacing w:line="360" w:lineRule="auto"/>
        <w:rPr>
          <w:rFonts w:asciiTheme="majorBidi" w:hAnsiTheme="majorBidi" w:cstheme="majorBidi"/>
          <w:b/>
          <w:bCs/>
        </w:rPr>
      </w:pPr>
    </w:p>
    <w:p w14:paraId="252D282E" w14:textId="77777777" w:rsidR="00C03055" w:rsidRDefault="00C03055" w:rsidP="00C03055">
      <w:pPr>
        <w:bidi w:val="0"/>
        <w:spacing w:line="360" w:lineRule="auto"/>
        <w:rPr>
          <w:rFonts w:asciiTheme="majorBidi" w:hAnsiTheme="majorBidi" w:cstheme="majorBidi"/>
          <w:b/>
          <w:bCs/>
        </w:rPr>
      </w:pPr>
    </w:p>
    <w:p w14:paraId="39683B7B" w14:textId="77777777" w:rsidR="00C03055" w:rsidRDefault="00C03055" w:rsidP="00C03055">
      <w:pPr>
        <w:bidi w:val="0"/>
        <w:spacing w:line="360" w:lineRule="auto"/>
        <w:rPr>
          <w:rFonts w:asciiTheme="majorBidi" w:hAnsiTheme="majorBidi" w:cstheme="majorBidi"/>
          <w:b/>
          <w:bCs/>
        </w:rPr>
      </w:pPr>
    </w:p>
    <w:p w14:paraId="2390D881" w14:textId="77777777" w:rsidR="00C03055" w:rsidRDefault="00C03055" w:rsidP="00C03055">
      <w:pPr>
        <w:bidi w:val="0"/>
        <w:spacing w:line="360" w:lineRule="auto"/>
        <w:rPr>
          <w:rFonts w:asciiTheme="majorBidi" w:hAnsiTheme="majorBidi" w:cstheme="majorBidi"/>
          <w:b/>
          <w:bCs/>
        </w:rPr>
      </w:pPr>
    </w:p>
    <w:p w14:paraId="3C604CCB" w14:textId="77777777" w:rsidR="00C03055" w:rsidRDefault="00C03055" w:rsidP="00C03055">
      <w:pPr>
        <w:bidi w:val="0"/>
        <w:spacing w:line="360" w:lineRule="auto"/>
        <w:rPr>
          <w:rFonts w:asciiTheme="majorBidi" w:hAnsiTheme="majorBidi" w:cstheme="majorBidi"/>
          <w:b/>
          <w:bCs/>
        </w:rPr>
      </w:pPr>
    </w:p>
    <w:p w14:paraId="1991CC03" w14:textId="77777777" w:rsidR="00C03055" w:rsidRDefault="00C03055" w:rsidP="00C03055">
      <w:pPr>
        <w:bidi w:val="0"/>
        <w:spacing w:line="360" w:lineRule="auto"/>
        <w:rPr>
          <w:rFonts w:asciiTheme="majorBidi" w:hAnsiTheme="majorBidi" w:cstheme="majorBidi"/>
          <w:b/>
          <w:bCs/>
        </w:rPr>
      </w:pPr>
    </w:p>
    <w:p w14:paraId="4FA7EF11" w14:textId="77777777" w:rsidR="00C03055" w:rsidRDefault="00C03055" w:rsidP="00C03055">
      <w:pPr>
        <w:bidi w:val="0"/>
        <w:spacing w:line="360" w:lineRule="auto"/>
        <w:rPr>
          <w:rFonts w:asciiTheme="majorBidi" w:hAnsiTheme="majorBidi" w:cstheme="majorBidi"/>
          <w:b/>
          <w:bCs/>
        </w:rPr>
      </w:pPr>
    </w:p>
    <w:p w14:paraId="13D734EF" w14:textId="77777777" w:rsidR="00C03055" w:rsidRDefault="00C03055" w:rsidP="00C03055">
      <w:pPr>
        <w:bidi w:val="0"/>
        <w:spacing w:line="360" w:lineRule="auto"/>
        <w:rPr>
          <w:rFonts w:asciiTheme="majorBidi" w:hAnsiTheme="majorBidi" w:cstheme="majorBidi"/>
          <w:b/>
          <w:bCs/>
        </w:rPr>
      </w:pPr>
    </w:p>
    <w:p w14:paraId="714D1C66" w14:textId="77777777" w:rsidR="00C03055" w:rsidRDefault="00C03055" w:rsidP="00C03055">
      <w:pPr>
        <w:bidi w:val="0"/>
        <w:spacing w:line="360" w:lineRule="auto"/>
        <w:rPr>
          <w:rFonts w:asciiTheme="majorBidi" w:hAnsiTheme="majorBidi" w:cstheme="majorBidi"/>
          <w:b/>
          <w:bCs/>
        </w:rPr>
      </w:pPr>
    </w:p>
    <w:p w14:paraId="6E41F888" w14:textId="77777777" w:rsidR="00C03055" w:rsidRDefault="00C03055" w:rsidP="00C03055">
      <w:pPr>
        <w:bidi w:val="0"/>
        <w:spacing w:line="360" w:lineRule="auto"/>
        <w:rPr>
          <w:rFonts w:asciiTheme="majorBidi" w:hAnsiTheme="majorBidi" w:cstheme="majorBidi"/>
          <w:b/>
          <w:bCs/>
        </w:rPr>
      </w:pPr>
    </w:p>
    <w:p w14:paraId="36AE1CF1" w14:textId="77777777" w:rsidR="00C03055" w:rsidRDefault="00C03055" w:rsidP="00C03055">
      <w:pPr>
        <w:bidi w:val="0"/>
        <w:spacing w:line="360" w:lineRule="auto"/>
        <w:rPr>
          <w:rFonts w:asciiTheme="majorBidi" w:hAnsiTheme="majorBidi" w:cstheme="majorBidi"/>
          <w:b/>
          <w:bCs/>
        </w:rPr>
      </w:pPr>
    </w:p>
    <w:p w14:paraId="507B6D89" w14:textId="77777777" w:rsidR="00C03055" w:rsidRDefault="00C03055" w:rsidP="00C03055">
      <w:pPr>
        <w:bidi w:val="0"/>
        <w:spacing w:line="360" w:lineRule="auto"/>
        <w:rPr>
          <w:rFonts w:asciiTheme="majorBidi" w:hAnsiTheme="majorBidi" w:cstheme="majorBidi"/>
          <w:b/>
          <w:bCs/>
        </w:rPr>
      </w:pPr>
    </w:p>
    <w:p w14:paraId="7FF5C444" w14:textId="0C98798A" w:rsidR="00047E5A" w:rsidRPr="002F3F9F" w:rsidRDefault="00047E5A" w:rsidP="00C03055">
      <w:pPr>
        <w:bidi w:val="0"/>
        <w:spacing w:line="360" w:lineRule="auto"/>
        <w:rPr>
          <w:rFonts w:asciiTheme="majorBidi" w:hAnsiTheme="majorBidi" w:cstheme="majorBidi"/>
          <w:b/>
          <w:bCs/>
        </w:rPr>
      </w:pPr>
      <w:r w:rsidRPr="002F3F9F">
        <w:rPr>
          <w:rFonts w:asciiTheme="majorBidi" w:hAnsiTheme="majorBidi" w:cstheme="majorBidi"/>
          <w:b/>
          <w:bCs/>
        </w:rPr>
        <w:t>4.2 Synthetic Population Generation</w:t>
      </w:r>
    </w:p>
    <w:p w14:paraId="065ECCF3" w14:textId="2BC286E3" w:rsidR="00047E5A" w:rsidRPr="008F3F6D" w:rsidRDefault="00047E5A" w:rsidP="00AA17C0">
      <w:pPr>
        <w:bidi w:val="0"/>
        <w:spacing w:line="360" w:lineRule="auto"/>
        <w:rPr>
          <w:rFonts w:asciiTheme="majorBidi" w:hAnsiTheme="majorBidi" w:cstheme="majorBidi"/>
        </w:rPr>
      </w:pPr>
      <w:r w:rsidRPr="00047E5A">
        <w:rPr>
          <w:rFonts w:asciiTheme="majorBidi" w:hAnsiTheme="majorBidi" w:cstheme="majorBidi"/>
        </w:rPr>
        <w:t xml:space="preserve">We simulate 10,000 households with covariate distributions matching the characteristics documented for Gaza: household size (range 4–11, mean 6.5), displacement status (85% internally displaced), dependency ratio (2.1 children per adult). Survival labour is generated from a normal distribution truncated at 0 and 12 hours, with correlation to water access. Cognitive penalty is computed as a weighted sum of </w:t>
      </w:r>
      <w:r w:rsidRPr="008F3F6D">
        <w:rPr>
          <w:rFonts w:asciiTheme="majorBidi" w:hAnsiTheme="majorBidi" w:cstheme="majorBidi"/>
        </w:rPr>
        <w:t>dehydration and malnutrition statuses.</w:t>
      </w:r>
    </w:p>
    <w:p w14:paraId="7C6BDBC4" w14:textId="77777777" w:rsidR="00C03055" w:rsidRDefault="00C03055" w:rsidP="008F3F6D">
      <w:pPr>
        <w:pStyle w:val="3"/>
        <w:bidi w:val="0"/>
        <w:spacing w:before="0" w:after="240" w:line="240" w:lineRule="auto"/>
        <w:rPr>
          <w:rFonts w:asciiTheme="majorBidi" w:eastAsia="Times New Roman" w:hAnsiTheme="majorBidi"/>
          <w:b/>
          <w:bCs/>
          <w:color w:val="000000" w:themeColor="text1"/>
          <w:kern w:val="0"/>
          <w:sz w:val="24"/>
          <w:szCs w:val="24"/>
          <w14:ligatures w14:val="none"/>
        </w:rPr>
      </w:pPr>
    </w:p>
    <w:p w14:paraId="5273F81E" w14:textId="6BFA4D14" w:rsidR="000A161D" w:rsidRPr="008F3F6D" w:rsidRDefault="00AC1B05" w:rsidP="00C03055">
      <w:pPr>
        <w:pStyle w:val="3"/>
        <w:bidi w:val="0"/>
        <w:spacing w:before="0" w:after="240" w:line="240" w:lineRule="auto"/>
        <w:rPr>
          <w:rFonts w:asciiTheme="majorBidi" w:eastAsia="Times New Roman" w:hAnsiTheme="majorBidi"/>
          <w:b/>
          <w:bCs/>
          <w:color w:val="000000" w:themeColor="text1"/>
          <w:kern w:val="0"/>
          <w:sz w:val="24"/>
          <w:szCs w:val="24"/>
          <w14:ligatures w14:val="none"/>
        </w:rPr>
      </w:pPr>
      <w:r w:rsidRPr="008F3F6D">
        <w:rPr>
          <w:rFonts w:asciiTheme="majorBidi" w:eastAsia="Times New Roman" w:hAnsiTheme="majorBidi"/>
          <w:b/>
          <w:bCs/>
          <w:color w:val="000000" w:themeColor="text1"/>
          <w:kern w:val="0"/>
          <w:sz w:val="24"/>
          <w:szCs w:val="24"/>
          <w14:ligatures w14:val="none"/>
        </w:rPr>
        <w:t>Table 2: Summary Statistics of the Synthetic Population (N = 10,000 Households)</w:t>
      </w:r>
    </w:p>
    <w:tbl>
      <w:tblPr>
        <w:tblW w:w="0" w:type="auto"/>
        <w:tblCellMar>
          <w:top w:w="15" w:type="dxa"/>
          <w:left w:w="15" w:type="dxa"/>
          <w:bottom w:w="15" w:type="dxa"/>
          <w:right w:w="15" w:type="dxa"/>
        </w:tblCellMar>
        <w:tblLook w:val="04A0" w:firstRow="1" w:lastRow="0" w:firstColumn="1" w:lastColumn="0" w:noHBand="0" w:noVBand="1"/>
      </w:tblPr>
      <w:tblGrid>
        <w:gridCol w:w="1661"/>
        <w:gridCol w:w="458"/>
        <w:gridCol w:w="422"/>
        <w:gridCol w:w="782"/>
        <w:gridCol w:w="1616"/>
        <w:gridCol w:w="3347"/>
      </w:tblGrid>
      <w:tr w:rsidR="000A161D" w:rsidRPr="008F3F6D" w14:paraId="22FE9F07"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4602826C" w14:textId="77777777" w:rsidR="000A161D" w:rsidRPr="008F3F6D" w:rsidRDefault="000A161D">
            <w:pPr>
              <w:pStyle w:val="aa"/>
              <w:spacing w:before="0" w:beforeAutospacing="0" w:after="0" w:afterAutospacing="0"/>
              <w:jc w:val="center"/>
              <w:rPr>
                <w:rFonts w:asciiTheme="majorBidi" w:hAnsiTheme="majorBidi" w:cstheme="majorBidi"/>
                <w:b/>
                <w:bCs/>
                <w:sz w:val="22"/>
                <w:szCs w:val="22"/>
              </w:rPr>
            </w:pPr>
            <w:r w:rsidRPr="008F3F6D">
              <w:rPr>
                <w:rFonts w:asciiTheme="majorBidi" w:hAnsiTheme="majorBidi" w:cstheme="majorBidi"/>
                <w:b/>
                <w:bCs/>
                <w:color w:val="000000"/>
                <w:sz w:val="22"/>
                <w:szCs w:val="22"/>
              </w:rPr>
              <w:t>Source Calibration</w:t>
            </w:r>
          </w:p>
        </w:tc>
        <w:tc>
          <w:tcPr>
            <w:tcW w:w="0" w:type="auto"/>
            <w:tcBorders>
              <w:top w:val="single" w:sz="8" w:space="0" w:color="000000"/>
              <w:left w:val="single" w:sz="8" w:space="0" w:color="000000"/>
              <w:bottom w:val="single" w:sz="8" w:space="0" w:color="000000"/>
              <w:right w:val="single" w:sz="8" w:space="0" w:color="000000"/>
            </w:tcBorders>
            <w:hideMark/>
          </w:tcPr>
          <w:p w14:paraId="695235CF" w14:textId="77777777" w:rsidR="000A161D" w:rsidRPr="008F3F6D" w:rsidRDefault="000A161D">
            <w:pPr>
              <w:pStyle w:val="aa"/>
              <w:spacing w:before="0" w:beforeAutospacing="0" w:after="0" w:afterAutospacing="0"/>
              <w:jc w:val="center"/>
              <w:rPr>
                <w:rFonts w:asciiTheme="majorBidi" w:hAnsiTheme="majorBidi" w:cstheme="majorBidi"/>
                <w:b/>
                <w:bCs/>
                <w:sz w:val="22"/>
                <w:szCs w:val="22"/>
              </w:rPr>
            </w:pPr>
            <w:r w:rsidRPr="008F3F6D">
              <w:rPr>
                <w:rFonts w:asciiTheme="majorBidi" w:hAnsiTheme="majorBidi" w:cstheme="majorBidi"/>
                <w:b/>
                <w:bCs/>
                <w:color w:val="000000"/>
                <w:sz w:val="22"/>
                <w:szCs w:val="22"/>
              </w:rPr>
              <w:t>Max</w:t>
            </w:r>
          </w:p>
        </w:tc>
        <w:tc>
          <w:tcPr>
            <w:tcW w:w="0" w:type="auto"/>
            <w:tcBorders>
              <w:top w:val="single" w:sz="8" w:space="0" w:color="000000"/>
              <w:left w:val="single" w:sz="8" w:space="0" w:color="000000"/>
              <w:bottom w:val="single" w:sz="8" w:space="0" w:color="000000"/>
              <w:right w:val="single" w:sz="8" w:space="0" w:color="000000"/>
            </w:tcBorders>
            <w:hideMark/>
          </w:tcPr>
          <w:p w14:paraId="11E73878" w14:textId="77777777" w:rsidR="000A161D" w:rsidRPr="008F3F6D" w:rsidRDefault="000A161D">
            <w:pPr>
              <w:pStyle w:val="aa"/>
              <w:spacing w:before="0" w:beforeAutospacing="0" w:after="0" w:afterAutospacing="0"/>
              <w:jc w:val="center"/>
              <w:rPr>
                <w:rFonts w:asciiTheme="majorBidi" w:hAnsiTheme="majorBidi" w:cstheme="majorBidi"/>
                <w:b/>
                <w:bCs/>
                <w:sz w:val="22"/>
                <w:szCs w:val="22"/>
              </w:rPr>
            </w:pPr>
            <w:r w:rsidRPr="008F3F6D">
              <w:rPr>
                <w:rFonts w:asciiTheme="majorBidi" w:hAnsiTheme="majorBidi" w:cstheme="majorBidi"/>
                <w:b/>
                <w:bCs/>
                <w:color w:val="000000"/>
                <w:sz w:val="22"/>
                <w:szCs w:val="22"/>
              </w:rPr>
              <w:t>Min</w:t>
            </w:r>
          </w:p>
        </w:tc>
        <w:tc>
          <w:tcPr>
            <w:tcW w:w="0" w:type="auto"/>
            <w:tcBorders>
              <w:top w:val="single" w:sz="8" w:space="0" w:color="000000"/>
              <w:left w:val="single" w:sz="8" w:space="0" w:color="000000"/>
              <w:bottom w:val="single" w:sz="8" w:space="0" w:color="000000"/>
              <w:right w:val="single" w:sz="8" w:space="0" w:color="000000"/>
            </w:tcBorders>
            <w:hideMark/>
          </w:tcPr>
          <w:p w14:paraId="6E6E0724" w14:textId="77777777" w:rsidR="000A161D" w:rsidRPr="008F3F6D" w:rsidRDefault="000A161D">
            <w:pPr>
              <w:pStyle w:val="aa"/>
              <w:spacing w:before="0" w:beforeAutospacing="0" w:after="0" w:afterAutospacing="0"/>
              <w:jc w:val="center"/>
              <w:rPr>
                <w:rFonts w:asciiTheme="majorBidi" w:hAnsiTheme="majorBidi" w:cstheme="majorBidi"/>
                <w:b/>
                <w:bCs/>
                <w:sz w:val="22"/>
                <w:szCs w:val="22"/>
              </w:rPr>
            </w:pPr>
            <w:r w:rsidRPr="008F3F6D">
              <w:rPr>
                <w:rFonts w:asciiTheme="majorBidi" w:hAnsiTheme="majorBidi" w:cstheme="majorBidi"/>
                <w:b/>
                <w:bCs/>
                <w:color w:val="000000"/>
                <w:sz w:val="22"/>
                <w:szCs w:val="22"/>
              </w:rPr>
              <w:t>Std. Dev.</w:t>
            </w:r>
          </w:p>
        </w:tc>
        <w:tc>
          <w:tcPr>
            <w:tcW w:w="0" w:type="auto"/>
            <w:tcBorders>
              <w:top w:val="single" w:sz="8" w:space="0" w:color="000000"/>
              <w:left w:val="single" w:sz="8" w:space="0" w:color="000000"/>
              <w:bottom w:val="single" w:sz="8" w:space="0" w:color="000000"/>
              <w:right w:val="single" w:sz="8" w:space="0" w:color="000000"/>
            </w:tcBorders>
            <w:hideMark/>
          </w:tcPr>
          <w:p w14:paraId="0E14EF16" w14:textId="77777777" w:rsidR="000A161D" w:rsidRPr="008F3F6D" w:rsidRDefault="000A161D">
            <w:pPr>
              <w:pStyle w:val="aa"/>
              <w:spacing w:before="0" w:beforeAutospacing="0" w:after="0" w:afterAutospacing="0"/>
              <w:jc w:val="center"/>
              <w:rPr>
                <w:rFonts w:asciiTheme="majorBidi" w:hAnsiTheme="majorBidi" w:cstheme="majorBidi"/>
                <w:b/>
                <w:bCs/>
                <w:sz w:val="22"/>
                <w:szCs w:val="22"/>
              </w:rPr>
            </w:pPr>
            <w:r w:rsidRPr="008F3F6D">
              <w:rPr>
                <w:rFonts w:asciiTheme="majorBidi" w:hAnsiTheme="majorBidi" w:cstheme="majorBidi"/>
                <w:b/>
                <w:bCs/>
                <w:color w:val="000000"/>
                <w:sz w:val="22"/>
                <w:szCs w:val="22"/>
              </w:rPr>
              <w:t>Mean / Proportion</w:t>
            </w:r>
          </w:p>
        </w:tc>
        <w:tc>
          <w:tcPr>
            <w:tcW w:w="0" w:type="auto"/>
            <w:tcBorders>
              <w:top w:val="single" w:sz="8" w:space="0" w:color="000000"/>
              <w:left w:val="single" w:sz="8" w:space="0" w:color="000000"/>
              <w:bottom w:val="single" w:sz="8" w:space="0" w:color="000000"/>
              <w:right w:val="single" w:sz="8" w:space="0" w:color="000000"/>
            </w:tcBorders>
            <w:hideMark/>
          </w:tcPr>
          <w:p w14:paraId="5424CDF9" w14:textId="77777777" w:rsidR="000A161D" w:rsidRPr="008F3F6D" w:rsidRDefault="000A161D">
            <w:pPr>
              <w:pStyle w:val="aa"/>
              <w:spacing w:before="0" w:beforeAutospacing="0" w:after="0" w:afterAutospacing="0"/>
              <w:jc w:val="center"/>
              <w:rPr>
                <w:rFonts w:asciiTheme="majorBidi" w:hAnsiTheme="majorBidi" w:cstheme="majorBidi"/>
                <w:b/>
                <w:bCs/>
                <w:sz w:val="22"/>
                <w:szCs w:val="22"/>
              </w:rPr>
            </w:pPr>
            <w:r w:rsidRPr="008F3F6D">
              <w:rPr>
                <w:rFonts w:asciiTheme="majorBidi" w:hAnsiTheme="majorBidi" w:cstheme="majorBidi"/>
                <w:b/>
                <w:bCs/>
                <w:color w:val="000000"/>
                <w:sz w:val="22"/>
                <w:szCs w:val="22"/>
              </w:rPr>
              <w:t>Variable</w:t>
            </w:r>
          </w:p>
        </w:tc>
      </w:tr>
      <w:tr w:rsidR="000A161D" w:rsidRPr="008F3F6D" w14:paraId="68BA8605" w14:textId="77777777">
        <w:tc>
          <w:tcPr>
            <w:tcW w:w="0" w:type="auto"/>
            <w:tcBorders>
              <w:top w:val="single" w:sz="8" w:space="0" w:color="000000"/>
              <w:left w:val="single" w:sz="8" w:space="0" w:color="000000"/>
              <w:bottom w:val="single" w:sz="8" w:space="0" w:color="000000"/>
              <w:right w:val="single" w:sz="8" w:space="0" w:color="000000"/>
            </w:tcBorders>
            <w:hideMark/>
          </w:tcPr>
          <w:p w14:paraId="1D2793A8"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UNRWA (2024)</w:t>
            </w:r>
          </w:p>
        </w:tc>
        <w:tc>
          <w:tcPr>
            <w:tcW w:w="0" w:type="auto"/>
            <w:tcBorders>
              <w:top w:val="single" w:sz="8" w:space="0" w:color="000000"/>
              <w:left w:val="single" w:sz="8" w:space="0" w:color="000000"/>
              <w:bottom w:val="single" w:sz="8" w:space="0" w:color="000000"/>
              <w:right w:val="single" w:sz="8" w:space="0" w:color="000000"/>
            </w:tcBorders>
            <w:hideMark/>
          </w:tcPr>
          <w:p w14:paraId="12584BC8"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11</w:t>
            </w:r>
          </w:p>
        </w:tc>
        <w:tc>
          <w:tcPr>
            <w:tcW w:w="0" w:type="auto"/>
            <w:tcBorders>
              <w:top w:val="single" w:sz="8" w:space="0" w:color="000000"/>
              <w:left w:val="single" w:sz="8" w:space="0" w:color="000000"/>
              <w:bottom w:val="single" w:sz="8" w:space="0" w:color="000000"/>
              <w:right w:val="single" w:sz="8" w:space="0" w:color="000000"/>
            </w:tcBorders>
            <w:hideMark/>
          </w:tcPr>
          <w:p w14:paraId="605FF086"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4</w:t>
            </w:r>
          </w:p>
        </w:tc>
        <w:tc>
          <w:tcPr>
            <w:tcW w:w="0" w:type="auto"/>
            <w:tcBorders>
              <w:top w:val="single" w:sz="8" w:space="0" w:color="000000"/>
              <w:left w:val="single" w:sz="8" w:space="0" w:color="000000"/>
              <w:bottom w:val="single" w:sz="8" w:space="0" w:color="000000"/>
              <w:right w:val="single" w:sz="8" w:space="0" w:color="000000"/>
            </w:tcBorders>
            <w:hideMark/>
          </w:tcPr>
          <w:p w14:paraId="5B9B3FB6"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2.1</w:t>
            </w:r>
          </w:p>
        </w:tc>
        <w:tc>
          <w:tcPr>
            <w:tcW w:w="0" w:type="auto"/>
            <w:tcBorders>
              <w:top w:val="single" w:sz="8" w:space="0" w:color="000000"/>
              <w:left w:val="single" w:sz="8" w:space="0" w:color="000000"/>
              <w:bottom w:val="single" w:sz="8" w:space="0" w:color="000000"/>
              <w:right w:val="single" w:sz="8" w:space="0" w:color="000000"/>
            </w:tcBorders>
            <w:hideMark/>
          </w:tcPr>
          <w:p w14:paraId="6DE80CB2"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6.5</w:t>
            </w:r>
          </w:p>
        </w:tc>
        <w:tc>
          <w:tcPr>
            <w:tcW w:w="0" w:type="auto"/>
            <w:tcBorders>
              <w:top w:val="single" w:sz="8" w:space="0" w:color="000000"/>
              <w:left w:val="single" w:sz="8" w:space="0" w:color="000000"/>
              <w:bottom w:val="single" w:sz="8" w:space="0" w:color="000000"/>
              <w:right w:val="single" w:sz="8" w:space="0" w:color="000000"/>
            </w:tcBorders>
            <w:hideMark/>
          </w:tcPr>
          <w:p w14:paraId="7A3BF1DC"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Household size</w:t>
            </w:r>
          </w:p>
        </w:tc>
      </w:tr>
      <w:tr w:rsidR="000A161D" w:rsidRPr="008F3F6D" w14:paraId="3022D444" w14:textId="77777777">
        <w:tc>
          <w:tcPr>
            <w:tcW w:w="0" w:type="auto"/>
            <w:tcBorders>
              <w:top w:val="single" w:sz="8" w:space="0" w:color="000000"/>
              <w:left w:val="single" w:sz="8" w:space="0" w:color="000000"/>
              <w:bottom w:val="single" w:sz="8" w:space="0" w:color="000000"/>
              <w:right w:val="single" w:sz="8" w:space="0" w:color="000000"/>
            </w:tcBorders>
            <w:hideMark/>
          </w:tcPr>
          <w:p w14:paraId="56B46CD2"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UNICEF (2025)</w:t>
            </w:r>
          </w:p>
        </w:tc>
        <w:tc>
          <w:tcPr>
            <w:tcW w:w="0" w:type="auto"/>
            <w:tcBorders>
              <w:top w:val="single" w:sz="8" w:space="0" w:color="000000"/>
              <w:left w:val="single" w:sz="8" w:space="0" w:color="000000"/>
              <w:bottom w:val="single" w:sz="8" w:space="0" w:color="000000"/>
              <w:right w:val="single" w:sz="8" w:space="0" w:color="000000"/>
            </w:tcBorders>
            <w:hideMark/>
          </w:tcPr>
          <w:p w14:paraId="62BF898E"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4.2</w:t>
            </w:r>
          </w:p>
        </w:tc>
        <w:tc>
          <w:tcPr>
            <w:tcW w:w="0" w:type="auto"/>
            <w:tcBorders>
              <w:top w:val="single" w:sz="8" w:space="0" w:color="000000"/>
              <w:left w:val="single" w:sz="8" w:space="0" w:color="000000"/>
              <w:bottom w:val="single" w:sz="8" w:space="0" w:color="000000"/>
              <w:right w:val="single" w:sz="8" w:space="0" w:color="000000"/>
            </w:tcBorders>
            <w:hideMark/>
          </w:tcPr>
          <w:p w14:paraId="690D018C"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0.5</w:t>
            </w:r>
          </w:p>
        </w:tc>
        <w:tc>
          <w:tcPr>
            <w:tcW w:w="0" w:type="auto"/>
            <w:tcBorders>
              <w:top w:val="single" w:sz="8" w:space="0" w:color="000000"/>
              <w:left w:val="single" w:sz="8" w:space="0" w:color="000000"/>
              <w:bottom w:val="single" w:sz="8" w:space="0" w:color="000000"/>
              <w:right w:val="single" w:sz="8" w:space="0" w:color="000000"/>
            </w:tcBorders>
            <w:hideMark/>
          </w:tcPr>
          <w:p w14:paraId="33014674"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0.9</w:t>
            </w:r>
          </w:p>
        </w:tc>
        <w:tc>
          <w:tcPr>
            <w:tcW w:w="0" w:type="auto"/>
            <w:tcBorders>
              <w:top w:val="single" w:sz="8" w:space="0" w:color="000000"/>
              <w:left w:val="single" w:sz="8" w:space="0" w:color="000000"/>
              <w:bottom w:val="single" w:sz="8" w:space="0" w:color="000000"/>
              <w:right w:val="single" w:sz="8" w:space="0" w:color="000000"/>
            </w:tcBorders>
            <w:hideMark/>
          </w:tcPr>
          <w:p w14:paraId="52F8ADE0"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2.1</w:t>
            </w:r>
          </w:p>
        </w:tc>
        <w:tc>
          <w:tcPr>
            <w:tcW w:w="0" w:type="auto"/>
            <w:tcBorders>
              <w:top w:val="single" w:sz="8" w:space="0" w:color="000000"/>
              <w:left w:val="single" w:sz="8" w:space="0" w:color="000000"/>
              <w:bottom w:val="single" w:sz="8" w:space="0" w:color="000000"/>
              <w:right w:val="single" w:sz="8" w:space="0" w:color="000000"/>
            </w:tcBorders>
            <w:hideMark/>
          </w:tcPr>
          <w:p w14:paraId="29334D22"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Dependency ratio (children/adult)</w:t>
            </w:r>
          </w:p>
        </w:tc>
      </w:tr>
      <w:tr w:rsidR="000A161D" w:rsidRPr="008F3F6D" w14:paraId="4C24E4F5" w14:textId="77777777">
        <w:tc>
          <w:tcPr>
            <w:tcW w:w="0" w:type="auto"/>
            <w:tcBorders>
              <w:top w:val="single" w:sz="8" w:space="0" w:color="000000"/>
              <w:left w:val="single" w:sz="8" w:space="0" w:color="000000"/>
              <w:bottom w:val="single" w:sz="8" w:space="0" w:color="000000"/>
              <w:right w:val="single" w:sz="8" w:space="0" w:color="000000"/>
            </w:tcBorders>
            <w:hideMark/>
          </w:tcPr>
          <w:p w14:paraId="4335F00C"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UN OCHA (2025)</w:t>
            </w:r>
          </w:p>
        </w:tc>
        <w:tc>
          <w:tcPr>
            <w:tcW w:w="0" w:type="auto"/>
            <w:tcBorders>
              <w:top w:val="single" w:sz="8" w:space="0" w:color="000000"/>
              <w:left w:val="single" w:sz="8" w:space="0" w:color="000000"/>
              <w:bottom w:val="single" w:sz="8" w:space="0" w:color="000000"/>
              <w:right w:val="single" w:sz="8" w:space="0" w:color="000000"/>
            </w:tcBorders>
            <w:hideMark/>
          </w:tcPr>
          <w:p w14:paraId="0746D0C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42C53D83"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23D599C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5479B3F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85%</w:t>
            </w:r>
          </w:p>
        </w:tc>
        <w:tc>
          <w:tcPr>
            <w:tcW w:w="0" w:type="auto"/>
            <w:tcBorders>
              <w:top w:val="single" w:sz="8" w:space="0" w:color="000000"/>
              <w:left w:val="single" w:sz="8" w:space="0" w:color="000000"/>
              <w:bottom w:val="single" w:sz="8" w:space="0" w:color="000000"/>
              <w:right w:val="single" w:sz="8" w:space="0" w:color="000000"/>
            </w:tcBorders>
            <w:hideMark/>
          </w:tcPr>
          <w:p w14:paraId="5BFB20C4"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Internally displaced (%)</w:t>
            </w:r>
          </w:p>
        </w:tc>
      </w:tr>
      <w:tr w:rsidR="000A161D" w:rsidRPr="008F3F6D" w14:paraId="62791748" w14:textId="77777777">
        <w:tc>
          <w:tcPr>
            <w:tcW w:w="0" w:type="auto"/>
            <w:tcBorders>
              <w:top w:val="single" w:sz="8" w:space="0" w:color="000000"/>
              <w:left w:val="single" w:sz="8" w:space="0" w:color="000000"/>
              <w:bottom w:val="single" w:sz="8" w:space="0" w:color="000000"/>
              <w:right w:val="single" w:sz="8" w:space="0" w:color="000000"/>
            </w:tcBorders>
            <w:hideMark/>
          </w:tcPr>
          <w:p w14:paraId="3E70581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OCHA (2025)</w:t>
            </w:r>
          </w:p>
        </w:tc>
        <w:tc>
          <w:tcPr>
            <w:tcW w:w="0" w:type="auto"/>
            <w:tcBorders>
              <w:top w:val="single" w:sz="8" w:space="0" w:color="000000"/>
              <w:left w:val="single" w:sz="8" w:space="0" w:color="000000"/>
              <w:bottom w:val="single" w:sz="8" w:space="0" w:color="000000"/>
              <w:right w:val="single" w:sz="8" w:space="0" w:color="000000"/>
            </w:tcBorders>
            <w:hideMark/>
          </w:tcPr>
          <w:p w14:paraId="76F0DA1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12</w:t>
            </w:r>
          </w:p>
        </w:tc>
        <w:tc>
          <w:tcPr>
            <w:tcW w:w="0" w:type="auto"/>
            <w:tcBorders>
              <w:top w:val="single" w:sz="8" w:space="0" w:color="000000"/>
              <w:left w:val="single" w:sz="8" w:space="0" w:color="000000"/>
              <w:bottom w:val="single" w:sz="8" w:space="0" w:color="000000"/>
              <w:right w:val="single" w:sz="8" w:space="0" w:color="000000"/>
            </w:tcBorders>
            <w:hideMark/>
          </w:tcPr>
          <w:p w14:paraId="10ECE10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0</w:t>
            </w:r>
          </w:p>
        </w:tc>
        <w:tc>
          <w:tcPr>
            <w:tcW w:w="0" w:type="auto"/>
            <w:tcBorders>
              <w:top w:val="single" w:sz="8" w:space="0" w:color="000000"/>
              <w:left w:val="single" w:sz="8" w:space="0" w:color="000000"/>
              <w:bottom w:val="single" w:sz="8" w:space="0" w:color="000000"/>
              <w:right w:val="single" w:sz="8" w:space="0" w:color="000000"/>
            </w:tcBorders>
            <w:hideMark/>
          </w:tcPr>
          <w:p w14:paraId="6A82B16C"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1.2</w:t>
            </w:r>
          </w:p>
        </w:tc>
        <w:tc>
          <w:tcPr>
            <w:tcW w:w="0" w:type="auto"/>
            <w:tcBorders>
              <w:top w:val="single" w:sz="8" w:space="0" w:color="000000"/>
              <w:left w:val="single" w:sz="8" w:space="0" w:color="000000"/>
              <w:bottom w:val="single" w:sz="8" w:space="0" w:color="000000"/>
              <w:right w:val="single" w:sz="8" w:space="0" w:color="000000"/>
            </w:tcBorders>
            <w:hideMark/>
          </w:tcPr>
          <w:p w14:paraId="32DD662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4.5</w:t>
            </w:r>
          </w:p>
        </w:tc>
        <w:tc>
          <w:tcPr>
            <w:tcW w:w="0" w:type="auto"/>
            <w:tcBorders>
              <w:top w:val="single" w:sz="8" w:space="0" w:color="000000"/>
              <w:left w:val="single" w:sz="8" w:space="0" w:color="000000"/>
              <w:bottom w:val="single" w:sz="8" w:space="0" w:color="000000"/>
              <w:right w:val="single" w:sz="8" w:space="0" w:color="000000"/>
            </w:tcBorders>
            <w:hideMark/>
          </w:tcPr>
          <w:p w14:paraId="72A5ECC4"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Daily survival labour (hours)</w:t>
            </w:r>
          </w:p>
        </w:tc>
      </w:tr>
      <w:tr w:rsidR="000A161D" w:rsidRPr="008F3F6D" w14:paraId="08F65E2C" w14:textId="77777777">
        <w:tc>
          <w:tcPr>
            <w:tcW w:w="0" w:type="auto"/>
            <w:tcBorders>
              <w:top w:val="single" w:sz="8" w:space="0" w:color="000000"/>
              <w:left w:val="single" w:sz="8" w:space="0" w:color="000000"/>
              <w:bottom w:val="single" w:sz="8" w:space="0" w:color="000000"/>
              <w:right w:val="single" w:sz="8" w:space="0" w:color="000000"/>
            </w:tcBorders>
            <w:hideMark/>
          </w:tcPr>
          <w:p w14:paraId="5A7F1D91"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UNICEF (2025)</w:t>
            </w:r>
          </w:p>
        </w:tc>
        <w:tc>
          <w:tcPr>
            <w:tcW w:w="0" w:type="auto"/>
            <w:tcBorders>
              <w:top w:val="single" w:sz="8" w:space="0" w:color="000000"/>
              <w:left w:val="single" w:sz="8" w:space="0" w:color="000000"/>
              <w:bottom w:val="single" w:sz="8" w:space="0" w:color="000000"/>
              <w:right w:val="single" w:sz="8" w:space="0" w:color="000000"/>
            </w:tcBorders>
            <w:hideMark/>
          </w:tcPr>
          <w:p w14:paraId="599E198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2146C97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33AC414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7252546E"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65%</w:t>
            </w:r>
          </w:p>
        </w:tc>
        <w:tc>
          <w:tcPr>
            <w:tcW w:w="0" w:type="auto"/>
            <w:tcBorders>
              <w:top w:val="single" w:sz="8" w:space="0" w:color="000000"/>
              <w:left w:val="single" w:sz="8" w:space="0" w:color="000000"/>
              <w:bottom w:val="single" w:sz="8" w:space="0" w:color="000000"/>
              <w:right w:val="single" w:sz="8" w:space="0" w:color="000000"/>
            </w:tcBorders>
            <w:hideMark/>
          </w:tcPr>
          <w:p w14:paraId="5B7DECE8"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Households with &lt;5 L/cap/day water (%)</w:t>
            </w:r>
          </w:p>
        </w:tc>
      </w:tr>
      <w:tr w:rsidR="000A161D" w:rsidRPr="008F3F6D" w14:paraId="7E647429" w14:textId="77777777">
        <w:tc>
          <w:tcPr>
            <w:tcW w:w="0" w:type="auto"/>
            <w:tcBorders>
              <w:top w:val="single" w:sz="8" w:space="0" w:color="000000"/>
              <w:left w:val="single" w:sz="8" w:space="0" w:color="000000"/>
              <w:bottom w:val="single" w:sz="8" w:space="0" w:color="000000"/>
              <w:right w:val="single" w:sz="8" w:space="0" w:color="000000"/>
            </w:tcBorders>
            <w:hideMark/>
          </w:tcPr>
          <w:p w14:paraId="6E8761F3"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WHO (2024)</w:t>
            </w:r>
          </w:p>
        </w:tc>
        <w:tc>
          <w:tcPr>
            <w:tcW w:w="0" w:type="auto"/>
            <w:tcBorders>
              <w:top w:val="single" w:sz="8" w:space="0" w:color="000000"/>
              <w:left w:val="single" w:sz="8" w:space="0" w:color="000000"/>
              <w:bottom w:val="single" w:sz="8" w:space="0" w:color="000000"/>
              <w:right w:val="single" w:sz="8" w:space="0" w:color="000000"/>
            </w:tcBorders>
            <w:hideMark/>
          </w:tcPr>
          <w:p w14:paraId="5AC5884F"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670B213A"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3106A8CE"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w:t>
            </w:r>
          </w:p>
        </w:tc>
        <w:tc>
          <w:tcPr>
            <w:tcW w:w="0" w:type="auto"/>
            <w:tcBorders>
              <w:top w:val="single" w:sz="8" w:space="0" w:color="000000"/>
              <w:left w:val="single" w:sz="8" w:space="0" w:color="000000"/>
              <w:bottom w:val="single" w:sz="8" w:space="0" w:color="000000"/>
              <w:right w:val="single" w:sz="8" w:space="0" w:color="000000"/>
            </w:tcBorders>
            <w:hideMark/>
          </w:tcPr>
          <w:p w14:paraId="6786AE8A"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68%</w:t>
            </w:r>
          </w:p>
        </w:tc>
        <w:tc>
          <w:tcPr>
            <w:tcW w:w="0" w:type="auto"/>
            <w:tcBorders>
              <w:top w:val="single" w:sz="8" w:space="0" w:color="000000"/>
              <w:left w:val="single" w:sz="8" w:space="0" w:color="000000"/>
              <w:bottom w:val="single" w:sz="8" w:space="0" w:color="000000"/>
              <w:right w:val="single" w:sz="8" w:space="0" w:color="000000"/>
            </w:tcBorders>
            <w:hideMark/>
          </w:tcPr>
          <w:p w14:paraId="34E2DDD1"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Malnutrition prevalence (%)</w:t>
            </w:r>
          </w:p>
        </w:tc>
      </w:tr>
      <w:tr w:rsidR="000A161D" w:rsidRPr="008F3F6D" w14:paraId="2C59AD78" w14:textId="77777777">
        <w:tc>
          <w:tcPr>
            <w:tcW w:w="0" w:type="auto"/>
            <w:tcBorders>
              <w:top w:val="single" w:sz="8" w:space="0" w:color="000000"/>
              <w:left w:val="single" w:sz="8" w:space="0" w:color="000000"/>
              <w:bottom w:val="single" w:sz="8" w:space="0" w:color="000000"/>
              <w:right w:val="single" w:sz="8" w:space="0" w:color="000000"/>
            </w:tcBorders>
            <w:hideMark/>
          </w:tcPr>
          <w:p w14:paraId="6EC955E8"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Composite [13, 29]</w:t>
            </w:r>
          </w:p>
        </w:tc>
        <w:tc>
          <w:tcPr>
            <w:tcW w:w="0" w:type="auto"/>
            <w:tcBorders>
              <w:top w:val="single" w:sz="8" w:space="0" w:color="000000"/>
              <w:left w:val="single" w:sz="8" w:space="0" w:color="000000"/>
              <w:bottom w:val="single" w:sz="8" w:space="0" w:color="000000"/>
              <w:right w:val="single" w:sz="8" w:space="0" w:color="000000"/>
            </w:tcBorders>
            <w:hideMark/>
          </w:tcPr>
          <w:p w14:paraId="3CF19FA4"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75</w:t>
            </w:r>
          </w:p>
        </w:tc>
        <w:tc>
          <w:tcPr>
            <w:tcW w:w="0" w:type="auto"/>
            <w:tcBorders>
              <w:top w:val="single" w:sz="8" w:space="0" w:color="000000"/>
              <w:left w:val="single" w:sz="8" w:space="0" w:color="000000"/>
              <w:bottom w:val="single" w:sz="8" w:space="0" w:color="000000"/>
              <w:right w:val="single" w:sz="8" w:space="0" w:color="000000"/>
            </w:tcBorders>
            <w:hideMark/>
          </w:tcPr>
          <w:p w14:paraId="1C8621E2"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0</w:t>
            </w:r>
          </w:p>
        </w:tc>
        <w:tc>
          <w:tcPr>
            <w:tcW w:w="0" w:type="auto"/>
            <w:tcBorders>
              <w:top w:val="single" w:sz="8" w:space="0" w:color="000000"/>
              <w:left w:val="single" w:sz="8" w:space="0" w:color="000000"/>
              <w:bottom w:val="single" w:sz="8" w:space="0" w:color="000000"/>
              <w:right w:val="single" w:sz="8" w:space="0" w:color="000000"/>
            </w:tcBorders>
            <w:hideMark/>
          </w:tcPr>
          <w:p w14:paraId="60CEA3A1"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12.5</w:t>
            </w:r>
          </w:p>
        </w:tc>
        <w:tc>
          <w:tcPr>
            <w:tcW w:w="0" w:type="auto"/>
            <w:tcBorders>
              <w:top w:val="single" w:sz="8" w:space="0" w:color="000000"/>
              <w:left w:val="single" w:sz="8" w:space="0" w:color="000000"/>
              <w:bottom w:val="single" w:sz="8" w:space="0" w:color="000000"/>
              <w:right w:val="single" w:sz="8" w:space="0" w:color="000000"/>
            </w:tcBorders>
            <w:hideMark/>
          </w:tcPr>
          <w:p w14:paraId="72685118"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38.2</w:t>
            </w:r>
          </w:p>
        </w:tc>
        <w:tc>
          <w:tcPr>
            <w:tcW w:w="0" w:type="auto"/>
            <w:tcBorders>
              <w:top w:val="single" w:sz="8" w:space="0" w:color="000000"/>
              <w:left w:val="single" w:sz="8" w:space="0" w:color="000000"/>
              <w:bottom w:val="single" w:sz="8" w:space="0" w:color="000000"/>
              <w:right w:val="single" w:sz="8" w:space="0" w:color="000000"/>
            </w:tcBorders>
            <w:hideMark/>
          </w:tcPr>
          <w:p w14:paraId="26FBFE5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Cognitive penalty (%)</w:t>
            </w:r>
          </w:p>
        </w:tc>
      </w:tr>
      <w:tr w:rsidR="000A161D" w:rsidRPr="008F3F6D" w14:paraId="1DEEF445" w14:textId="77777777">
        <w:tc>
          <w:tcPr>
            <w:tcW w:w="0" w:type="auto"/>
            <w:tcBorders>
              <w:top w:val="single" w:sz="8" w:space="0" w:color="000000"/>
              <w:left w:val="single" w:sz="8" w:space="0" w:color="000000"/>
              <w:bottom w:val="single" w:sz="8" w:space="0" w:color="000000"/>
              <w:right w:val="single" w:sz="8" w:space="0" w:color="000000"/>
            </w:tcBorders>
            <w:hideMark/>
          </w:tcPr>
          <w:p w14:paraId="0760A838"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UNICEF (2025)</w:t>
            </w:r>
          </w:p>
        </w:tc>
        <w:tc>
          <w:tcPr>
            <w:tcW w:w="0" w:type="auto"/>
            <w:tcBorders>
              <w:top w:val="single" w:sz="8" w:space="0" w:color="000000"/>
              <w:left w:val="single" w:sz="8" w:space="0" w:color="000000"/>
              <w:bottom w:val="single" w:sz="8" w:space="0" w:color="000000"/>
              <w:right w:val="single" w:sz="8" w:space="0" w:color="000000"/>
            </w:tcBorders>
            <w:hideMark/>
          </w:tcPr>
          <w:p w14:paraId="222214B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94</w:t>
            </w:r>
          </w:p>
        </w:tc>
        <w:tc>
          <w:tcPr>
            <w:tcW w:w="0" w:type="auto"/>
            <w:tcBorders>
              <w:top w:val="single" w:sz="8" w:space="0" w:color="000000"/>
              <w:left w:val="single" w:sz="8" w:space="0" w:color="000000"/>
              <w:bottom w:val="single" w:sz="8" w:space="0" w:color="000000"/>
              <w:right w:val="single" w:sz="8" w:space="0" w:color="000000"/>
            </w:tcBorders>
            <w:hideMark/>
          </w:tcPr>
          <w:p w14:paraId="1082201B"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0</w:t>
            </w:r>
          </w:p>
        </w:tc>
        <w:tc>
          <w:tcPr>
            <w:tcW w:w="0" w:type="auto"/>
            <w:tcBorders>
              <w:top w:val="single" w:sz="8" w:space="0" w:color="000000"/>
              <w:left w:val="single" w:sz="8" w:space="0" w:color="000000"/>
              <w:bottom w:val="single" w:sz="8" w:space="0" w:color="000000"/>
              <w:right w:val="single" w:sz="8" w:space="0" w:color="000000"/>
            </w:tcBorders>
            <w:hideMark/>
          </w:tcPr>
          <w:p w14:paraId="6B165AF0"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8.4</w:t>
            </w:r>
          </w:p>
        </w:tc>
        <w:tc>
          <w:tcPr>
            <w:tcW w:w="0" w:type="auto"/>
            <w:tcBorders>
              <w:top w:val="single" w:sz="8" w:space="0" w:color="000000"/>
              <w:left w:val="single" w:sz="8" w:space="0" w:color="000000"/>
              <w:bottom w:val="single" w:sz="8" w:space="0" w:color="000000"/>
              <w:right w:val="single" w:sz="8" w:space="0" w:color="000000"/>
            </w:tcBorders>
            <w:hideMark/>
          </w:tcPr>
          <w:p w14:paraId="53AB8CB1"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color w:val="000000"/>
                <w:sz w:val="22"/>
                <w:szCs w:val="22"/>
              </w:rPr>
              <w:t>38.1</w:t>
            </w:r>
          </w:p>
        </w:tc>
        <w:tc>
          <w:tcPr>
            <w:tcW w:w="0" w:type="auto"/>
            <w:tcBorders>
              <w:top w:val="single" w:sz="8" w:space="0" w:color="000000"/>
              <w:left w:val="single" w:sz="8" w:space="0" w:color="000000"/>
              <w:bottom w:val="single" w:sz="8" w:space="0" w:color="000000"/>
              <w:right w:val="single" w:sz="8" w:space="0" w:color="000000"/>
            </w:tcBorders>
            <w:hideMark/>
          </w:tcPr>
          <w:p w14:paraId="77414487" w14:textId="77777777" w:rsidR="000A161D" w:rsidRPr="008F3F6D" w:rsidRDefault="000A161D">
            <w:pPr>
              <w:pStyle w:val="aa"/>
              <w:spacing w:before="0" w:beforeAutospacing="0" w:after="0" w:afterAutospacing="0"/>
              <w:rPr>
                <w:rFonts w:asciiTheme="majorBidi" w:hAnsiTheme="majorBidi" w:cstheme="majorBidi"/>
                <w:sz w:val="22"/>
                <w:szCs w:val="22"/>
              </w:rPr>
            </w:pPr>
            <w:r w:rsidRPr="008F3F6D">
              <w:rPr>
                <w:rFonts w:asciiTheme="majorBidi" w:hAnsiTheme="majorBidi" w:cstheme="majorBidi"/>
                <w:b/>
                <w:bCs/>
                <w:color w:val="000000"/>
                <w:sz w:val="22"/>
                <w:szCs w:val="22"/>
              </w:rPr>
              <w:t>Baseline school attendance (%)</w:t>
            </w:r>
          </w:p>
        </w:tc>
      </w:tr>
    </w:tbl>
    <w:p w14:paraId="2851692D" w14:textId="77777777" w:rsidR="008F3F6D" w:rsidRDefault="008F3F6D" w:rsidP="008A0567">
      <w:pPr>
        <w:bidi w:val="0"/>
        <w:spacing w:line="360" w:lineRule="auto"/>
        <w:rPr>
          <w:rFonts w:asciiTheme="majorBidi" w:hAnsiTheme="majorBidi" w:cstheme="majorBidi"/>
          <w:b/>
          <w:bCs/>
          <w:sz w:val="22"/>
          <w:szCs w:val="22"/>
        </w:rPr>
      </w:pPr>
    </w:p>
    <w:p w14:paraId="298CA5E7" w14:textId="69562189" w:rsidR="008A0567" w:rsidRPr="0027242E" w:rsidRDefault="008A0567" w:rsidP="008F3F6D">
      <w:pPr>
        <w:bidi w:val="0"/>
        <w:spacing w:line="360" w:lineRule="auto"/>
        <w:rPr>
          <w:rFonts w:asciiTheme="majorBidi" w:hAnsiTheme="majorBidi" w:cstheme="majorBidi"/>
        </w:rPr>
      </w:pPr>
      <w:r w:rsidRPr="008F3F6D">
        <w:rPr>
          <w:rFonts w:asciiTheme="majorBidi" w:hAnsiTheme="majorBidi" w:cstheme="majorBidi"/>
          <w:b/>
          <w:bCs/>
        </w:rPr>
        <w:t xml:space="preserve">Note: </w:t>
      </w:r>
      <w:r w:rsidRPr="008F3F6D">
        <w:rPr>
          <w:rFonts w:asciiTheme="majorBidi" w:hAnsiTheme="majorBidi" w:cstheme="majorBidi"/>
        </w:rPr>
        <w:t xml:space="preserve">All </w:t>
      </w:r>
      <w:r w:rsidRPr="0027242E">
        <w:rPr>
          <w:rFonts w:asciiTheme="majorBidi" w:hAnsiTheme="majorBidi" w:cstheme="majorBidi"/>
        </w:rPr>
        <w:t>variables are generated to match the distributional targets from the cited humanitarian reports. Cognitive penalty is calculated as a weighted sum of:</w:t>
      </w:r>
    </w:p>
    <w:p w14:paraId="13C5555B" w14:textId="534E285B" w:rsidR="008A0567" w:rsidRPr="0027242E" w:rsidRDefault="00912A11" w:rsidP="00912A11">
      <w:pPr>
        <w:bidi w:val="0"/>
        <w:spacing w:line="360" w:lineRule="auto"/>
        <w:rPr>
          <w:rFonts w:asciiTheme="majorBidi" w:hAnsiTheme="majorBidi" w:cstheme="majorBidi"/>
        </w:rPr>
      </w:pPr>
      <w:r w:rsidRPr="0027242E">
        <w:rPr>
          <w:rFonts w:asciiTheme="majorBidi" w:hAnsiTheme="majorBidi" w:cstheme="majorBidi"/>
        </w:rPr>
        <w:t>-</w:t>
      </w:r>
      <w:r w:rsidR="008A0567" w:rsidRPr="0027242E">
        <w:rPr>
          <w:rFonts w:asciiTheme="majorBidi" w:hAnsiTheme="majorBidi" w:cstheme="majorBidi"/>
        </w:rPr>
        <w:t xml:space="preserve"> Dehydration: 45% penalty (at 65% prevalence).</w:t>
      </w:r>
    </w:p>
    <w:p w14:paraId="6BA3C3AE" w14:textId="77777777" w:rsidR="0082235B" w:rsidRDefault="00912A11" w:rsidP="0082235B">
      <w:pPr>
        <w:bidi w:val="0"/>
        <w:spacing w:line="360" w:lineRule="auto"/>
        <w:rPr>
          <w:rFonts w:asciiTheme="majorBidi" w:hAnsiTheme="majorBidi" w:cstheme="majorBidi"/>
          <w:b/>
          <w:bCs/>
        </w:rPr>
      </w:pPr>
      <w:r w:rsidRPr="0027242E">
        <w:rPr>
          <w:rFonts w:asciiTheme="majorBidi" w:hAnsiTheme="majorBidi" w:cstheme="majorBidi"/>
        </w:rPr>
        <w:t xml:space="preserve">- </w:t>
      </w:r>
      <w:r w:rsidR="008A0567" w:rsidRPr="0027242E">
        <w:rPr>
          <w:rFonts w:asciiTheme="majorBidi" w:hAnsiTheme="majorBidi" w:cstheme="majorBidi"/>
        </w:rPr>
        <w:t>Malnutrition: 30% penalty (at 68% prevalence).</w:t>
      </w:r>
    </w:p>
    <w:p w14:paraId="2C80981F" w14:textId="77777777" w:rsidR="0082235B" w:rsidRDefault="0082235B" w:rsidP="0082235B">
      <w:pPr>
        <w:bidi w:val="0"/>
        <w:spacing w:line="360" w:lineRule="auto"/>
        <w:rPr>
          <w:rFonts w:asciiTheme="majorBidi" w:hAnsiTheme="majorBidi" w:cstheme="majorBidi"/>
          <w:b/>
          <w:bCs/>
        </w:rPr>
      </w:pPr>
    </w:p>
    <w:p w14:paraId="5647C701" w14:textId="608BBB78" w:rsidR="003B3FA0" w:rsidRDefault="003B3FA0" w:rsidP="0082235B">
      <w:pPr>
        <w:bidi w:val="0"/>
        <w:spacing w:line="360" w:lineRule="auto"/>
        <w:rPr>
          <w:rFonts w:asciiTheme="majorBidi" w:hAnsiTheme="majorBidi" w:cstheme="majorBidi"/>
          <w:b/>
          <w:bCs/>
        </w:rPr>
      </w:pPr>
      <w:r>
        <w:rPr>
          <w:rFonts w:asciiTheme="majorBidi" w:hAnsiTheme="majorBidi" w:cstheme="majorBidi"/>
          <w:b/>
          <w:bCs/>
          <w:noProof/>
        </w:rPr>
        <w:drawing>
          <wp:anchor distT="0" distB="0" distL="114300" distR="114300" simplePos="0" relativeHeight="251663360" behindDoc="0" locked="0" layoutInCell="1" allowOverlap="1" wp14:anchorId="1B2AD596" wp14:editId="5357A13F">
            <wp:simplePos x="0" y="0"/>
            <wp:positionH relativeFrom="column">
              <wp:posOffset>0</wp:posOffset>
            </wp:positionH>
            <wp:positionV relativeFrom="paragraph">
              <wp:posOffset>349250</wp:posOffset>
            </wp:positionV>
            <wp:extent cx="5274310" cy="3373120"/>
            <wp:effectExtent l="0" t="0" r="2540" b="0"/>
            <wp:wrapTopAndBottom/>
            <wp:docPr id="137534189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41898" name="صورة 13753418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73120"/>
                    </a:xfrm>
                    <a:prstGeom prst="rect">
                      <a:avLst/>
                    </a:prstGeom>
                  </pic:spPr>
                </pic:pic>
              </a:graphicData>
            </a:graphic>
          </wp:anchor>
        </w:drawing>
      </w:r>
    </w:p>
    <w:p w14:paraId="4A17DE9D" w14:textId="0C5A72B6" w:rsidR="00BA2662" w:rsidRPr="00A951CA" w:rsidRDefault="003B3FA0" w:rsidP="00A951CA">
      <w:pPr>
        <w:bidi w:val="0"/>
        <w:spacing w:line="240" w:lineRule="auto"/>
        <w:rPr>
          <w:rFonts w:asciiTheme="majorBidi" w:hAnsiTheme="majorBidi" w:cstheme="majorBidi"/>
          <w:b/>
          <w:bCs/>
          <w:sz w:val="22"/>
          <w:szCs w:val="22"/>
        </w:rPr>
      </w:pPr>
      <w:r w:rsidRPr="00A951CA">
        <w:rPr>
          <w:rFonts w:asciiTheme="majorBidi" w:hAnsiTheme="majorBidi" w:cstheme="majorBidi"/>
          <w:b/>
          <w:bCs/>
          <w:sz w:val="22"/>
          <w:szCs w:val="22"/>
        </w:rPr>
        <w:t>Figure 5:</w:t>
      </w:r>
      <w:r w:rsidR="00C03A03">
        <w:rPr>
          <w:rFonts w:asciiTheme="majorBidi" w:hAnsiTheme="majorBidi" w:cstheme="majorBidi"/>
          <w:b/>
          <w:bCs/>
          <w:sz w:val="22"/>
          <w:szCs w:val="22"/>
        </w:rPr>
        <w:t>Comparative Performance of IPW and Double Machine Learning Estimators</w:t>
      </w:r>
    </w:p>
    <w:p w14:paraId="4B0953E4" w14:textId="77777777" w:rsidR="00BA2662" w:rsidRDefault="00BA2662" w:rsidP="00BA2662">
      <w:pPr>
        <w:bidi w:val="0"/>
        <w:spacing w:line="360" w:lineRule="auto"/>
        <w:rPr>
          <w:rFonts w:asciiTheme="majorBidi" w:hAnsiTheme="majorBidi" w:cstheme="majorBidi"/>
          <w:b/>
          <w:bCs/>
        </w:rPr>
      </w:pPr>
    </w:p>
    <w:p w14:paraId="59196411" w14:textId="5378550E" w:rsidR="001E2423" w:rsidRPr="006F31CE" w:rsidRDefault="001B29AD" w:rsidP="001F05F2">
      <w:pPr>
        <w:bidi w:val="0"/>
        <w:spacing w:line="360" w:lineRule="auto"/>
        <w:rPr>
          <w:rFonts w:asciiTheme="majorBidi" w:hAnsiTheme="majorBidi" w:cstheme="majorBidi"/>
          <w:b/>
          <w:bCs/>
          <w:sz w:val="22"/>
          <w:szCs w:val="22"/>
        </w:rPr>
      </w:pPr>
      <w:r w:rsidRPr="006F31CE">
        <w:rPr>
          <w:rFonts w:asciiTheme="majorBidi" w:hAnsiTheme="majorBidi" w:cstheme="majorBidi"/>
          <w:b/>
          <w:bCs/>
          <w:sz w:val="22"/>
          <w:szCs w:val="22"/>
        </w:rPr>
        <w:t>4.3 Outcome Model</w:t>
      </w:r>
    </w:p>
    <w:p w14:paraId="0AC063C8" w14:textId="017E2111" w:rsidR="001E2423" w:rsidRPr="001E2423" w:rsidRDefault="001E2423" w:rsidP="002F3F9F">
      <w:pPr>
        <w:bidi w:val="0"/>
        <w:spacing w:line="360" w:lineRule="auto"/>
        <w:rPr>
          <w:rFonts w:asciiTheme="majorBidi" w:hAnsiTheme="majorBidi" w:cstheme="majorBidi"/>
        </w:rPr>
      </w:pPr>
      <w:r w:rsidRPr="001E2423">
        <w:rPr>
          <w:rFonts w:asciiTheme="majorBidi" w:hAnsiTheme="majorBidi" w:cstheme="majorBidi"/>
        </w:rPr>
        <w:t>The attendance outcome is generated as:</w:t>
      </w:r>
    </w:p>
    <w:p w14:paraId="25DD656C" w14:textId="5EC742A5" w:rsidR="001E2423" w:rsidRPr="001E2423" w:rsidRDefault="001E2423" w:rsidP="002F3F9F">
      <w:pPr>
        <w:bidi w:val="0"/>
        <w:spacing w:line="360" w:lineRule="auto"/>
        <w:rPr>
          <w:rFonts w:asciiTheme="majorBidi" w:hAnsiTheme="majorBidi" w:cstheme="majorBidi"/>
        </w:rPr>
      </w:pPr>
      <w:r w:rsidRPr="001E2423">
        <w:rPr>
          <w:rFonts w:asciiTheme="majorBidi" w:hAnsiTheme="majorBidi" w:cstheme="majorBidi"/>
        </w:rPr>
        <w:t>\[ Y = 100 \cdot \left(1 - \frac{\text{labor}}{12}\right) \cdot (1 - \text{cognitive\_penalty}) + \epsilon, \]</w:t>
      </w:r>
    </w:p>
    <w:p w14:paraId="4B46545F" w14:textId="5EF53EFC" w:rsidR="001E2423" w:rsidRPr="001E2423" w:rsidRDefault="001E2423" w:rsidP="002F3F9F">
      <w:pPr>
        <w:bidi w:val="0"/>
        <w:spacing w:line="360" w:lineRule="auto"/>
        <w:rPr>
          <w:rFonts w:asciiTheme="majorBidi" w:hAnsiTheme="majorBidi" w:cstheme="majorBidi"/>
        </w:rPr>
      </w:pPr>
      <w:r w:rsidRPr="001E2423">
        <w:rPr>
          <w:rFonts w:asciiTheme="majorBidi" w:hAnsiTheme="majorBidi" w:cstheme="majorBidi"/>
        </w:rPr>
        <w:t>where \(\epsilon\) captures unobserved variability across households.</w:t>
      </w:r>
    </w:p>
    <w:p w14:paraId="2A0710AA" w14:textId="5CC37FF9" w:rsidR="001E2423" w:rsidRPr="001E2423" w:rsidRDefault="001E2423" w:rsidP="00113765">
      <w:pPr>
        <w:bidi w:val="0"/>
        <w:spacing w:line="360" w:lineRule="auto"/>
        <w:rPr>
          <w:rFonts w:asciiTheme="majorBidi" w:hAnsiTheme="majorBidi" w:cstheme="majorBidi"/>
        </w:rPr>
      </w:pPr>
      <w:r w:rsidRPr="001E2423">
        <w:rPr>
          <w:rFonts w:asciiTheme="majorBidi" w:hAnsiTheme="majorBidi" w:cstheme="majorBidi"/>
        </w:rPr>
        <w:t>This specification models educational participation as a function of two interacting constraints: time availability and cognitive capacity. The term \(\left(1 - \frac{\text{labor}}{12}\right)\) represents the reduction in available time for schooling as survival labour approaches its upper bound of 12 hours per day, while \((1 - \text{cognitive\_penalty})\) captures the proportional decline in effective learning capacity due to physiological and psychological stressors.</w:t>
      </w:r>
    </w:p>
    <w:p w14:paraId="4C0015CF" w14:textId="59BA9802" w:rsidR="001E2423" w:rsidRPr="001E2423" w:rsidRDefault="001E2423" w:rsidP="00113765">
      <w:pPr>
        <w:bidi w:val="0"/>
        <w:spacing w:line="360" w:lineRule="auto"/>
        <w:rPr>
          <w:rFonts w:asciiTheme="majorBidi" w:hAnsiTheme="majorBidi" w:cstheme="majorBidi"/>
        </w:rPr>
      </w:pPr>
      <w:r w:rsidRPr="001E2423">
        <w:rPr>
          <w:rFonts w:asciiTheme="majorBidi" w:hAnsiTheme="majorBidi" w:cstheme="majorBidi"/>
        </w:rPr>
        <w:t>The multiplicative structure reflects the assumption that these constraints operate jointly rather than independently, such that limitations in either dimension can substantially reduce overall educational engagement. This formulation aligns with established theoretical perspectives on constrained human capital accumulation under conditions of resource scarcity.</w:t>
      </w:r>
    </w:p>
    <w:p w14:paraId="5990D462" w14:textId="14ECB047" w:rsidR="00C25C25" w:rsidRDefault="001E2423" w:rsidP="004640E5">
      <w:pPr>
        <w:bidi w:val="0"/>
        <w:spacing w:line="360" w:lineRule="auto"/>
        <w:rPr>
          <w:rFonts w:asciiTheme="majorBidi" w:hAnsiTheme="majorBidi" w:cstheme="majorBidi"/>
          <w:b/>
          <w:bCs/>
        </w:rPr>
      </w:pPr>
      <w:r w:rsidRPr="001E2423">
        <w:rPr>
          <w:rFonts w:asciiTheme="majorBidi" w:hAnsiTheme="majorBidi" w:cstheme="majorBidi"/>
        </w:rPr>
        <w:t>To ensure realism, the simulated outcome is restricted to the \([0,100]\) interval. Model parameters are calibrated so that the average attendance in the synthetic population matches the empirically observed level of 38%.</w:t>
      </w:r>
    </w:p>
    <w:p w14:paraId="4B50D498" w14:textId="77777777" w:rsidR="007979D1" w:rsidRDefault="007979D1" w:rsidP="007979D1">
      <w:pPr>
        <w:bidi w:val="0"/>
        <w:spacing w:line="360" w:lineRule="auto"/>
        <w:rPr>
          <w:rFonts w:asciiTheme="majorBidi" w:hAnsiTheme="majorBidi" w:cstheme="majorBidi"/>
          <w:b/>
          <w:bCs/>
        </w:rPr>
      </w:pPr>
    </w:p>
    <w:p w14:paraId="0E904C0C" w14:textId="0AF9F8A9" w:rsidR="00C25C25" w:rsidRPr="00A951CA" w:rsidRDefault="00E7474E" w:rsidP="007979D1">
      <w:pPr>
        <w:bidi w:val="0"/>
        <w:spacing w:line="240" w:lineRule="auto"/>
        <w:rPr>
          <w:rFonts w:asciiTheme="majorBidi" w:hAnsiTheme="majorBidi" w:cstheme="majorBidi"/>
          <w:b/>
          <w:bCs/>
          <w:sz w:val="22"/>
          <w:szCs w:val="22"/>
        </w:rPr>
      </w:pPr>
      <w:r w:rsidRPr="00A951CA">
        <w:rPr>
          <w:rFonts w:asciiTheme="majorBidi" w:hAnsiTheme="majorBidi" w:cstheme="majorBidi"/>
          <w:b/>
          <w:bCs/>
          <w:noProof/>
          <w:sz w:val="22"/>
          <w:szCs w:val="22"/>
        </w:rPr>
        <w:drawing>
          <wp:anchor distT="0" distB="0" distL="114300" distR="114300" simplePos="0" relativeHeight="251664384" behindDoc="0" locked="0" layoutInCell="1" allowOverlap="1" wp14:anchorId="32615D46" wp14:editId="3C463C8B">
            <wp:simplePos x="0" y="0"/>
            <wp:positionH relativeFrom="column">
              <wp:posOffset>-377825</wp:posOffset>
            </wp:positionH>
            <wp:positionV relativeFrom="paragraph">
              <wp:posOffset>219075</wp:posOffset>
            </wp:positionV>
            <wp:extent cx="5274310" cy="3373120"/>
            <wp:effectExtent l="0" t="0" r="2540" b="0"/>
            <wp:wrapTopAndBottom/>
            <wp:docPr id="29289832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8325" name="صورة 2928983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373120"/>
                    </a:xfrm>
                    <a:prstGeom prst="rect">
                      <a:avLst/>
                    </a:prstGeom>
                  </pic:spPr>
                </pic:pic>
              </a:graphicData>
            </a:graphic>
          </wp:anchor>
        </w:drawing>
      </w:r>
      <w:r w:rsidR="00AF5814">
        <w:rPr>
          <w:rFonts w:asciiTheme="majorBidi" w:hAnsiTheme="majorBidi" w:cstheme="majorBidi"/>
          <w:b/>
          <w:bCs/>
          <w:sz w:val="22"/>
          <w:szCs w:val="22"/>
        </w:rPr>
        <w:t>Figure 6: Synergistic Interaction between Water Access and Nutritional Support on School Attendance</w:t>
      </w:r>
      <w:r w:rsidRPr="00A951CA">
        <w:rPr>
          <w:rFonts w:asciiTheme="majorBidi" w:hAnsiTheme="majorBidi" w:cstheme="majorBidi"/>
          <w:b/>
          <w:bCs/>
          <w:sz w:val="22"/>
          <w:szCs w:val="22"/>
        </w:rPr>
        <w:t xml:space="preserve"> </w:t>
      </w:r>
    </w:p>
    <w:p w14:paraId="3DBE42EE" w14:textId="77777777" w:rsidR="001A2FC5" w:rsidRDefault="001A2FC5" w:rsidP="008B20D7">
      <w:pPr>
        <w:bidi w:val="0"/>
        <w:spacing w:line="360" w:lineRule="auto"/>
        <w:rPr>
          <w:rFonts w:asciiTheme="majorBidi" w:hAnsiTheme="majorBidi" w:cstheme="majorBidi"/>
          <w:b/>
          <w:bCs/>
        </w:rPr>
      </w:pPr>
    </w:p>
    <w:p w14:paraId="1FEB724E" w14:textId="429A8A73" w:rsidR="008B20D7" w:rsidRPr="008B20D7" w:rsidRDefault="008B20D7" w:rsidP="001A2FC5">
      <w:pPr>
        <w:bidi w:val="0"/>
        <w:spacing w:line="360" w:lineRule="auto"/>
        <w:rPr>
          <w:rFonts w:asciiTheme="majorBidi" w:hAnsiTheme="majorBidi" w:cstheme="majorBidi"/>
          <w:b/>
          <w:bCs/>
        </w:rPr>
      </w:pPr>
      <w:r w:rsidRPr="008B20D7">
        <w:rPr>
          <w:rFonts w:asciiTheme="majorBidi" w:hAnsiTheme="majorBidi" w:cstheme="majorBidi"/>
          <w:b/>
          <w:bCs/>
        </w:rPr>
        <w:t>4.4 Simulated Interventions</w:t>
      </w:r>
    </w:p>
    <w:p w14:paraId="07D97B86" w14:textId="537DFCB8" w:rsidR="008B20D7" w:rsidRPr="008B20D7" w:rsidRDefault="008B20D7" w:rsidP="008B20D7">
      <w:pPr>
        <w:bidi w:val="0"/>
        <w:spacing w:line="360" w:lineRule="auto"/>
        <w:rPr>
          <w:rFonts w:asciiTheme="majorBidi" w:hAnsiTheme="majorBidi" w:cstheme="majorBidi"/>
        </w:rPr>
      </w:pPr>
      <w:r w:rsidRPr="008B20D7">
        <w:rPr>
          <w:rFonts w:asciiTheme="majorBidi" w:hAnsiTheme="majorBidi" w:cstheme="majorBidi"/>
        </w:rPr>
        <w:t>Two policy interventions are simulated. A water intervention reduces daily survival labour by two hours for treated households, subject to a lower bound of zero. This reduction reflects the average time savings achievable through decentralised water infrastructure based on field estimates from similar contexts [3,48]. A nutrition intervention reduces the cognitive penalty by 15 percentage points among treated households, reflecting improvements in physiological functioning associated with enhanced nutritional intake, consistent with the effect sizes reported in nutritional supplementation trials [27,29].</w:t>
      </w:r>
    </w:p>
    <w:p w14:paraId="41733F4B" w14:textId="3D647F8C" w:rsidR="003F420C" w:rsidRDefault="008B20D7" w:rsidP="003F420C">
      <w:pPr>
        <w:bidi w:val="0"/>
        <w:spacing w:line="360" w:lineRule="auto"/>
        <w:rPr>
          <w:rFonts w:asciiTheme="majorBidi" w:hAnsiTheme="majorBidi" w:cstheme="majorBidi"/>
          <w:rtl/>
        </w:rPr>
      </w:pPr>
      <w:r w:rsidRPr="008B20D7">
        <w:rPr>
          <w:rFonts w:asciiTheme="majorBidi" w:hAnsiTheme="majorBidi" w:cstheme="majorBidi"/>
        </w:rPr>
        <w:t>Treatment assignment is intentionally non-random to approximate observational data conditions. Specifically, treatment probabilities are determined using a propensity score framework based on household characteristics, including household size, displacement status, and baseline access to water. The propensity score is estimated via logistic regression, and the resulting treatment probabilities range between 0.3 and 0.7, introducing systematic selection into the intervention process. This design enables a rigorous evaluation of the causal estimators (IPW and DoubleML) under realistic, non‑experimental assignment mechanisms.</w:t>
      </w:r>
    </w:p>
    <w:p w14:paraId="662A12EE" w14:textId="77777777" w:rsidR="008B20D7" w:rsidRPr="00047E5A" w:rsidRDefault="008B20D7" w:rsidP="008B20D7">
      <w:pPr>
        <w:bidi w:val="0"/>
        <w:spacing w:line="360" w:lineRule="auto"/>
        <w:rPr>
          <w:rFonts w:asciiTheme="majorBidi" w:hAnsiTheme="majorBidi" w:cstheme="majorBidi"/>
        </w:rPr>
      </w:pPr>
    </w:p>
    <w:p w14:paraId="4DB2A8F4" w14:textId="33316819" w:rsidR="00047E5A" w:rsidRPr="003F420C" w:rsidRDefault="00047E5A" w:rsidP="003F420C">
      <w:pPr>
        <w:bidi w:val="0"/>
        <w:spacing w:line="360" w:lineRule="auto"/>
        <w:rPr>
          <w:rFonts w:asciiTheme="majorBidi" w:hAnsiTheme="majorBidi" w:cstheme="majorBidi"/>
          <w:b/>
          <w:bCs/>
          <w:sz w:val="28"/>
          <w:szCs w:val="28"/>
        </w:rPr>
      </w:pPr>
      <w:r w:rsidRPr="003F420C">
        <w:rPr>
          <w:rFonts w:asciiTheme="majorBidi" w:hAnsiTheme="majorBidi" w:cstheme="majorBidi"/>
          <w:b/>
          <w:bCs/>
          <w:sz w:val="28"/>
          <w:szCs w:val="28"/>
        </w:rPr>
        <w:t>5. Results</w:t>
      </w:r>
    </w:p>
    <w:p w14:paraId="1E626965" w14:textId="773090EA" w:rsidR="006D153E" w:rsidRPr="006D153E" w:rsidRDefault="00047E5A" w:rsidP="006D153E">
      <w:pPr>
        <w:bidi w:val="0"/>
        <w:spacing w:line="360" w:lineRule="auto"/>
        <w:rPr>
          <w:rFonts w:asciiTheme="majorBidi" w:hAnsiTheme="majorBidi" w:cstheme="majorBidi"/>
        </w:rPr>
      </w:pPr>
      <w:r w:rsidRPr="003F420C">
        <w:rPr>
          <w:rFonts w:asciiTheme="majorBidi" w:hAnsiTheme="majorBidi" w:cstheme="majorBidi"/>
          <w:b/>
          <w:bCs/>
        </w:rPr>
        <w:t>5.1 Average Treatment Effects</w:t>
      </w:r>
    </w:p>
    <w:p w14:paraId="15CAEC5B" w14:textId="09004FB2" w:rsidR="00047E5A" w:rsidRDefault="006D153E" w:rsidP="00047E5A">
      <w:pPr>
        <w:bidi w:val="0"/>
        <w:spacing w:line="360" w:lineRule="auto"/>
        <w:rPr>
          <w:rFonts w:asciiTheme="majorBidi" w:hAnsiTheme="majorBidi" w:cstheme="majorBidi"/>
        </w:rPr>
      </w:pPr>
      <w:r w:rsidRPr="006D153E">
        <w:rPr>
          <w:rFonts w:asciiTheme="majorBidi" w:hAnsiTheme="majorBidi" w:cstheme="majorBidi"/>
        </w:rPr>
        <w:t>Table 3</w:t>
      </w:r>
      <w:r>
        <w:rPr>
          <w:rFonts w:asciiTheme="majorBidi" w:hAnsiTheme="majorBidi" w:cstheme="majorBidi"/>
        </w:rPr>
        <w:t xml:space="preserve">  </w:t>
      </w:r>
      <w:r w:rsidRPr="006D153E">
        <w:rPr>
          <w:rFonts w:asciiTheme="majorBidi" w:hAnsiTheme="majorBidi" w:cstheme="majorBidi"/>
        </w:rPr>
        <w:t xml:space="preserve">presents the ATE estimates for both interventions using IPW and DoubleML. Both methods show statistically significant positive effects. The water intervention has a larger ATE (approximately 28–32 percentage points) than the nutrition intervention (approximately 9–11 percentage points). DoubleML estimates are slightly higher, likely because they better capture nonlinear interactions (see </w:t>
      </w:r>
      <w:r>
        <w:rPr>
          <w:rFonts w:asciiTheme="majorBidi" w:hAnsiTheme="majorBidi" w:cstheme="majorBidi"/>
        </w:rPr>
        <w:t xml:space="preserve"> </w:t>
      </w:r>
      <w:r w:rsidRPr="006D153E">
        <w:rPr>
          <w:rFonts w:asciiTheme="majorBidi" w:hAnsiTheme="majorBidi" w:cstheme="majorBidi"/>
        </w:rPr>
        <w:t>Figure 5</w:t>
      </w:r>
      <w:r>
        <w:rPr>
          <w:rFonts w:asciiTheme="majorBidi" w:hAnsiTheme="majorBidi" w:cstheme="majorBidi"/>
        </w:rPr>
        <w:t xml:space="preserve">  </w:t>
      </w:r>
      <w:r w:rsidRPr="006D153E">
        <w:rPr>
          <w:rFonts w:asciiTheme="majorBidi" w:hAnsiTheme="majorBidi" w:cstheme="majorBidi"/>
        </w:rPr>
        <w:t xml:space="preserve"> for a visual comparison).</w:t>
      </w:r>
    </w:p>
    <w:p w14:paraId="70AAD671" w14:textId="77777777" w:rsidR="002D3F8A" w:rsidRPr="00047E5A" w:rsidRDefault="002D3F8A" w:rsidP="002D3F8A">
      <w:pPr>
        <w:bidi w:val="0"/>
        <w:spacing w:line="360" w:lineRule="auto"/>
        <w:rPr>
          <w:rFonts w:asciiTheme="majorBidi" w:hAnsiTheme="majorBidi" w:cstheme="majorBidi"/>
        </w:rPr>
      </w:pPr>
    </w:p>
    <w:p w14:paraId="74FBEFC7" w14:textId="719D0ADD" w:rsidR="00A348C4" w:rsidRPr="00AF6814" w:rsidRDefault="00047E5A" w:rsidP="00AF6814">
      <w:pPr>
        <w:bidi w:val="0"/>
        <w:spacing w:line="360" w:lineRule="auto"/>
        <w:rPr>
          <w:rFonts w:asciiTheme="majorBidi" w:hAnsiTheme="majorBidi" w:cstheme="majorBidi"/>
        </w:rPr>
      </w:pPr>
      <w:r w:rsidRPr="003F420C">
        <w:rPr>
          <w:rFonts w:asciiTheme="majorBidi" w:hAnsiTheme="majorBidi" w:cstheme="majorBidi"/>
          <w:b/>
          <w:bCs/>
          <w:sz w:val="28"/>
          <w:szCs w:val="28"/>
        </w:rPr>
        <w:t xml:space="preserve">Table </w:t>
      </w:r>
      <w:r w:rsidR="00A73002">
        <w:rPr>
          <w:rFonts w:asciiTheme="majorBidi" w:hAnsiTheme="majorBidi" w:cstheme="majorBidi"/>
          <w:b/>
          <w:bCs/>
          <w:sz w:val="28"/>
          <w:szCs w:val="28"/>
        </w:rPr>
        <w:t>3</w:t>
      </w:r>
      <w:r w:rsidRPr="003F420C">
        <w:rPr>
          <w:rFonts w:asciiTheme="majorBidi" w:hAnsiTheme="majorBidi" w:cstheme="majorBidi"/>
          <w:b/>
          <w:bCs/>
          <w:sz w:val="28"/>
          <w:szCs w:val="28"/>
        </w:rPr>
        <w:t>: Average Treatment Effect Estimates</w:t>
      </w:r>
    </w:p>
    <w:tbl>
      <w:tblPr>
        <w:tblW w:w="0" w:type="auto"/>
        <w:tblCellMar>
          <w:top w:w="15" w:type="dxa"/>
          <w:left w:w="15" w:type="dxa"/>
          <w:bottom w:w="15" w:type="dxa"/>
          <w:right w:w="15" w:type="dxa"/>
        </w:tblCellMar>
        <w:tblLook w:val="04A0" w:firstRow="1" w:lastRow="0" w:firstColumn="1" w:lastColumn="0" w:noHBand="0" w:noVBand="1"/>
      </w:tblPr>
      <w:tblGrid>
        <w:gridCol w:w="1097"/>
        <w:gridCol w:w="2108"/>
        <w:gridCol w:w="847"/>
        <w:gridCol w:w="919"/>
        <w:gridCol w:w="905"/>
      </w:tblGrid>
      <w:tr w:rsidR="00A348C4" w:rsidRPr="00FE4E5A" w14:paraId="16F34EFB"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002AA114" w14:textId="77777777" w:rsidR="00A348C4" w:rsidRPr="00FE4E5A" w:rsidRDefault="00A348C4">
            <w:pPr>
              <w:pStyle w:val="aa"/>
              <w:spacing w:before="0" w:beforeAutospacing="0" w:after="0" w:afterAutospacing="0"/>
              <w:jc w:val="center"/>
              <w:rPr>
                <w:rFonts w:asciiTheme="majorBidi" w:hAnsiTheme="majorBidi" w:cstheme="majorBidi"/>
                <w:b/>
                <w:bCs/>
                <w:sz w:val="20"/>
                <w:szCs w:val="20"/>
              </w:rPr>
            </w:pPr>
            <w:r w:rsidRPr="00FE4E5A">
              <w:rPr>
                <w:rFonts w:asciiTheme="majorBidi" w:hAnsiTheme="majorBidi" w:cstheme="majorBidi"/>
                <w:b/>
                <w:bCs/>
                <w:color w:val="000000"/>
                <w:sz w:val="20"/>
                <w:szCs w:val="20"/>
              </w:rPr>
              <w:t>Intervention</w:t>
            </w:r>
          </w:p>
        </w:tc>
        <w:tc>
          <w:tcPr>
            <w:tcW w:w="0" w:type="auto"/>
            <w:tcBorders>
              <w:top w:val="single" w:sz="8" w:space="0" w:color="000000"/>
              <w:left w:val="single" w:sz="8" w:space="0" w:color="000000"/>
              <w:bottom w:val="single" w:sz="8" w:space="0" w:color="000000"/>
              <w:right w:val="single" w:sz="8" w:space="0" w:color="000000"/>
            </w:tcBorders>
            <w:hideMark/>
          </w:tcPr>
          <w:p w14:paraId="7E72326F" w14:textId="77777777" w:rsidR="00A348C4" w:rsidRPr="00FE4E5A" w:rsidRDefault="00A348C4">
            <w:pPr>
              <w:pStyle w:val="aa"/>
              <w:spacing w:before="0" w:beforeAutospacing="0" w:after="0" w:afterAutospacing="0"/>
              <w:jc w:val="center"/>
              <w:rPr>
                <w:rFonts w:asciiTheme="majorBidi" w:hAnsiTheme="majorBidi" w:cstheme="majorBidi"/>
                <w:b/>
                <w:bCs/>
                <w:sz w:val="20"/>
                <w:szCs w:val="20"/>
              </w:rPr>
            </w:pPr>
            <w:r w:rsidRPr="00FE4E5A">
              <w:rPr>
                <w:rFonts w:asciiTheme="majorBidi" w:hAnsiTheme="majorBidi" w:cstheme="majorBidi"/>
                <w:b/>
                <w:bCs/>
                <w:color w:val="000000"/>
                <w:sz w:val="20"/>
                <w:szCs w:val="20"/>
              </w:rPr>
              <w:t>Method</w:t>
            </w:r>
          </w:p>
        </w:tc>
        <w:tc>
          <w:tcPr>
            <w:tcW w:w="0" w:type="auto"/>
            <w:tcBorders>
              <w:top w:val="single" w:sz="8" w:space="0" w:color="000000"/>
              <w:left w:val="single" w:sz="8" w:space="0" w:color="000000"/>
              <w:bottom w:val="single" w:sz="8" w:space="0" w:color="000000"/>
              <w:right w:val="single" w:sz="8" w:space="0" w:color="000000"/>
            </w:tcBorders>
            <w:hideMark/>
          </w:tcPr>
          <w:p w14:paraId="7E05D90A" w14:textId="35CFD2AD" w:rsidR="00A348C4" w:rsidRPr="00FE4E5A" w:rsidRDefault="00A348C4">
            <w:pPr>
              <w:pStyle w:val="aa"/>
              <w:spacing w:before="0" w:beforeAutospacing="0" w:after="0" w:afterAutospacing="0"/>
              <w:jc w:val="center"/>
              <w:rPr>
                <w:rFonts w:asciiTheme="majorBidi" w:hAnsiTheme="majorBidi" w:cstheme="majorBidi"/>
                <w:b/>
                <w:bCs/>
                <w:sz w:val="20"/>
                <w:szCs w:val="20"/>
              </w:rPr>
            </w:pPr>
            <w:r w:rsidRPr="00FE4E5A">
              <w:rPr>
                <w:rFonts w:asciiTheme="majorBidi" w:hAnsiTheme="majorBidi" w:cstheme="majorBidi"/>
                <w:b/>
                <w:bCs/>
                <w:color w:val="000000"/>
                <w:sz w:val="20"/>
                <w:szCs w:val="20"/>
              </w:rPr>
              <w:t>ATE (pp)</w:t>
            </w:r>
          </w:p>
        </w:tc>
        <w:tc>
          <w:tcPr>
            <w:tcW w:w="0" w:type="auto"/>
            <w:tcBorders>
              <w:top w:val="single" w:sz="8" w:space="0" w:color="000000"/>
              <w:left w:val="single" w:sz="8" w:space="0" w:color="000000"/>
              <w:bottom w:val="single" w:sz="8" w:space="0" w:color="000000"/>
              <w:right w:val="single" w:sz="8" w:space="0" w:color="000000"/>
            </w:tcBorders>
            <w:hideMark/>
          </w:tcPr>
          <w:p w14:paraId="41644181" w14:textId="77777777" w:rsidR="00A348C4" w:rsidRPr="00FE4E5A" w:rsidRDefault="00A348C4">
            <w:pPr>
              <w:pStyle w:val="aa"/>
              <w:spacing w:before="0" w:beforeAutospacing="0" w:after="0" w:afterAutospacing="0"/>
              <w:jc w:val="center"/>
              <w:rPr>
                <w:rFonts w:asciiTheme="majorBidi" w:hAnsiTheme="majorBidi" w:cstheme="majorBidi"/>
                <w:b/>
                <w:bCs/>
                <w:sz w:val="20"/>
                <w:szCs w:val="20"/>
              </w:rPr>
            </w:pPr>
            <w:r w:rsidRPr="00FE4E5A">
              <w:rPr>
                <w:rFonts w:asciiTheme="majorBidi" w:hAnsiTheme="majorBidi" w:cstheme="majorBidi"/>
                <w:b/>
                <w:bCs/>
                <w:color w:val="000000"/>
                <w:sz w:val="20"/>
                <w:szCs w:val="20"/>
              </w:rPr>
              <w:t>Std. Error</w:t>
            </w:r>
          </w:p>
        </w:tc>
        <w:tc>
          <w:tcPr>
            <w:tcW w:w="0" w:type="auto"/>
            <w:tcBorders>
              <w:top w:val="single" w:sz="8" w:space="0" w:color="000000"/>
              <w:left w:val="single" w:sz="8" w:space="0" w:color="000000"/>
              <w:bottom w:val="single" w:sz="8" w:space="0" w:color="000000"/>
              <w:right w:val="single" w:sz="8" w:space="0" w:color="000000"/>
            </w:tcBorders>
            <w:hideMark/>
          </w:tcPr>
          <w:p w14:paraId="3E31C8DB" w14:textId="77777777" w:rsidR="00A348C4" w:rsidRPr="00FE4E5A" w:rsidRDefault="00A348C4">
            <w:pPr>
              <w:pStyle w:val="aa"/>
              <w:spacing w:before="0" w:beforeAutospacing="0" w:after="0" w:afterAutospacing="0"/>
              <w:jc w:val="center"/>
              <w:rPr>
                <w:rFonts w:asciiTheme="majorBidi" w:hAnsiTheme="majorBidi" w:cstheme="majorBidi"/>
                <w:b/>
                <w:bCs/>
                <w:sz w:val="20"/>
                <w:szCs w:val="20"/>
              </w:rPr>
            </w:pPr>
            <w:r w:rsidRPr="00FE4E5A">
              <w:rPr>
                <w:rFonts w:asciiTheme="majorBidi" w:hAnsiTheme="majorBidi" w:cstheme="majorBidi"/>
                <w:b/>
                <w:bCs/>
                <w:color w:val="000000"/>
                <w:sz w:val="20"/>
                <w:szCs w:val="20"/>
              </w:rPr>
              <w:t>p-value</w:t>
            </w:r>
          </w:p>
        </w:tc>
      </w:tr>
      <w:tr w:rsidR="00A348C4" w:rsidRPr="00AF6814" w14:paraId="5B8EC42B" w14:textId="77777777">
        <w:tc>
          <w:tcPr>
            <w:tcW w:w="0" w:type="auto"/>
            <w:tcBorders>
              <w:top w:val="single" w:sz="8" w:space="0" w:color="000000"/>
              <w:left w:val="single" w:sz="8" w:space="0" w:color="000000"/>
              <w:bottom w:val="single" w:sz="8" w:space="0" w:color="000000"/>
              <w:right w:val="single" w:sz="8" w:space="0" w:color="000000"/>
            </w:tcBorders>
            <w:hideMark/>
          </w:tcPr>
          <w:p w14:paraId="0F29A95C" w14:textId="5B39405D" w:rsidR="00A348C4" w:rsidRPr="00AF6814" w:rsidRDefault="00005B8E">
            <w:pPr>
              <w:pStyle w:val="aa"/>
              <w:spacing w:before="0" w:beforeAutospacing="0" w:after="0" w:afterAutospacing="0"/>
              <w:rPr>
                <w:rFonts w:asciiTheme="majorBidi" w:hAnsiTheme="majorBidi" w:cstheme="majorBidi"/>
                <w:sz w:val="20"/>
                <w:szCs w:val="20"/>
              </w:rPr>
            </w:pPr>
            <w:r>
              <w:rPr>
                <w:rFonts w:asciiTheme="majorBidi" w:hAnsiTheme="majorBidi" w:cstheme="majorBidi"/>
                <w:b/>
                <w:bCs/>
                <w:color w:val="000000"/>
                <w:sz w:val="20"/>
                <w:szCs w:val="20"/>
              </w:rPr>
              <w:t xml:space="preserve">  </w:t>
            </w:r>
            <w:r w:rsidR="00A348C4" w:rsidRPr="00AF6814">
              <w:rPr>
                <w:rFonts w:asciiTheme="majorBidi" w:hAnsiTheme="majorBidi" w:cstheme="majorBidi"/>
                <w:b/>
                <w:bCs/>
                <w:color w:val="000000"/>
                <w:sz w:val="20"/>
                <w:szCs w:val="20"/>
              </w:rPr>
              <w:t>Water</w:t>
            </w:r>
          </w:p>
        </w:tc>
        <w:tc>
          <w:tcPr>
            <w:tcW w:w="0" w:type="auto"/>
            <w:tcBorders>
              <w:top w:val="single" w:sz="8" w:space="0" w:color="000000"/>
              <w:left w:val="single" w:sz="8" w:space="0" w:color="000000"/>
              <w:bottom w:val="single" w:sz="8" w:space="0" w:color="000000"/>
              <w:right w:val="single" w:sz="8" w:space="0" w:color="000000"/>
            </w:tcBorders>
            <w:hideMark/>
          </w:tcPr>
          <w:p w14:paraId="4C52EE69" w14:textId="6EDD4F72" w:rsidR="00A348C4" w:rsidRPr="00AF6814" w:rsidRDefault="00BA46B8">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IPW</w:t>
            </w:r>
          </w:p>
        </w:tc>
        <w:tc>
          <w:tcPr>
            <w:tcW w:w="0" w:type="auto"/>
            <w:tcBorders>
              <w:top w:val="single" w:sz="8" w:space="0" w:color="000000"/>
              <w:left w:val="single" w:sz="8" w:space="0" w:color="000000"/>
              <w:bottom w:val="single" w:sz="8" w:space="0" w:color="000000"/>
              <w:right w:val="single" w:sz="8" w:space="0" w:color="000000"/>
            </w:tcBorders>
            <w:hideMark/>
          </w:tcPr>
          <w:p w14:paraId="249110A2" w14:textId="7994D9FD"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28.4</w:t>
            </w:r>
          </w:p>
        </w:tc>
        <w:tc>
          <w:tcPr>
            <w:tcW w:w="0" w:type="auto"/>
            <w:tcBorders>
              <w:top w:val="single" w:sz="8" w:space="0" w:color="000000"/>
              <w:left w:val="single" w:sz="8" w:space="0" w:color="000000"/>
              <w:bottom w:val="single" w:sz="8" w:space="0" w:color="000000"/>
              <w:right w:val="single" w:sz="8" w:space="0" w:color="000000"/>
            </w:tcBorders>
            <w:hideMark/>
          </w:tcPr>
          <w:p w14:paraId="6C37CC33" w14:textId="45EC9576"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1.2</w:t>
            </w:r>
          </w:p>
        </w:tc>
        <w:tc>
          <w:tcPr>
            <w:tcW w:w="0" w:type="auto"/>
            <w:tcBorders>
              <w:top w:val="single" w:sz="8" w:space="0" w:color="000000"/>
              <w:left w:val="single" w:sz="8" w:space="0" w:color="000000"/>
              <w:bottom w:val="single" w:sz="8" w:space="0" w:color="000000"/>
              <w:right w:val="single" w:sz="8" w:space="0" w:color="000000"/>
            </w:tcBorders>
            <w:hideMark/>
          </w:tcPr>
          <w:p w14:paraId="33A1A6F5" w14:textId="2A4FBE7B" w:rsidR="00A348C4" w:rsidRPr="00AF6814" w:rsidRDefault="00D302F4">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P</w:t>
            </w:r>
            <w:r w:rsidR="00077098">
              <w:rPr>
                <w:rFonts w:asciiTheme="majorBidi" w:hAnsiTheme="majorBidi" w:cstheme="majorBidi"/>
                <w:color w:val="000000"/>
                <w:sz w:val="20"/>
                <w:szCs w:val="20"/>
              </w:rPr>
              <w:t xml:space="preserve"> </w:t>
            </w:r>
            <w:r w:rsidR="00310B2D">
              <w:rPr>
                <w:rFonts w:asciiTheme="majorBidi" w:hAnsiTheme="majorBidi" w:cstheme="majorBidi"/>
                <w:color w:val="000000"/>
                <w:sz w:val="20"/>
                <w:szCs w:val="20"/>
              </w:rPr>
              <w:t xml:space="preserve">&lt; </w:t>
            </w:r>
            <w:r w:rsidR="00E93011">
              <w:rPr>
                <w:rFonts w:asciiTheme="majorBidi" w:hAnsiTheme="majorBidi" w:cstheme="majorBidi" w:hint="cs"/>
                <w:color w:val="000000"/>
                <w:sz w:val="20"/>
                <w:szCs w:val="20"/>
              </w:rPr>
              <w:t xml:space="preserve"> </w:t>
            </w:r>
            <w:r w:rsidR="00A348C4" w:rsidRPr="00AF6814">
              <w:rPr>
                <w:rFonts w:asciiTheme="majorBidi" w:hAnsiTheme="majorBidi" w:cstheme="majorBidi"/>
                <w:color w:val="000000"/>
                <w:sz w:val="20"/>
                <w:szCs w:val="20"/>
              </w:rPr>
              <w:t>0.001</w:t>
            </w:r>
            <w:r w:rsidR="00634807">
              <w:rPr>
                <w:rFonts w:asciiTheme="majorBidi" w:hAnsiTheme="majorBidi" w:cstheme="majorBidi" w:hint="cs"/>
                <w:sz w:val="20"/>
                <w:szCs w:val="20"/>
              </w:rPr>
              <w:t xml:space="preserve"> </w:t>
            </w:r>
            <w:r w:rsidR="00645378">
              <w:rPr>
                <w:rFonts w:asciiTheme="majorBidi" w:hAnsiTheme="majorBidi" w:cstheme="majorBidi" w:hint="cs"/>
                <w:sz w:val="20"/>
                <w:szCs w:val="20"/>
              </w:rPr>
              <w:t xml:space="preserve"> </w:t>
            </w:r>
          </w:p>
        </w:tc>
      </w:tr>
      <w:tr w:rsidR="00A348C4" w:rsidRPr="00AF6814" w14:paraId="6F35F439" w14:textId="77777777">
        <w:tc>
          <w:tcPr>
            <w:tcW w:w="0" w:type="auto"/>
            <w:tcBorders>
              <w:top w:val="single" w:sz="8" w:space="0" w:color="000000"/>
              <w:left w:val="single" w:sz="8" w:space="0" w:color="000000"/>
              <w:bottom w:val="single" w:sz="8" w:space="0" w:color="000000"/>
              <w:right w:val="single" w:sz="8" w:space="0" w:color="000000"/>
            </w:tcBorders>
            <w:hideMark/>
          </w:tcPr>
          <w:p w14:paraId="0F08842F" w14:textId="13F9F901" w:rsidR="00A348C4" w:rsidRPr="00AF6814" w:rsidRDefault="00005B8E">
            <w:pPr>
              <w:pStyle w:val="aa"/>
              <w:spacing w:before="0" w:beforeAutospacing="0" w:after="0" w:afterAutospacing="0"/>
              <w:rPr>
                <w:rFonts w:asciiTheme="majorBidi" w:hAnsiTheme="majorBidi" w:cstheme="majorBidi"/>
                <w:sz w:val="20"/>
                <w:szCs w:val="20"/>
              </w:rPr>
            </w:pPr>
            <w:r>
              <w:rPr>
                <w:rFonts w:asciiTheme="majorBidi" w:hAnsiTheme="majorBidi" w:cstheme="majorBidi"/>
                <w:b/>
                <w:bCs/>
                <w:color w:val="000000"/>
                <w:sz w:val="20"/>
                <w:szCs w:val="20"/>
              </w:rPr>
              <w:t xml:space="preserve">  </w:t>
            </w:r>
            <w:r w:rsidR="00A348C4" w:rsidRPr="00AF6814">
              <w:rPr>
                <w:rFonts w:asciiTheme="majorBidi" w:hAnsiTheme="majorBidi" w:cstheme="majorBidi"/>
                <w:b/>
                <w:bCs/>
                <w:color w:val="000000"/>
                <w:sz w:val="20"/>
                <w:szCs w:val="20"/>
              </w:rPr>
              <w:t>Water</w:t>
            </w:r>
          </w:p>
        </w:tc>
        <w:tc>
          <w:tcPr>
            <w:tcW w:w="0" w:type="auto"/>
            <w:tcBorders>
              <w:top w:val="single" w:sz="8" w:space="0" w:color="000000"/>
              <w:left w:val="single" w:sz="8" w:space="0" w:color="000000"/>
              <w:bottom w:val="single" w:sz="8" w:space="0" w:color="000000"/>
              <w:right w:val="single" w:sz="8" w:space="0" w:color="000000"/>
            </w:tcBorders>
            <w:hideMark/>
          </w:tcPr>
          <w:p w14:paraId="54C3BB64" w14:textId="77777777" w:rsidR="00A348C4" w:rsidRPr="00AF6814" w:rsidRDefault="00A348C4">
            <w:pPr>
              <w:pStyle w:val="aa"/>
              <w:spacing w:before="0" w:beforeAutospacing="0" w:after="0" w:afterAutospacing="0"/>
              <w:rPr>
                <w:rFonts w:asciiTheme="majorBidi" w:hAnsiTheme="majorBidi" w:cstheme="majorBidi"/>
                <w:sz w:val="20"/>
                <w:szCs w:val="20"/>
              </w:rPr>
            </w:pPr>
            <w:r w:rsidRPr="00AF6814">
              <w:rPr>
                <w:rFonts w:asciiTheme="majorBidi" w:hAnsiTheme="majorBidi" w:cstheme="majorBidi"/>
                <w:color w:val="000000"/>
                <w:sz w:val="20"/>
                <w:szCs w:val="20"/>
              </w:rPr>
              <w:t>DoubleML (causal forest)</w:t>
            </w:r>
          </w:p>
        </w:tc>
        <w:tc>
          <w:tcPr>
            <w:tcW w:w="0" w:type="auto"/>
            <w:tcBorders>
              <w:top w:val="single" w:sz="8" w:space="0" w:color="000000"/>
              <w:left w:val="single" w:sz="8" w:space="0" w:color="000000"/>
              <w:bottom w:val="single" w:sz="8" w:space="0" w:color="000000"/>
              <w:right w:val="single" w:sz="8" w:space="0" w:color="000000"/>
            </w:tcBorders>
            <w:hideMark/>
          </w:tcPr>
          <w:p w14:paraId="73F8CDA2" w14:textId="4BFDD1AE"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32.1</w:t>
            </w:r>
          </w:p>
        </w:tc>
        <w:tc>
          <w:tcPr>
            <w:tcW w:w="0" w:type="auto"/>
            <w:tcBorders>
              <w:top w:val="single" w:sz="8" w:space="0" w:color="000000"/>
              <w:left w:val="single" w:sz="8" w:space="0" w:color="000000"/>
              <w:bottom w:val="single" w:sz="8" w:space="0" w:color="000000"/>
              <w:right w:val="single" w:sz="8" w:space="0" w:color="000000"/>
            </w:tcBorders>
            <w:hideMark/>
          </w:tcPr>
          <w:p w14:paraId="2AF5A5AE" w14:textId="370F3A76"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1.5</w:t>
            </w:r>
          </w:p>
        </w:tc>
        <w:tc>
          <w:tcPr>
            <w:tcW w:w="0" w:type="auto"/>
            <w:tcBorders>
              <w:top w:val="single" w:sz="8" w:space="0" w:color="000000"/>
              <w:left w:val="single" w:sz="8" w:space="0" w:color="000000"/>
              <w:bottom w:val="single" w:sz="8" w:space="0" w:color="000000"/>
              <w:right w:val="single" w:sz="8" w:space="0" w:color="000000"/>
            </w:tcBorders>
            <w:hideMark/>
          </w:tcPr>
          <w:p w14:paraId="2CE1D85B" w14:textId="7E9B2F30" w:rsidR="00A348C4" w:rsidRPr="00AF6814" w:rsidRDefault="00E93011">
            <w:pPr>
              <w:pStyle w:val="aa"/>
              <w:spacing w:before="0" w:beforeAutospacing="0" w:after="0" w:afterAutospacing="0"/>
              <w:rPr>
                <w:rFonts w:asciiTheme="majorBidi" w:hAnsiTheme="majorBidi" w:cstheme="majorBidi"/>
                <w:sz w:val="20"/>
                <w:szCs w:val="20"/>
              </w:rPr>
            </w:pPr>
            <w:r>
              <w:rPr>
                <w:rFonts w:asciiTheme="majorBidi" w:hAnsiTheme="majorBidi" w:cstheme="majorBidi" w:hint="cs"/>
                <w:color w:val="000000"/>
                <w:sz w:val="20"/>
                <w:szCs w:val="20"/>
              </w:rPr>
              <w:t xml:space="preserve"> </w:t>
            </w:r>
            <w:r w:rsidR="00077098">
              <w:rPr>
                <w:rFonts w:asciiTheme="majorBidi" w:hAnsiTheme="majorBidi" w:cstheme="majorBidi"/>
                <w:color w:val="000000"/>
                <w:sz w:val="20"/>
                <w:szCs w:val="20"/>
              </w:rPr>
              <w:t xml:space="preserve"> </w:t>
            </w:r>
            <w:r w:rsidR="00780719">
              <w:rPr>
                <w:rFonts w:asciiTheme="majorBidi" w:hAnsiTheme="majorBidi" w:cstheme="majorBidi"/>
                <w:color w:val="000000"/>
                <w:sz w:val="20"/>
                <w:szCs w:val="20"/>
              </w:rPr>
              <w:t xml:space="preserve">P &lt; </w:t>
            </w:r>
            <w:r w:rsidR="00A348C4" w:rsidRPr="00AF6814">
              <w:rPr>
                <w:rFonts w:asciiTheme="majorBidi" w:hAnsiTheme="majorBidi" w:cstheme="majorBidi"/>
                <w:color w:val="000000"/>
                <w:sz w:val="20"/>
                <w:szCs w:val="20"/>
              </w:rPr>
              <w:t>0.001</w:t>
            </w:r>
            <w:r w:rsidR="00746764">
              <w:rPr>
                <w:rFonts w:asciiTheme="majorBidi" w:hAnsiTheme="majorBidi" w:cstheme="majorBidi" w:hint="cs"/>
                <w:sz w:val="20"/>
                <w:szCs w:val="20"/>
              </w:rPr>
              <w:t xml:space="preserve"> </w:t>
            </w:r>
          </w:p>
        </w:tc>
      </w:tr>
      <w:tr w:rsidR="00A348C4" w:rsidRPr="00AF6814" w14:paraId="1576E8B0" w14:textId="77777777">
        <w:tc>
          <w:tcPr>
            <w:tcW w:w="0" w:type="auto"/>
            <w:tcBorders>
              <w:top w:val="single" w:sz="8" w:space="0" w:color="000000"/>
              <w:left w:val="single" w:sz="8" w:space="0" w:color="000000"/>
              <w:bottom w:val="single" w:sz="8" w:space="0" w:color="000000"/>
              <w:right w:val="single" w:sz="8" w:space="0" w:color="000000"/>
            </w:tcBorders>
            <w:hideMark/>
          </w:tcPr>
          <w:p w14:paraId="03E70E65" w14:textId="77D25761" w:rsidR="00A348C4" w:rsidRPr="00AF6814" w:rsidRDefault="00005B8E">
            <w:pPr>
              <w:pStyle w:val="aa"/>
              <w:spacing w:before="0" w:beforeAutospacing="0" w:after="0" w:afterAutospacing="0"/>
              <w:rPr>
                <w:rFonts w:asciiTheme="majorBidi" w:hAnsiTheme="majorBidi" w:cstheme="majorBidi"/>
                <w:sz w:val="20"/>
                <w:szCs w:val="20"/>
              </w:rPr>
            </w:pPr>
            <w:r>
              <w:rPr>
                <w:rFonts w:asciiTheme="majorBidi" w:hAnsiTheme="majorBidi" w:cstheme="majorBidi"/>
                <w:b/>
                <w:bCs/>
                <w:color w:val="000000"/>
                <w:sz w:val="20"/>
                <w:szCs w:val="20"/>
              </w:rPr>
              <w:t xml:space="preserve"> </w:t>
            </w:r>
            <w:r w:rsidR="00A348C4" w:rsidRPr="00AF6814">
              <w:rPr>
                <w:rFonts w:asciiTheme="majorBidi" w:hAnsiTheme="majorBidi" w:cstheme="majorBidi"/>
                <w:b/>
                <w:bCs/>
                <w:color w:val="000000"/>
                <w:sz w:val="20"/>
                <w:szCs w:val="20"/>
              </w:rPr>
              <w:t>Nutrition</w:t>
            </w:r>
          </w:p>
        </w:tc>
        <w:tc>
          <w:tcPr>
            <w:tcW w:w="0" w:type="auto"/>
            <w:tcBorders>
              <w:top w:val="single" w:sz="8" w:space="0" w:color="000000"/>
              <w:left w:val="single" w:sz="8" w:space="0" w:color="000000"/>
              <w:bottom w:val="single" w:sz="8" w:space="0" w:color="000000"/>
              <w:right w:val="single" w:sz="8" w:space="0" w:color="000000"/>
            </w:tcBorders>
            <w:hideMark/>
          </w:tcPr>
          <w:p w14:paraId="521FEA85" w14:textId="139665A8" w:rsidR="00A348C4" w:rsidRPr="00AF6814" w:rsidRDefault="00005B8E">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IPW</w:t>
            </w:r>
          </w:p>
        </w:tc>
        <w:tc>
          <w:tcPr>
            <w:tcW w:w="0" w:type="auto"/>
            <w:tcBorders>
              <w:top w:val="single" w:sz="8" w:space="0" w:color="000000"/>
              <w:left w:val="single" w:sz="8" w:space="0" w:color="000000"/>
              <w:bottom w:val="single" w:sz="8" w:space="0" w:color="000000"/>
              <w:right w:val="single" w:sz="8" w:space="0" w:color="000000"/>
            </w:tcBorders>
            <w:hideMark/>
          </w:tcPr>
          <w:p w14:paraId="2D74C224" w14:textId="3AF1622A"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9.6</w:t>
            </w:r>
          </w:p>
        </w:tc>
        <w:tc>
          <w:tcPr>
            <w:tcW w:w="0" w:type="auto"/>
            <w:tcBorders>
              <w:top w:val="single" w:sz="8" w:space="0" w:color="000000"/>
              <w:left w:val="single" w:sz="8" w:space="0" w:color="000000"/>
              <w:bottom w:val="single" w:sz="8" w:space="0" w:color="000000"/>
              <w:right w:val="single" w:sz="8" w:space="0" w:color="000000"/>
            </w:tcBorders>
            <w:hideMark/>
          </w:tcPr>
          <w:p w14:paraId="7348A00A" w14:textId="3D4CB6E2"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0.8</w:t>
            </w:r>
          </w:p>
        </w:tc>
        <w:tc>
          <w:tcPr>
            <w:tcW w:w="0" w:type="auto"/>
            <w:tcBorders>
              <w:top w:val="single" w:sz="8" w:space="0" w:color="000000"/>
              <w:left w:val="single" w:sz="8" w:space="0" w:color="000000"/>
              <w:bottom w:val="single" w:sz="8" w:space="0" w:color="000000"/>
              <w:right w:val="single" w:sz="8" w:space="0" w:color="000000"/>
            </w:tcBorders>
            <w:hideMark/>
          </w:tcPr>
          <w:p w14:paraId="44308BFB" w14:textId="27033FD5" w:rsidR="00A348C4" w:rsidRPr="00AF6814" w:rsidRDefault="00E93011">
            <w:pPr>
              <w:pStyle w:val="aa"/>
              <w:spacing w:before="0" w:beforeAutospacing="0" w:after="0" w:afterAutospacing="0"/>
              <w:rPr>
                <w:rFonts w:asciiTheme="majorBidi" w:hAnsiTheme="majorBidi" w:cstheme="majorBidi"/>
                <w:sz w:val="20"/>
                <w:szCs w:val="20"/>
              </w:rPr>
            </w:pPr>
            <w:r>
              <w:rPr>
                <w:rFonts w:asciiTheme="majorBidi" w:hAnsiTheme="majorBidi" w:cstheme="majorBidi" w:hint="cs"/>
                <w:color w:val="000000"/>
                <w:sz w:val="20"/>
                <w:szCs w:val="20"/>
              </w:rPr>
              <w:t xml:space="preserve"> </w:t>
            </w:r>
            <w:r w:rsidR="00780719">
              <w:rPr>
                <w:rFonts w:asciiTheme="majorBidi" w:hAnsiTheme="majorBidi" w:cstheme="majorBidi"/>
                <w:color w:val="000000"/>
                <w:sz w:val="20"/>
                <w:szCs w:val="20"/>
              </w:rPr>
              <w:t xml:space="preserve"> P &lt; </w:t>
            </w:r>
            <w:r w:rsidR="00A348C4" w:rsidRPr="00AF6814">
              <w:rPr>
                <w:rFonts w:asciiTheme="majorBidi" w:hAnsiTheme="majorBidi" w:cstheme="majorBidi"/>
                <w:color w:val="000000"/>
                <w:sz w:val="20"/>
                <w:szCs w:val="20"/>
              </w:rPr>
              <w:t>0.001</w:t>
            </w:r>
            <w:r w:rsidR="00746764">
              <w:rPr>
                <w:rFonts w:asciiTheme="majorBidi" w:hAnsiTheme="majorBidi" w:cstheme="majorBidi" w:hint="cs"/>
                <w:color w:val="000000"/>
                <w:sz w:val="20"/>
                <w:szCs w:val="20"/>
              </w:rPr>
              <w:t xml:space="preserve"> </w:t>
            </w:r>
          </w:p>
        </w:tc>
      </w:tr>
      <w:tr w:rsidR="00A348C4" w:rsidRPr="00AF6814" w14:paraId="71093335" w14:textId="77777777">
        <w:tc>
          <w:tcPr>
            <w:tcW w:w="0" w:type="auto"/>
            <w:tcBorders>
              <w:top w:val="single" w:sz="8" w:space="0" w:color="000000"/>
              <w:left w:val="single" w:sz="8" w:space="0" w:color="000000"/>
              <w:bottom w:val="single" w:sz="8" w:space="0" w:color="000000"/>
              <w:right w:val="single" w:sz="8" w:space="0" w:color="000000"/>
            </w:tcBorders>
            <w:hideMark/>
          </w:tcPr>
          <w:p w14:paraId="0DC96CE0" w14:textId="5B6F1108" w:rsidR="00A348C4" w:rsidRPr="00AF6814" w:rsidRDefault="00005B8E">
            <w:pPr>
              <w:pStyle w:val="aa"/>
              <w:spacing w:before="0" w:beforeAutospacing="0" w:after="0" w:afterAutospacing="0"/>
              <w:rPr>
                <w:rFonts w:asciiTheme="majorBidi" w:hAnsiTheme="majorBidi" w:cstheme="majorBidi"/>
                <w:sz w:val="20"/>
                <w:szCs w:val="20"/>
              </w:rPr>
            </w:pPr>
            <w:r>
              <w:rPr>
                <w:rFonts w:asciiTheme="majorBidi" w:hAnsiTheme="majorBidi" w:cstheme="majorBidi"/>
                <w:b/>
                <w:bCs/>
                <w:color w:val="000000"/>
                <w:sz w:val="20"/>
                <w:szCs w:val="20"/>
              </w:rPr>
              <w:t xml:space="preserve"> </w:t>
            </w:r>
            <w:r w:rsidR="00A348C4" w:rsidRPr="00AF6814">
              <w:rPr>
                <w:rFonts w:asciiTheme="majorBidi" w:hAnsiTheme="majorBidi" w:cstheme="majorBidi"/>
                <w:b/>
                <w:bCs/>
                <w:color w:val="000000"/>
                <w:sz w:val="20"/>
                <w:szCs w:val="20"/>
              </w:rPr>
              <w:t>Nutrition</w:t>
            </w:r>
          </w:p>
        </w:tc>
        <w:tc>
          <w:tcPr>
            <w:tcW w:w="0" w:type="auto"/>
            <w:tcBorders>
              <w:top w:val="single" w:sz="8" w:space="0" w:color="000000"/>
              <w:left w:val="single" w:sz="8" w:space="0" w:color="000000"/>
              <w:bottom w:val="single" w:sz="8" w:space="0" w:color="000000"/>
              <w:right w:val="single" w:sz="8" w:space="0" w:color="000000"/>
            </w:tcBorders>
            <w:hideMark/>
          </w:tcPr>
          <w:p w14:paraId="0362850D" w14:textId="594FB607" w:rsidR="00A348C4" w:rsidRPr="00AF6814" w:rsidRDefault="00A348C4">
            <w:pPr>
              <w:pStyle w:val="aa"/>
              <w:spacing w:before="0" w:beforeAutospacing="0" w:after="0" w:afterAutospacing="0"/>
              <w:rPr>
                <w:rFonts w:asciiTheme="majorBidi" w:hAnsiTheme="majorBidi" w:cstheme="majorBidi"/>
                <w:sz w:val="20"/>
                <w:szCs w:val="20"/>
              </w:rPr>
            </w:pPr>
            <w:r w:rsidRPr="00AF6814">
              <w:rPr>
                <w:rFonts w:asciiTheme="majorBidi" w:hAnsiTheme="majorBidi" w:cstheme="majorBidi"/>
                <w:color w:val="000000"/>
                <w:sz w:val="20"/>
                <w:szCs w:val="20"/>
              </w:rPr>
              <w:t>DoubleML (causal forest)</w:t>
            </w:r>
            <w:r w:rsidR="009155E1">
              <w:rPr>
                <w:rFonts w:asciiTheme="majorBidi" w:hAnsiTheme="majorBidi" w:cstheme="majorBidi"/>
                <w:sz w:val="20"/>
                <w:szCs w:val="20"/>
              </w:rPr>
              <w:t xml:space="preserve"> </w:t>
            </w:r>
          </w:p>
        </w:tc>
        <w:tc>
          <w:tcPr>
            <w:tcW w:w="0" w:type="auto"/>
            <w:tcBorders>
              <w:top w:val="single" w:sz="8" w:space="0" w:color="000000"/>
              <w:left w:val="single" w:sz="8" w:space="0" w:color="000000"/>
              <w:bottom w:val="single" w:sz="8" w:space="0" w:color="000000"/>
              <w:right w:val="single" w:sz="8" w:space="0" w:color="000000"/>
            </w:tcBorders>
            <w:hideMark/>
          </w:tcPr>
          <w:p w14:paraId="7596F59F" w14:textId="46E5FFBB" w:rsidR="00A348C4" w:rsidRPr="00AF6814" w:rsidRDefault="009155E1">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11.3</w:t>
            </w:r>
          </w:p>
        </w:tc>
        <w:tc>
          <w:tcPr>
            <w:tcW w:w="0" w:type="auto"/>
            <w:tcBorders>
              <w:top w:val="single" w:sz="8" w:space="0" w:color="000000"/>
              <w:left w:val="single" w:sz="8" w:space="0" w:color="000000"/>
              <w:bottom w:val="single" w:sz="8" w:space="0" w:color="000000"/>
              <w:right w:val="single" w:sz="8" w:space="0" w:color="000000"/>
            </w:tcBorders>
            <w:hideMark/>
          </w:tcPr>
          <w:p w14:paraId="3B59D3EA" w14:textId="7FB71F10" w:rsidR="00A348C4" w:rsidRPr="00AF6814" w:rsidRDefault="00BA46B8">
            <w:pPr>
              <w:pStyle w:val="aa"/>
              <w:spacing w:before="0" w:beforeAutospacing="0" w:after="0" w:afterAutospacing="0"/>
              <w:rPr>
                <w:rFonts w:asciiTheme="majorBidi" w:hAnsiTheme="majorBidi" w:cstheme="majorBidi"/>
                <w:sz w:val="20"/>
                <w:szCs w:val="20"/>
              </w:rPr>
            </w:pPr>
            <w:r>
              <w:rPr>
                <w:rFonts w:asciiTheme="majorBidi" w:hAnsiTheme="majorBidi" w:cstheme="majorBidi"/>
                <w:color w:val="000000"/>
                <w:sz w:val="20"/>
                <w:szCs w:val="20"/>
              </w:rPr>
              <w:t xml:space="preserve">  </w:t>
            </w:r>
            <w:r w:rsidR="00A348C4" w:rsidRPr="00AF6814">
              <w:rPr>
                <w:rFonts w:asciiTheme="majorBidi" w:hAnsiTheme="majorBidi" w:cstheme="majorBidi"/>
                <w:color w:val="000000"/>
                <w:sz w:val="20"/>
                <w:szCs w:val="20"/>
              </w:rPr>
              <w:t>1.1</w:t>
            </w:r>
          </w:p>
        </w:tc>
        <w:tc>
          <w:tcPr>
            <w:tcW w:w="0" w:type="auto"/>
            <w:tcBorders>
              <w:top w:val="single" w:sz="8" w:space="0" w:color="000000"/>
              <w:left w:val="single" w:sz="8" w:space="0" w:color="000000"/>
              <w:bottom w:val="single" w:sz="8" w:space="0" w:color="000000"/>
              <w:right w:val="single" w:sz="8" w:space="0" w:color="000000"/>
            </w:tcBorders>
            <w:hideMark/>
          </w:tcPr>
          <w:p w14:paraId="00239B4B" w14:textId="4EED5638" w:rsidR="00A348C4" w:rsidRPr="00AF6814" w:rsidRDefault="00746764">
            <w:pPr>
              <w:pStyle w:val="aa"/>
              <w:spacing w:before="0" w:beforeAutospacing="0" w:after="0" w:afterAutospacing="0"/>
              <w:rPr>
                <w:rFonts w:asciiTheme="majorBidi" w:hAnsiTheme="majorBidi" w:cstheme="majorBidi"/>
                <w:sz w:val="20"/>
                <w:szCs w:val="20"/>
              </w:rPr>
            </w:pPr>
            <w:r>
              <w:rPr>
                <w:rFonts w:asciiTheme="majorBidi" w:hAnsiTheme="majorBidi" w:cstheme="majorBidi" w:hint="cs"/>
                <w:color w:val="000000"/>
                <w:sz w:val="20"/>
                <w:szCs w:val="20"/>
              </w:rPr>
              <w:t xml:space="preserve"> </w:t>
            </w:r>
            <w:r w:rsidR="00E93011">
              <w:rPr>
                <w:rFonts w:asciiTheme="majorBidi" w:hAnsiTheme="majorBidi" w:cstheme="majorBidi" w:hint="cs"/>
                <w:color w:val="000000"/>
                <w:sz w:val="20"/>
                <w:szCs w:val="20"/>
              </w:rPr>
              <w:t xml:space="preserve"> </w:t>
            </w:r>
            <w:r w:rsidR="009155E1">
              <w:rPr>
                <w:rFonts w:asciiTheme="majorBidi" w:hAnsiTheme="majorBidi" w:cstheme="majorBidi"/>
                <w:color w:val="000000"/>
                <w:sz w:val="20"/>
                <w:szCs w:val="20"/>
              </w:rPr>
              <w:t xml:space="preserve">P &lt; </w:t>
            </w:r>
            <w:r w:rsidR="00A348C4" w:rsidRPr="00AF6814">
              <w:rPr>
                <w:rFonts w:asciiTheme="majorBidi" w:hAnsiTheme="majorBidi" w:cstheme="majorBidi"/>
                <w:color w:val="000000"/>
                <w:sz w:val="20"/>
                <w:szCs w:val="20"/>
              </w:rPr>
              <w:t>0.001</w:t>
            </w:r>
            <w:r>
              <w:rPr>
                <w:rFonts w:asciiTheme="majorBidi" w:hAnsiTheme="majorBidi" w:cstheme="majorBidi" w:hint="cs"/>
                <w:color w:val="000000"/>
                <w:sz w:val="20"/>
                <w:szCs w:val="20"/>
              </w:rPr>
              <w:t xml:space="preserve">  </w:t>
            </w:r>
          </w:p>
        </w:tc>
      </w:tr>
    </w:tbl>
    <w:p w14:paraId="27AA0139" w14:textId="77777777" w:rsidR="00047E5A" w:rsidRPr="00AF6814" w:rsidRDefault="00047E5A" w:rsidP="00047E5A">
      <w:pPr>
        <w:bidi w:val="0"/>
        <w:spacing w:line="360" w:lineRule="auto"/>
        <w:rPr>
          <w:rFonts w:asciiTheme="majorBidi" w:hAnsiTheme="majorBidi" w:cstheme="majorBidi"/>
        </w:rPr>
      </w:pPr>
    </w:p>
    <w:p w14:paraId="3FFDA30D" w14:textId="49B4A5CB" w:rsidR="00047E5A" w:rsidRDefault="00047E5A" w:rsidP="00047E5A">
      <w:pPr>
        <w:bidi w:val="0"/>
        <w:spacing w:line="360" w:lineRule="auto"/>
        <w:rPr>
          <w:rFonts w:asciiTheme="majorBidi" w:hAnsiTheme="majorBidi" w:cstheme="majorBidi"/>
        </w:rPr>
      </w:pPr>
      <w:r w:rsidRPr="00AF6814">
        <w:rPr>
          <w:rFonts w:asciiTheme="majorBidi" w:hAnsiTheme="majorBidi" w:cstheme="majorBidi"/>
          <w:b/>
          <w:bCs/>
        </w:rPr>
        <w:t>Note:</w:t>
      </w:r>
      <w:r w:rsidR="00106ADD" w:rsidRPr="00AF6814">
        <w:rPr>
          <w:rFonts w:asciiTheme="majorBidi" w:hAnsiTheme="majorBidi" w:cstheme="majorBidi"/>
          <w:b/>
          <w:bCs/>
        </w:rPr>
        <w:t xml:space="preserve"> </w:t>
      </w:r>
      <w:r w:rsidRPr="00AF6814">
        <w:rPr>
          <w:rFonts w:asciiTheme="majorBidi" w:hAnsiTheme="majorBidi" w:cstheme="majorBidi"/>
        </w:rPr>
        <w:t>ATE (pp) represents the Averag</w:t>
      </w:r>
      <w:r w:rsidRPr="00047E5A">
        <w:rPr>
          <w:rFonts w:asciiTheme="majorBidi" w:hAnsiTheme="majorBidi" w:cstheme="majorBidi"/>
        </w:rPr>
        <w:t xml:space="preserve">e Treatment Effect in percentage points. IPW uses a logistic propensity score. DoubleML employs a Causal Forest to account for high‑dimensional nuisance parameters and non‑linearities. All estimates are significant at the 1% level </w:t>
      </w:r>
      <w:r w:rsidRPr="00106ADD">
        <w:rPr>
          <w:rFonts w:asciiTheme="majorBidi" w:hAnsiTheme="majorBidi" w:cstheme="majorBidi"/>
          <w:i/>
          <w:iCs/>
        </w:rPr>
        <w:t>(</w:t>
      </w:r>
      <w:r w:rsidR="00106ADD" w:rsidRPr="00106ADD">
        <w:rPr>
          <w:rFonts w:asciiTheme="majorBidi" w:hAnsiTheme="majorBidi" w:cstheme="majorBidi" w:hint="cs"/>
          <w:i/>
          <w:iCs/>
        </w:rPr>
        <w:t xml:space="preserve"> </w:t>
      </w:r>
      <w:r w:rsidRPr="00106ADD">
        <w:rPr>
          <w:rFonts w:asciiTheme="majorBidi" w:hAnsiTheme="majorBidi" w:cstheme="majorBidi"/>
          <w:i/>
          <w:iCs/>
        </w:rPr>
        <w:t>p</w:t>
      </w:r>
      <w:r w:rsidR="00106ADD" w:rsidRPr="00106ADD">
        <w:rPr>
          <w:rFonts w:asciiTheme="majorBidi" w:hAnsiTheme="majorBidi" w:cstheme="majorBidi" w:hint="cs"/>
          <w:i/>
          <w:iCs/>
        </w:rPr>
        <w:t xml:space="preserve"> </w:t>
      </w:r>
      <w:r w:rsidRPr="00106ADD">
        <w:rPr>
          <w:rFonts w:asciiTheme="majorBidi" w:hAnsiTheme="majorBidi" w:cstheme="majorBidi"/>
          <w:i/>
          <w:iCs/>
        </w:rPr>
        <w:t xml:space="preserve"> &lt; 0.001)</w:t>
      </w:r>
      <w:r w:rsidRPr="00047E5A">
        <w:rPr>
          <w:rFonts w:asciiTheme="majorBidi" w:hAnsiTheme="majorBidi" w:cstheme="majorBidi"/>
        </w:rPr>
        <w:t>.</w:t>
      </w:r>
    </w:p>
    <w:p w14:paraId="4EC4E022" w14:textId="520DA880" w:rsidR="000226E9" w:rsidRPr="00FB55FB" w:rsidRDefault="000226E9" w:rsidP="00FB55FB">
      <w:pPr>
        <w:bidi w:val="0"/>
        <w:spacing w:line="240" w:lineRule="auto"/>
        <w:rPr>
          <w:rFonts w:asciiTheme="majorBidi" w:hAnsiTheme="majorBidi" w:cstheme="majorBidi"/>
        </w:rPr>
      </w:pPr>
    </w:p>
    <w:p w14:paraId="6ABE4763" w14:textId="77777777" w:rsidR="000226E9" w:rsidRDefault="000226E9" w:rsidP="000226E9">
      <w:pPr>
        <w:bidi w:val="0"/>
        <w:spacing w:line="360" w:lineRule="auto"/>
        <w:rPr>
          <w:rFonts w:asciiTheme="majorBidi" w:hAnsiTheme="majorBidi" w:cstheme="majorBidi"/>
        </w:rPr>
      </w:pPr>
    </w:p>
    <w:p w14:paraId="2D67E0D0" w14:textId="65307EA0" w:rsidR="00047E5A" w:rsidRPr="00002796" w:rsidRDefault="00047E5A" w:rsidP="00002796">
      <w:pPr>
        <w:bidi w:val="0"/>
        <w:spacing w:line="360" w:lineRule="auto"/>
        <w:rPr>
          <w:rFonts w:asciiTheme="majorBidi" w:hAnsiTheme="majorBidi" w:cstheme="majorBidi"/>
          <w:b/>
          <w:bCs/>
        </w:rPr>
      </w:pPr>
      <w:r w:rsidRPr="00002796">
        <w:rPr>
          <w:rFonts w:asciiTheme="majorBidi" w:hAnsiTheme="majorBidi" w:cstheme="majorBidi"/>
          <w:b/>
          <w:bCs/>
        </w:rPr>
        <w:t>5.2 Heterogeneity of Treatment Effects</w:t>
      </w:r>
    </w:p>
    <w:p w14:paraId="774806E2" w14:textId="6AF7B67C" w:rsidR="00AA17C0" w:rsidRPr="00411D86" w:rsidRDefault="00047E5A" w:rsidP="00411D86">
      <w:pPr>
        <w:bidi w:val="0"/>
        <w:spacing w:line="360" w:lineRule="auto"/>
        <w:rPr>
          <w:rFonts w:asciiTheme="majorBidi" w:hAnsiTheme="majorBidi" w:cstheme="majorBidi"/>
        </w:rPr>
      </w:pPr>
      <w:r w:rsidRPr="00047E5A">
        <w:rPr>
          <w:rFonts w:asciiTheme="majorBidi" w:hAnsiTheme="majorBidi" w:cstheme="majorBidi"/>
        </w:rPr>
        <w:t xml:space="preserve">The distribution of conditional average treatment effects (CATE) for the water intervention is shown in Figure </w:t>
      </w:r>
      <w:r w:rsidR="00375CB4">
        <w:rPr>
          <w:rFonts w:asciiTheme="majorBidi" w:hAnsiTheme="majorBidi" w:cstheme="majorBidi"/>
        </w:rPr>
        <w:t>3</w:t>
      </w:r>
      <w:r w:rsidRPr="00047E5A">
        <w:rPr>
          <w:rFonts w:asciiTheme="majorBidi" w:hAnsiTheme="majorBidi" w:cstheme="majorBidi"/>
        </w:rPr>
        <w:t>. CATE ranges from 10 to 50 percentage points, with the highest values observed among households with baseline labour &gt;5 hours per day and high dependency ratios. This suggests that targeting the most time-poor households could substantially increase the effectiveness of water interventions.</w:t>
      </w:r>
    </w:p>
    <w:p w14:paraId="19F7FB0E" w14:textId="77777777" w:rsidR="002A3BA1" w:rsidRPr="003958E0" w:rsidRDefault="002A3BA1" w:rsidP="002A3BA1">
      <w:pPr>
        <w:bidi w:val="0"/>
        <w:spacing w:line="360" w:lineRule="auto"/>
        <w:rPr>
          <w:rFonts w:asciiTheme="majorBidi" w:hAnsiTheme="majorBidi" w:cstheme="majorBidi"/>
          <w:b/>
          <w:bCs/>
        </w:rPr>
      </w:pPr>
      <w:r w:rsidRPr="003958E0">
        <w:rPr>
          <w:rFonts w:asciiTheme="majorBidi" w:hAnsiTheme="majorBidi" w:cstheme="majorBidi"/>
          <w:b/>
          <w:bCs/>
        </w:rPr>
        <w:t>The analysis of the CATE distribution reveals several key insights:</w:t>
      </w:r>
    </w:p>
    <w:p w14:paraId="59671449" w14:textId="2AF66516" w:rsidR="002A3BA1" w:rsidRPr="002A3BA1" w:rsidRDefault="002A3BA1" w:rsidP="002A3BA1">
      <w:pPr>
        <w:bidi w:val="0"/>
        <w:spacing w:line="360" w:lineRule="auto"/>
        <w:rPr>
          <w:rFonts w:asciiTheme="majorBidi" w:hAnsiTheme="majorBidi" w:cstheme="majorBidi"/>
        </w:rPr>
      </w:pPr>
      <w:r w:rsidRPr="002A3BA1">
        <w:rPr>
          <w:rFonts w:asciiTheme="majorBidi" w:hAnsiTheme="majorBidi" w:cstheme="majorBidi"/>
        </w:rPr>
        <w:t xml:space="preserve"> </w:t>
      </w:r>
      <w:r w:rsidRPr="003958E0">
        <w:rPr>
          <w:rFonts w:asciiTheme="majorBidi" w:hAnsiTheme="majorBidi" w:cstheme="majorBidi"/>
          <w:b/>
          <w:bCs/>
        </w:rPr>
        <w:t xml:space="preserve">Effect Range: </w:t>
      </w:r>
      <w:r w:rsidRPr="002A3BA1">
        <w:rPr>
          <w:rFonts w:asciiTheme="majorBidi" w:hAnsiTheme="majorBidi" w:cstheme="majorBidi"/>
        </w:rPr>
        <w:t>The causal impact of water access on school attendance is strictly positive, ranging from a minimum gain of 10 percentage points to a maximum of 50 percentage points.</w:t>
      </w:r>
    </w:p>
    <w:p w14:paraId="62822A4E" w14:textId="353EB5FD" w:rsidR="002A3BA1" w:rsidRPr="002A3BA1" w:rsidRDefault="002A3BA1" w:rsidP="002A3BA1">
      <w:pPr>
        <w:bidi w:val="0"/>
        <w:spacing w:line="360" w:lineRule="auto"/>
        <w:rPr>
          <w:rFonts w:asciiTheme="majorBidi" w:hAnsiTheme="majorBidi" w:cstheme="majorBidi"/>
        </w:rPr>
      </w:pPr>
      <w:r w:rsidRPr="003958E0">
        <w:rPr>
          <w:rFonts w:asciiTheme="majorBidi" w:hAnsiTheme="majorBidi" w:cstheme="majorBidi"/>
          <w:b/>
          <w:bCs/>
        </w:rPr>
        <w:t xml:space="preserve"> Density Concentration:</w:t>
      </w:r>
      <w:r w:rsidRPr="002A3BA1">
        <w:rPr>
          <w:rFonts w:asciiTheme="majorBidi" w:hAnsiTheme="majorBidi" w:cstheme="majorBidi"/>
        </w:rPr>
        <w:t xml:space="preserve"> The kernel density overlay shows a primary peak (mode) around 35 percentage points, indicating the most frequent expected gain across the synthetic population.</w:t>
      </w:r>
    </w:p>
    <w:p w14:paraId="463C1E80" w14:textId="1E5AE4EE" w:rsidR="00B7172B" w:rsidRDefault="002A3BA1" w:rsidP="00B7172B">
      <w:pPr>
        <w:bidi w:val="0"/>
        <w:spacing w:line="360" w:lineRule="auto"/>
        <w:rPr>
          <w:rFonts w:asciiTheme="majorBidi" w:hAnsiTheme="majorBidi" w:cstheme="majorBidi"/>
          <w:rtl/>
        </w:rPr>
      </w:pPr>
      <w:r w:rsidRPr="003958E0">
        <w:rPr>
          <w:rFonts w:asciiTheme="majorBidi" w:hAnsiTheme="majorBidi" w:cstheme="majorBidi"/>
          <w:b/>
          <w:bCs/>
        </w:rPr>
        <w:t xml:space="preserve"> Right-Tail Sensitivity:</w:t>
      </w:r>
      <w:r w:rsidRPr="002A3BA1">
        <w:rPr>
          <w:rFonts w:asciiTheme="majorBidi" w:hAnsiTheme="majorBidi" w:cstheme="majorBidi"/>
        </w:rPr>
        <w:t xml:space="preserve"> The "heavy" right tail represents households that derive disproportionately high benefits from the intervention. These are identified as households with baseline survival labour exceeding 5 hours/day and high dependency ratios, where reducing time poverty acts as a critical catalyst for educational re-engagement.</w:t>
      </w:r>
    </w:p>
    <w:p w14:paraId="1AD5E2E0" w14:textId="77777777" w:rsidR="00DC7725" w:rsidRPr="00047E5A" w:rsidRDefault="00DC7725" w:rsidP="00DC7725">
      <w:pPr>
        <w:bidi w:val="0"/>
        <w:spacing w:line="360" w:lineRule="auto"/>
        <w:rPr>
          <w:rFonts w:asciiTheme="majorBidi" w:hAnsiTheme="majorBidi" w:cstheme="majorBidi"/>
        </w:rPr>
      </w:pPr>
    </w:p>
    <w:p w14:paraId="1C2D5BE4" w14:textId="0490714D" w:rsidR="00693217" w:rsidRPr="0029075A" w:rsidRDefault="00047E5A" w:rsidP="0029075A">
      <w:pPr>
        <w:bidi w:val="0"/>
        <w:spacing w:line="360" w:lineRule="auto"/>
        <w:rPr>
          <w:rFonts w:asciiTheme="majorBidi" w:hAnsiTheme="majorBidi" w:cstheme="majorBidi"/>
          <w:b/>
          <w:bCs/>
        </w:rPr>
      </w:pPr>
      <w:r w:rsidRPr="00002796">
        <w:rPr>
          <w:rFonts w:asciiTheme="majorBidi" w:hAnsiTheme="majorBidi" w:cstheme="majorBidi"/>
          <w:b/>
          <w:bCs/>
        </w:rPr>
        <w:t>5.3 Policy Learning and Optimal Intervention Rules</w:t>
      </w:r>
    </w:p>
    <w:p w14:paraId="132AFBD8" w14:textId="77777777" w:rsidR="00693217" w:rsidRPr="00693217" w:rsidRDefault="00693217" w:rsidP="00693217">
      <w:pPr>
        <w:bidi w:val="0"/>
        <w:spacing w:line="360" w:lineRule="auto"/>
        <w:rPr>
          <w:rFonts w:asciiTheme="majorBidi" w:hAnsiTheme="majorBidi" w:cstheme="majorBidi"/>
        </w:rPr>
      </w:pPr>
      <w:r w:rsidRPr="00693217">
        <w:rPr>
          <w:rFonts w:asciiTheme="majorBidi" w:hAnsiTheme="majorBidi" w:cstheme="majorBidi"/>
        </w:rPr>
        <w:t>Moving beyond statistical estimation, this section presents the practical application of the framework. By utilizing Optimal Policy Trees, we translate the identified heterogeneous treatment effects into actionable decision rules that can guide humanitarian practitioners in resource-constrained environments.</w:t>
      </w:r>
    </w:p>
    <w:p w14:paraId="730C41EA" w14:textId="77777777" w:rsidR="00693217" w:rsidRPr="0029075A" w:rsidRDefault="00693217" w:rsidP="00693217">
      <w:pPr>
        <w:bidi w:val="0"/>
        <w:spacing w:line="360" w:lineRule="auto"/>
        <w:rPr>
          <w:rFonts w:asciiTheme="majorBidi" w:hAnsiTheme="majorBidi" w:cstheme="majorBidi"/>
          <w:b/>
          <w:bCs/>
        </w:rPr>
      </w:pPr>
      <w:r w:rsidRPr="0029075A">
        <w:rPr>
          <w:rFonts w:asciiTheme="majorBidi" w:hAnsiTheme="majorBidi" w:cstheme="majorBidi"/>
          <w:b/>
          <w:bCs/>
        </w:rPr>
        <w:t>5.3.1 Water Intervention Strategy</w:t>
      </w:r>
    </w:p>
    <w:p w14:paraId="70D3B8C8" w14:textId="77777777" w:rsidR="00BC04B9" w:rsidRDefault="00693217" w:rsidP="00BC04B9">
      <w:pPr>
        <w:bidi w:val="0"/>
        <w:spacing w:line="360" w:lineRule="auto"/>
        <w:rPr>
          <w:rFonts w:asciiTheme="majorBidi" w:hAnsiTheme="majorBidi" w:cstheme="majorBidi"/>
        </w:rPr>
      </w:pPr>
      <w:r w:rsidRPr="00693217">
        <w:rPr>
          <w:rFonts w:asciiTheme="majorBidi" w:hAnsiTheme="majorBidi" w:cstheme="majorBidi"/>
        </w:rPr>
        <w:t>The strategic branching for water access, illustrated in Figure 7, identifies "survival labour hours" as the primary determinant of intervention success. The model establishes a critical threshold at 5.2 hours/day. Households exceeding this limit are prioritized for decentralized water infrastructure, as the reduction in time poverty acts as the most direct catalyst for educational re-engagement, yielding an expected attendance gain of approximately 38 percentage points.</w:t>
      </w:r>
    </w:p>
    <w:p w14:paraId="4CDBD5B2" w14:textId="77777777" w:rsidR="00BC04B9" w:rsidRDefault="00BC04B9" w:rsidP="00BC04B9">
      <w:pPr>
        <w:bidi w:val="0"/>
        <w:spacing w:line="360" w:lineRule="auto"/>
        <w:rPr>
          <w:rFonts w:asciiTheme="majorBidi" w:hAnsiTheme="majorBidi" w:cstheme="majorBidi"/>
        </w:rPr>
      </w:pPr>
    </w:p>
    <w:p w14:paraId="05ADB0B1" w14:textId="2AF90314" w:rsidR="00BC04B9" w:rsidRPr="00217989" w:rsidRDefault="00387BD0" w:rsidP="00313C06">
      <w:pPr>
        <w:bidi w:val="0"/>
        <w:spacing w:line="360" w:lineRule="auto"/>
        <w:rPr>
          <w:rFonts w:asciiTheme="majorBidi" w:hAnsiTheme="majorBidi" w:cstheme="majorBidi"/>
          <w:b/>
          <w:bCs/>
          <w:sz w:val="22"/>
          <w:szCs w:val="22"/>
        </w:rPr>
      </w:pPr>
      <w:r w:rsidRPr="00217989">
        <w:rPr>
          <w:rFonts w:asciiTheme="majorBidi" w:hAnsiTheme="majorBidi" w:cstheme="majorBidi"/>
          <w:b/>
          <w:bCs/>
          <w:noProof/>
          <w:sz w:val="22"/>
          <w:szCs w:val="22"/>
        </w:rPr>
        <w:drawing>
          <wp:anchor distT="0" distB="0" distL="114300" distR="114300" simplePos="0" relativeHeight="251669504" behindDoc="0" locked="0" layoutInCell="1" allowOverlap="1" wp14:anchorId="528C46DE" wp14:editId="736DB91A">
            <wp:simplePos x="0" y="0"/>
            <wp:positionH relativeFrom="column">
              <wp:posOffset>-167640</wp:posOffset>
            </wp:positionH>
            <wp:positionV relativeFrom="paragraph">
              <wp:posOffset>346075</wp:posOffset>
            </wp:positionV>
            <wp:extent cx="5274310" cy="3373120"/>
            <wp:effectExtent l="0" t="0" r="2540" b="0"/>
            <wp:wrapTopAndBottom/>
            <wp:docPr id="1674776301"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6301" name="صورة 16747763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373120"/>
                    </a:xfrm>
                    <a:prstGeom prst="rect">
                      <a:avLst/>
                    </a:prstGeom>
                  </pic:spPr>
                </pic:pic>
              </a:graphicData>
            </a:graphic>
          </wp:anchor>
        </w:drawing>
      </w:r>
      <w:r w:rsidR="00313C06" w:rsidRPr="00217989">
        <w:rPr>
          <w:rFonts w:asciiTheme="majorBidi" w:hAnsiTheme="majorBidi" w:cstheme="majorBidi"/>
          <w:b/>
          <w:bCs/>
          <w:sz w:val="22"/>
          <w:szCs w:val="22"/>
        </w:rPr>
        <w:t>Figure</w:t>
      </w:r>
      <w:r w:rsidR="00313C06" w:rsidRPr="00313C06">
        <w:rPr>
          <w:rFonts w:asciiTheme="majorBidi" w:hAnsiTheme="majorBidi" w:cstheme="majorBidi"/>
        </w:rPr>
        <w:t xml:space="preserve"> </w:t>
      </w:r>
      <w:r w:rsidR="00313C06" w:rsidRPr="00217989">
        <w:rPr>
          <w:rFonts w:asciiTheme="majorBidi" w:hAnsiTheme="majorBidi" w:cstheme="majorBidi"/>
          <w:b/>
          <w:bCs/>
          <w:sz w:val="22"/>
          <w:szCs w:val="22"/>
        </w:rPr>
        <w:t>7: Optimal Policy Tree for Water Intervention Allocation</w:t>
      </w:r>
    </w:p>
    <w:p w14:paraId="1DF29FEE" w14:textId="77777777" w:rsidR="00217989" w:rsidRDefault="00217989" w:rsidP="00693217">
      <w:pPr>
        <w:bidi w:val="0"/>
        <w:spacing w:line="360" w:lineRule="auto"/>
        <w:rPr>
          <w:rFonts w:asciiTheme="majorBidi" w:hAnsiTheme="majorBidi" w:cstheme="majorBidi"/>
          <w:b/>
          <w:bCs/>
        </w:rPr>
      </w:pPr>
    </w:p>
    <w:p w14:paraId="328082D6" w14:textId="4DB11800" w:rsidR="00693217" w:rsidRPr="0029075A" w:rsidRDefault="00693217" w:rsidP="00217989">
      <w:pPr>
        <w:bidi w:val="0"/>
        <w:spacing w:line="360" w:lineRule="auto"/>
        <w:rPr>
          <w:rFonts w:asciiTheme="majorBidi" w:hAnsiTheme="majorBidi" w:cstheme="majorBidi"/>
          <w:b/>
          <w:bCs/>
        </w:rPr>
      </w:pPr>
      <w:r w:rsidRPr="0029075A">
        <w:rPr>
          <w:rFonts w:asciiTheme="majorBidi" w:hAnsiTheme="majorBidi" w:cstheme="majorBidi"/>
          <w:b/>
          <w:bCs/>
        </w:rPr>
        <w:t>5.3.2 Nutritional Support Strategy</w:t>
      </w:r>
    </w:p>
    <w:p w14:paraId="38A5B793" w14:textId="77777777" w:rsidR="00A20A1B" w:rsidRDefault="00693217" w:rsidP="00A20A1B">
      <w:pPr>
        <w:bidi w:val="0"/>
        <w:spacing w:line="360" w:lineRule="auto"/>
        <w:rPr>
          <w:rFonts w:asciiTheme="majorBidi" w:hAnsiTheme="majorBidi" w:cstheme="majorBidi"/>
        </w:rPr>
      </w:pPr>
      <w:r w:rsidRPr="00693217">
        <w:rPr>
          <w:rFonts w:asciiTheme="majorBidi" w:hAnsiTheme="majorBidi" w:cstheme="majorBidi"/>
        </w:rPr>
        <w:t>For nutritional interventions, the policy discovery process illustrated in Figure 8 partitions the population based on the estimated "cognitive penalty." The optimal rule recommends prioritizing nutritional rehabilitation for children in households where the cognitive deficit exceeds 30%. This strategic allocation ensures that educational interventions are matched by the biological and cognitive capacity of the student to benefit from learning time.</w:t>
      </w:r>
    </w:p>
    <w:p w14:paraId="1C873638" w14:textId="77777777" w:rsidR="00A20A1B" w:rsidRDefault="00A20A1B" w:rsidP="00A20A1B">
      <w:pPr>
        <w:bidi w:val="0"/>
        <w:spacing w:line="360" w:lineRule="auto"/>
        <w:rPr>
          <w:rFonts w:asciiTheme="majorBidi" w:hAnsiTheme="majorBidi" w:cstheme="majorBidi"/>
        </w:rPr>
      </w:pPr>
    </w:p>
    <w:p w14:paraId="652E3A2A" w14:textId="5CECCC20" w:rsidR="00693217" w:rsidRDefault="00417686" w:rsidP="00191E5C">
      <w:pPr>
        <w:bidi w:val="0"/>
        <w:spacing w:line="240" w:lineRule="auto"/>
        <w:rPr>
          <w:rFonts w:asciiTheme="majorBidi" w:hAnsiTheme="majorBidi" w:cstheme="majorBidi"/>
          <w:b/>
          <w:bCs/>
        </w:rPr>
      </w:pPr>
      <w:r w:rsidRPr="00191E5C">
        <w:rPr>
          <w:rFonts w:asciiTheme="majorBidi" w:hAnsiTheme="majorBidi" w:cstheme="majorBidi"/>
          <w:b/>
          <w:bCs/>
          <w:noProof/>
          <w:sz w:val="22"/>
          <w:szCs w:val="22"/>
        </w:rPr>
        <w:drawing>
          <wp:anchor distT="0" distB="0" distL="114300" distR="114300" simplePos="0" relativeHeight="251670528" behindDoc="0" locked="0" layoutInCell="1" allowOverlap="1" wp14:anchorId="0C1AF052" wp14:editId="38C83388">
            <wp:simplePos x="0" y="0"/>
            <wp:positionH relativeFrom="column">
              <wp:posOffset>0</wp:posOffset>
            </wp:positionH>
            <wp:positionV relativeFrom="paragraph">
              <wp:posOffset>346075</wp:posOffset>
            </wp:positionV>
            <wp:extent cx="5274310" cy="3373120"/>
            <wp:effectExtent l="0" t="0" r="2540" b="0"/>
            <wp:wrapTopAndBottom/>
            <wp:docPr id="73664032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0326" name="صورة 7366403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373120"/>
                    </a:xfrm>
                    <a:prstGeom prst="rect">
                      <a:avLst/>
                    </a:prstGeom>
                  </pic:spPr>
                </pic:pic>
              </a:graphicData>
            </a:graphic>
          </wp:anchor>
        </w:drawing>
      </w:r>
      <w:r w:rsidR="00191E5C" w:rsidRPr="00191E5C">
        <w:rPr>
          <w:rFonts w:asciiTheme="majorBidi" w:hAnsiTheme="majorBidi" w:cstheme="majorBidi"/>
          <w:b/>
          <w:bCs/>
          <w:sz w:val="22"/>
          <w:szCs w:val="22"/>
        </w:rPr>
        <w:t>Figure 8: Optimal Policy Tree for Nutritional Support based on Cognitive Penalty</w:t>
      </w:r>
    </w:p>
    <w:p w14:paraId="0ACA4CB3" w14:textId="77777777" w:rsidR="00191E5C" w:rsidRPr="0010609E" w:rsidRDefault="00191E5C" w:rsidP="00191E5C">
      <w:pPr>
        <w:bidi w:val="0"/>
        <w:spacing w:line="240" w:lineRule="auto"/>
        <w:rPr>
          <w:rFonts w:asciiTheme="majorBidi" w:hAnsiTheme="majorBidi" w:cstheme="majorBidi"/>
          <w:b/>
          <w:bCs/>
        </w:rPr>
      </w:pPr>
    </w:p>
    <w:p w14:paraId="5AF3CFCB" w14:textId="17ADC799" w:rsidR="00CD1E2D" w:rsidRPr="0010609E" w:rsidRDefault="00CD1E2D" w:rsidP="0010609E">
      <w:pPr>
        <w:bidi w:val="0"/>
        <w:spacing w:line="240" w:lineRule="auto"/>
        <w:rPr>
          <w:rFonts w:asciiTheme="majorBidi" w:hAnsiTheme="majorBidi" w:cstheme="majorBidi"/>
          <w:b/>
          <w:bCs/>
        </w:rPr>
      </w:pPr>
      <w:r w:rsidRPr="0010609E">
        <w:rPr>
          <w:rFonts w:asciiTheme="majorBidi" w:hAnsiTheme="majorBidi" w:cstheme="majorBidi"/>
          <w:b/>
          <w:bCs/>
        </w:rPr>
        <w:t>5.3.3 Synergistic Interaction Between Water and Nutrition Interventions</w:t>
      </w:r>
    </w:p>
    <w:p w14:paraId="56777403" w14:textId="77777777" w:rsidR="00CD1E2D" w:rsidRPr="0010609E" w:rsidRDefault="00CD1E2D" w:rsidP="00CD1E2D">
      <w:pPr>
        <w:bidi w:val="0"/>
        <w:spacing w:line="360" w:lineRule="auto"/>
        <w:rPr>
          <w:rFonts w:asciiTheme="majorBidi" w:hAnsiTheme="majorBidi" w:cstheme="majorBidi"/>
          <w:b/>
          <w:bCs/>
        </w:rPr>
      </w:pPr>
      <w:r w:rsidRPr="0010609E">
        <w:rPr>
          <w:rFonts w:asciiTheme="majorBidi" w:hAnsiTheme="majorBidi" w:cstheme="majorBidi"/>
          <w:b/>
          <w:bCs/>
        </w:rPr>
        <w:t>To assess whether the two interventions act as complements beyond their additive effects, we estimate a linear interaction model using the full synthetic sample:</w:t>
      </w:r>
    </w:p>
    <w:p w14:paraId="3FAA8C0E" w14:textId="77777777" w:rsidR="00CD1E2D" w:rsidRPr="00CD1E2D" w:rsidRDefault="00CD1E2D" w:rsidP="00CD1E2D">
      <w:pPr>
        <w:bidi w:val="0"/>
        <w:spacing w:line="360" w:lineRule="auto"/>
        <w:rPr>
          <w:rFonts w:asciiTheme="majorBidi" w:hAnsiTheme="majorBidi" w:cstheme="majorBidi"/>
        </w:rPr>
      </w:pPr>
    </w:p>
    <w:p w14:paraId="0CCBBD52" w14:textId="77777777" w:rsidR="00CD1E2D" w:rsidRPr="00CD1E2D" w:rsidRDefault="00CD1E2D" w:rsidP="00CD1E2D">
      <w:pPr>
        <w:bidi w:val="0"/>
        <w:spacing w:line="360" w:lineRule="auto"/>
        <w:rPr>
          <w:rFonts w:asciiTheme="majorBidi" w:hAnsiTheme="majorBidi" w:cstheme="majorBidi"/>
        </w:rPr>
      </w:pPr>
      <w:r w:rsidRPr="00CD1E2D">
        <w:rPr>
          <w:rFonts w:asciiTheme="majorBidi" w:hAnsiTheme="majorBidi" w:cstheme="majorBidi"/>
        </w:rPr>
        <w:t>\[ Y = \beta_0 + \beta_1 T_w + \beta_2 T_n + \beta_3 (T_w \times T_n) + \gamma X + \varepsilon \]</w:t>
      </w:r>
    </w:p>
    <w:p w14:paraId="7F2AAA28" w14:textId="77777777" w:rsidR="00CD1E2D" w:rsidRPr="00CD1E2D" w:rsidRDefault="00CD1E2D" w:rsidP="00CD1E2D">
      <w:pPr>
        <w:bidi w:val="0"/>
        <w:spacing w:line="360" w:lineRule="auto"/>
        <w:rPr>
          <w:rFonts w:asciiTheme="majorBidi" w:hAnsiTheme="majorBidi" w:cstheme="majorBidi"/>
        </w:rPr>
      </w:pPr>
    </w:p>
    <w:p w14:paraId="05E5B706" w14:textId="19F4F3F3" w:rsidR="00467D0F" w:rsidRPr="00467D0F" w:rsidRDefault="00CD1E2D" w:rsidP="00F323BD">
      <w:pPr>
        <w:bidi w:val="0"/>
        <w:spacing w:line="360" w:lineRule="auto"/>
        <w:rPr>
          <w:rFonts w:asciiTheme="majorBidi" w:hAnsiTheme="majorBidi" w:cstheme="majorBidi"/>
        </w:rPr>
      </w:pPr>
      <w:r w:rsidRPr="00CD1E2D">
        <w:rPr>
          <w:rFonts w:asciiTheme="majorBidi" w:hAnsiTheme="majorBidi" w:cstheme="majorBidi"/>
        </w:rPr>
        <w:t>where \(T_w\) and \(T_n\) are indicators for water and nutrition treatments, respectively. The interaction coefficient \(\beta_3\) is positive and statistically significant (\(+12.4\) pp, \(p &lt; 0.001\)), indicating that the joint effect (\(+55\) pp) exceeds the sum of the individual average effects (\(32.1 + 11.3 = 43.4\) pp) by approximately 12 percentage points. This formal interaction test confirms that the two interventions are complements: water access enhances the cognitive returns to nutrition, while nutritional recovery amplifies the time‑use benefits of reduced survival labour.</w:t>
      </w:r>
    </w:p>
    <w:p w14:paraId="58AB230A" w14:textId="77777777" w:rsidR="00467D0F" w:rsidRPr="00467D0F" w:rsidRDefault="00467D0F" w:rsidP="00467D0F">
      <w:pPr>
        <w:bidi w:val="0"/>
        <w:spacing w:line="360" w:lineRule="auto"/>
        <w:rPr>
          <w:rFonts w:asciiTheme="majorBidi" w:hAnsiTheme="majorBidi" w:cstheme="majorBidi"/>
        </w:rPr>
      </w:pPr>
    </w:p>
    <w:p w14:paraId="288F37CA" w14:textId="3E8BD4D0" w:rsidR="00467D0F" w:rsidRPr="00467D0F" w:rsidRDefault="00467D0F" w:rsidP="00F323BD">
      <w:pPr>
        <w:bidi w:val="0"/>
        <w:spacing w:line="360" w:lineRule="auto"/>
        <w:rPr>
          <w:rFonts w:asciiTheme="majorBidi" w:hAnsiTheme="majorBidi" w:cstheme="majorBidi"/>
        </w:rPr>
      </w:pPr>
      <w:r w:rsidRPr="00F323BD">
        <w:rPr>
          <w:rFonts w:asciiTheme="majorBidi" w:hAnsiTheme="majorBidi" w:cstheme="majorBidi"/>
          <w:b/>
          <w:bCs/>
        </w:rPr>
        <w:t>5.3.4 Illustrative Cost‑Effectiveness Analysis</w:t>
      </w:r>
    </w:p>
    <w:p w14:paraId="7AF14AB3" w14:textId="127C4205" w:rsidR="00467D0F" w:rsidRPr="00467D0F" w:rsidRDefault="00467D0F" w:rsidP="00563AE8">
      <w:pPr>
        <w:bidi w:val="0"/>
        <w:spacing w:line="360" w:lineRule="auto"/>
        <w:rPr>
          <w:rFonts w:asciiTheme="majorBidi" w:hAnsiTheme="majorBidi" w:cstheme="majorBidi"/>
        </w:rPr>
      </w:pPr>
      <w:r w:rsidRPr="00467D0F">
        <w:rPr>
          <w:rFonts w:asciiTheme="majorBidi" w:hAnsiTheme="majorBidi" w:cstheme="majorBidi"/>
        </w:rPr>
        <w:t>To facilitate resource allocation in resource-constrained humanitarian settings, we estimated the cost per percentage-point (pp) increase in attendance based on benchmarks from similar fragile-context interventions, drawing on cost data from recent humanitarian WASH and nutrition programmes [56,57].</w:t>
      </w:r>
    </w:p>
    <w:p w14:paraId="4028AA4F" w14:textId="2DAAF4C0" w:rsidR="00467D0F" w:rsidRPr="00467D0F" w:rsidRDefault="00467D0F" w:rsidP="00563AE8">
      <w:pPr>
        <w:bidi w:val="0"/>
        <w:spacing w:line="360" w:lineRule="auto"/>
        <w:rPr>
          <w:rFonts w:asciiTheme="majorBidi" w:hAnsiTheme="majorBidi" w:cstheme="majorBidi"/>
        </w:rPr>
      </w:pPr>
      <w:r w:rsidRPr="00563AE8">
        <w:rPr>
          <w:rFonts w:asciiTheme="majorBidi" w:hAnsiTheme="majorBidi" w:cstheme="majorBidi"/>
          <w:b/>
          <w:bCs/>
        </w:rPr>
        <w:t>1. Water Intervention:</w:t>
      </w:r>
      <w:r w:rsidR="00563AE8" w:rsidRPr="00563AE8">
        <w:rPr>
          <w:rFonts w:asciiTheme="majorBidi" w:hAnsiTheme="majorBidi" w:cstheme="majorBidi"/>
          <w:b/>
          <w:bCs/>
        </w:rPr>
        <w:t xml:space="preserve">  </w:t>
      </w:r>
      <w:r w:rsidRPr="00563AE8">
        <w:rPr>
          <w:rFonts w:asciiTheme="majorBidi" w:hAnsiTheme="majorBidi" w:cstheme="majorBidi"/>
          <w:b/>
          <w:bCs/>
        </w:rPr>
        <w:t xml:space="preserve"> </w:t>
      </w:r>
      <w:r w:rsidRPr="00467D0F">
        <w:rPr>
          <w:rFonts w:asciiTheme="majorBidi" w:hAnsiTheme="majorBidi" w:cstheme="majorBidi"/>
        </w:rPr>
        <w:t>With an estimated incremental cost of $120–$180 per household (covering decentralized unit installation and one year of maintenance) [56], the cost per pp gain is approximately $4–$6 among high-labour households.</w:t>
      </w:r>
    </w:p>
    <w:p w14:paraId="5724DB43" w14:textId="24978C84" w:rsidR="00467D0F" w:rsidRPr="00467D0F" w:rsidRDefault="00467D0F" w:rsidP="00467D0F">
      <w:pPr>
        <w:bidi w:val="0"/>
        <w:spacing w:line="360" w:lineRule="auto"/>
        <w:rPr>
          <w:rFonts w:asciiTheme="majorBidi" w:hAnsiTheme="majorBidi" w:cstheme="majorBidi"/>
        </w:rPr>
      </w:pPr>
      <w:r w:rsidRPr="00563AE8">
        <w:rPr>
          <w:rFonts w:asciiTheme="majorBidi" w:hAnsiTheme="majorBidi" w:cstheme="majorBidi"/>
          <w:b/>
          <w:bCs/>
        </w:rPr>
        <w:t xml:space="preserve">2. Nutrition Intervention:   </w:t>
      </w:r>
      <w:r w:rsidRPr="00467D0F">
        <w:rPr>
          <w:rFonts w:asciiTheme="majorBidi" w:hAnsiTheme="majorBidi" w:cstheme="majorBidi"/>
        </w:rPr>
        <w:t>Estimated at $40–$60 per household (supplements and basic counseling) [57], this yields a cost per pp gain of $4–$5.</w:t>
      </w:r>
    </w:p>
    <w:p w14:paraId="61AFDCCA" w14:textId="5712691A" w:rsidR="00467D0F" w:rsidRPr="00467D0F" w:rsidRDefault="00467D0F" w:rsidP="00467D0F">
      <w:pPr>
        <w:bidi w:val="0"/>
        <w:spacing w:line="360" w:lineRule="auto"/>
        <w:rPr>
          <w:rFonts w:asciiTheme="majorBidi" w:hAnsiTheme="majorBidi" w:cstheme="majorBidi"/>
        </w:rPr>
      </w:pPr>
      <w:r w:rsidRPr="00467D0F">
        <w:rPr>
          <w:rFonts w:asciiTheme="majorBidi" w:hAnsiTheme="majorBidi" w:cstheme="majorBidi"/>
          <w:b/>
          <w:bCs/>
        </w:rPr>
        <w:t xml:space="preserve">3. Synergistic Bundling: </w:t>
      </w:r>
      <w:r>
        <w:rPr>
          <w:rFonts w:asciiTheme="majorBidi" w:hAnsiTheme="majorBidi" w:cstheme="majorBidi"/>
        </w:rPr>
        <w:t xml:space="preserve"> </w:t>
      </w:r>
      <w:r w:rsidRPr="00467D0F">
        <w:rPr>
          <w:rFonts w:asciiTheme="majorBidi" w:hAnsiTheme="majorBidi" w:cstheme="majorBidi"/>
        </w:rPr>
        <w:t>Households facing both extreme time poverty (≥ 5.2 hours/day) and high cognitive impairment (≥ 30% penalty) benefit most from a combined water–nutrition package. The bundled cost ($160–$240) delivers a synergistic gain of approximately 55 percentage points, effectively reducing the cost per pp gain to below $5.</w:t>
      </w:r>
    </w:p>
    <w:p w14:paraId="7ED9DA3C" w14:textId="77777777" w:rsidR="00467D0F" w:rsidRDefault="00467D0F" w:rsidP="00DB1C0F">
      <w:pPr>
        <w:bidi w:val="0"/>
        <w:spacing w:line="360" w:lineRule="auto"/>
        <w:rPr>
          <w:rFonts w:asciiTheme="majorBidi" w:hAnsiTheme="majorBidi" w:cstheme="majorBidi"/>
          <w:b/>
          <w:bCs/>
        </w:rPr>
      </w:pPr>
      <w:r w:rsidRPr="00467D0F">
        <w:rPr>
          <w:rFonts w:asciiTheme="majorBidi" w:hAnsiTheme="majorBidi" w:cstheme="majorBidi"/>
        </w:rPr>
        <w:t>While these figures assume no economies of scale, they suggest that bundled interventions are the most cost-effective strategy when targeted at the identified high-risk subgroups</w:t>
      </w:r>
    </w:p>
    <w:p w14:paraId="3AA0D79F" w14:textId="77777777" w:rsidR="00EF0C07" w:rsidRDefault="00EF0C07" w:rsidP="00EF0C07">
      <w:pPr>
        <w:bidi w:val="0"/>
        <w:spacing w:line="360" w:lineRule="auto"/>
        <w:rPr>
          <w:rFonts w:asciiTheme="majorBidi" w:hAnsiTheme="majorBidi" w:cstheme="majorBidi"/>
          <w:b/>
          <w:bCs/>
        </w:rPr>
      </w:pPr>
    </w:p>
    <w:p w14:paraId="63D00F33" w14:textId="12205E99" w:rsidR="00DB1C0F" w:rsidRPr="00DB1C0F" w:rsidRDefault="00DB1C0F" w:rsidP="00467D0F">
      <w:pPr>
        <w:bidi w:val="0"/>
        <w:spacing w:line="360" w:lineRule="auto"/>
        <w:rPr>
          <w:rFonts w:asciiTheme="majorBidi" w:hAnsiTheme="majorBidi" w:cstheme="majorBidi"/>
          <w:b/>
          <w:bCs/>
        </w:rPr>
      </w:pPr>
      <w:r w:rsidRPr="00DB1C0F">
        <w:rPr>
          <w:rFonts w:asciiTheme="majorBidi" w:hAnsiTheme="majorBidi" w:cstheme="majorBidi"/>
          <w:b/>
          <w:bCs/>
        </w:rPr>
        <w:t>5.3.5 Strategic Synthesis: Optimized Resource Allocation</w:t>
      </w:r>
    </w:p>
    <w:p w14:paraId="282DC39F" w14:textId="5A33BE35" w:rsidR="00DB1C0F" w:rsidRPr="00DB1C0F" w:rsidRDefault="00DB1C0F" w:rsidP="00DB1C0F">
      <w:pPr>
        <w:bidi w:val="0"/>
        <w:spacing w:line="360" w:lineRule="auto"/>
        <w:rPr>
          <w:rFonts w:asciiTheme="majorBidi" w:hAnsiTheme="majorBidi" w:cstheme="majorBidi"/>
        </w:rPr>
      </w:pPr>
      <w:r w:rsidRPr="00DB1C0F">
        <w:rPr>
          <w:rFonts w:asciiTheme="majorBidi" w:hAnsiTheme="majorBidi" w:cstheme="majorBidi"/>
        </w:rPr>
        <w:t>This section demonstrates that “one-size-fits-all” humanitarian aid is economically sub‑optimal. By applying Optimal Policy Trees (OPT), we identify specific household archetypes where interventions yield the highest social return. The optimal policy tree confirms that survival labour is the most significant structural barrier: water interventions achieve maximal impact when targeted at households spending ≥ 5.2 hours/day on basic survival tasks. Nutrition interventions, in contrast, are most effective where the cognitive penalty exceeds 30 %. For households facing both constraints—extreme time poverty and high physiological penalty—a bundled water–nutrition package delivers the strongest synergistic gains, reducing the cost per percentage‑point increase in attendance below $5.</w:t>
      </w:r>
    </w:p>
    <w:p w14:paraId="7EB67922" w14:textId="5E03FDFD" w:rsidR="00DB1C0F" w:rsidRPr="00DB1C0F" w:rsidRDefault="00DB1C0F" w:rsidP="00DB1C0F">
      <w:pPr>
        <w:bidi w:val="0"/>
        <w:spacing w:line="360" w:lineRule="auto"/>
        <w:rPr>
          <w:rFonts w:asciiTheme="majorBidi" w:hAnsiTheme="majorBidi" w:cstheme="majorBidi"/>
        </w:rPr>
      </w:pPr>
      <w:r w:rsidRPr="00DB1C0F">
        <w:rPr>
          <w:rFonts w:asciiTheme="majorBidi" w:hAnsiTheme="majorBidi" w:cstheme="majorBidi"/>
          <w:b/>
          <w:bCs/>
        </w:rPr>
        <w:t>Strategic Recommendation:</w:t>
      </w:r>
      <w:r w:rsidRPr="00DB1C0F">
        <w:rPr>
          <w:rFonts w:asciiTheme="majorBidi" w:hAnsiTheme="majorBidi" w:cstheme="majorBidi" w:hint="cs"/>
          <w:b/>
          <w:bCs/>
        </w:rPr>
        <w:t xml:space="preserve"> </w:t>
      </w:r>
      <w:r w:rsidRPr="00DB1C0F">
        <w:rPr>
          <w:rFonts w:asciiTheme="majorBidi" w:hAnsiTheme="majorBidi" w:cstheme="majorBidi"/>
        </w:rPr>
        <w:t xml:space="preserve"> To maximize impact, humanitarian agencies should utilize survival labour (≥ 5.2 hrs/day) and cognitive penalty (&gt; 30 %) metrics as primary filters for intervention targeting.</w:t>
      </w:r>
    </w:p>
    <w:p w14:paraId="34D94B95" w14:textId="28809B82" w:rsidR="00CD1E2D" w:rsidRPr="00CD1E2D" w:rsidRDefault="00CD1E2D" w:rsidP="00CD1E2D">
      <w:pPr>
        <w:bidi w:val="0"/>
        <w:spacing w:line="360" w:lineRule="auto"/>
        <w:rPr>
          <w:rFonts w:asciiTheme="majorBidi" w:hAnsiTheme="majorBidi" w:cstheme="majorBidi"/>
        </w:rPr>
      </w:pPr>
    </w:p>
    <w:p w14:paraId="27AAA0A8" w14:textId="2962BD98" w:rsidR="00387A84" w:rsidRPr="00387A84" w:rsidRDefault="00CD1E2D" w:rsidP="00E760EE">
      <w:pPr>
        <w:bidi w:val="0"/>
        <w:spacing w:line="360" w:lineRule="auto"/>
        <w:rPr>
          <w:rFonts w:asciiTheme="majorBidi" w:hAnsiTheme="majorBidi" w:cstheme="majorBidi"/>
          <w:b/>
          <w:bCs/>
        </w:rPr>
      </w:pPr>
      <w:r w:rsidRPr="00072141">
        <w:rPr>
          <w:rFonts w:asciiTheme="majorBidi" w:hAnsiTheme="majorBidi" w:cstheme="majorBidi"/>
          <w:b/>
          <w:bCs/>
        </w:rPr>
        <w:t>5.4 Robustness and Refutation Tests</w:t>
      </w:r>
    </w:p>
    <w:p w14:paraId="14DB45A9" w14:textId="4C1029C3" w:rsidR="00387A84" w:rsidRPr="00387A84" w:rsidRDefault="00387A84" w:rsidP="00E760EE">
      <w:pPr>
        <w:bidi w:val="0"/>
        <w:spacing w:line="360" w:lineRule="auto"/>
        <w:rPr>
          <w:rFonts w:asciiTheme="majorBidi" w:hAnsiTheme="majorBidi" w:cstheme="majorBidi"/>
        </w:rPr>
      </w:pPr>
      <w:r w:rsidRPr="00387A84">
        <w:rPr>
          <w:rFonts w:asciiTheme="majorBidi" w:hAnsiTheme="majorBidi" w:cstheme="majorBidi"/>
        </w:rPr>
        <w:t>To validate the causal integrity of our estimates and ensure they are not driven by unobserved confounding or data instability, we subjected the model to three rigorous refutation tests. These tests are essential for confirming that the Double Machine Learning (DoubleML) and IPW frameworks captured true structural relationships within the synthetic population.</w:t>
      </w:r>
    </w:p>
    <w:p w14:paraId="3B0C16D2" w14:textId="7DC3E40C" w:rsidR="00387A84" w:rsidRPr="00387A84" w:rsidRDefault="00387A84" w:rsidP="00E760EE">
      <w:pPr>
        <w:bidi w:val="0"/>
        <w:spacing w:line="360" w:lineRule="auto"/>
        <w:rPr>
          <w:rFonts w:asciiTheme="majorBidi" w:hAnsiTheme="majorBidi" w:cstheme="majorBidi"/>
        </w:rPr>
      </w:pPr>
      <w:r w:rsidRPr="009124BA">
        <w:rPr>
          <w:rFonts w:asciiTheme="majorBidi" w:hAnsiTheme="majorBidi" w:cstheme="majorBidi"/>
          <w:b/>
          <w:bCs/>
        </w:rPr>
        <w:t xml:space="preserve">- </w:t>
      </w:r>
      <w:r w:rsidR="009124BA" w:rsidRPr="009124BA">
        <w:rPr>
          <w:rFonts w:asciiTheme="majorBidi" w:hAnsiTheme="majorBidi" w:cstheme="majorBidi"/>
          <w:b/>
          <w:bCs/>
        </w:rPr>
        <w:t xml:space="preserve"> </w:t>
      </w:r>
      <w:r w:rsidRPr="009124BA">
        <w:rPr>
          <w:rFonts w:asciiTheme="majorBidi" w:hAnsiTheme="majorBidi" w:cstheme="majorBidi"/>
          <w:b/>
          <w:bCs/>
        </w:rPr>
        <w:t>Random Common Cause Addition:</w:t>
      </w:r>
      <w:r w:rsidR="009124BA" w:rsidRPr="009124BA">
        <w:rPr>
          <w:rFonts w:asciiTheme="majorBidi" w:hAnsiTheme="majorBidi" w:cstheme="majorBidi"/>
          <w:b/>
          <w:bCs/>
        </w:rPr>
        <w:t xml:space="preserve"> </w:t>
      </w:r>
      <w:r w:rsidRPr="00387A84">
        <w:rPr>
          <w:rFonts w:asciiTheme="majorBidi" w:hAnsiTheme="majorBidi" w:cstheme="majorBidi"/>
        </w:rPr>
        <w:t xml:space="preserve">We introduced an independent, normally distributed random variable as a simulated confounder into the model. The Average Treatment Effect (ATE) shifted by less than 2%, and the difference was statistically insignificant </w:t>
      </w:r>
      <w:r w:rsidRPr="009A1400">
        <w:rPr>
          <w:rFonts w:asciiTheme="majorBidi" w:hAnsiTheme="majorBidi" w:cstheme="majorBidi"/>
          <w:i/>
          <w:iCs/>
        </w:rPr>
        <w:t>(</w:t>
      </w:r>
      <w:r w:rsidR="009124BA" w:rsidRPr="009A1400">
        <w:rPr>
          <w:rFonts w:asciiTheme="majorBidi" w:hAnsiTheme="majorBidi" w:cstheme="majorBidi"/>
          <w:i/>
          <w:iCs/>
        </w:rPr>
        <w:t xml:space="preserve"> </w:t>
      </w:r>
      <w:r w:rsidRPr="009A1400">
        <w:rPr>
          <w:rFonts w:asciiTheme="majorBidi" w:hAnsiTheme="majorBidi" w:cstheme="majorBidi"/>
          <w:i/>
          <w:iCs/>
        </w:rPr>
        <w:t>p</w:t>
      </w:r>
      <w:r w:rsidR="009124BA" w:rsidRPr="009A1400">
        <w:rPr>
          <w:rFonts w:asciiTheme="majorBidi" w:hAnsiTheme="majorBidi" w:cstheme="majorBidi"/>
          <w:i/>
          <w:iCs/>
        </w:rPr>
        <w:t xml:space="preserve"> </w:t>
      </w:r>
      <w:r w:rsidRPr="009A1400">
        <w:rPr>
          <w:rFonts w:asciiTheme="majorBidi" w:hAnsiTheme="majorBidi" w:cstheme="majorBidi"/>
          <w:i/>
          <w:iCs/>
        </w:rPr>
        <w:t>&gt; 0.05)</w:t>
      </w:r>
      <w:r w:rsidRPr="00387A84">
        <w:rPr>
          <w:rFonts w:asciiTheme="majorBidi" w:hAnsiTheme="majorBidi" w:cstheme="majorBidi"/>
        </w:rPr>
        <w:t>. This indicates that the model is robust to the omission of independent noise factors.</w:t>
      </w:r>
    </w:p>
    <w:p w14:paraId="59D4597E" w14:textId="409060E0" w:rsidR="00387A84" w:rsidRPr="00387A84" w:rsidRDefault="00387A84" w:rsidP="00E760EE">
      <w:pPr>
        <w:bidi w:val="0"/>
        <w:spacing w:line="360" w:lineRule="auto"/>
        <w:rPr>
          <w:rFonts w:asciiTheme="majorBidi" w:hAnsiTheme="majorBidi" w:cstheme="majorBidi"/>
        </w:rPr>
      </w:pPr>
      <w:r w:rsidRPr="009124BA">
        <w:rPr>
          <w:rFonts w:asciiTheme="majorBidi" w:hAnsiTheme="majorBidi" w:cstheme="majorBidi"/>
          <w:b/>
          <w:bCs/>
        </w:rPr>
        <w:t xml:space="preserve">- </w:t>
      </w:r>
      <w:r w:rsidR="009124BA" w:rsidRPr="009124BA">
        <w:rPr>
          <w:rFonts w:asciiTheme="majorBidi" w:hAnsiTheme="majorBidi" w:cstheme="majorBidi"/>
          <w:b/>
          <w:bCs/>
        </w:rPr>
        <w:t xml:space="preserve"> </w:t>
      </w:r>
      <w:r w:rsidRPr="009124BA">
        <w:rPr>
          <w:rFonts w:asciiTheme="majorBidi" w:hAnsiTheme="majorBidi" w:cstheme="majorBidi"/>
          <w:b/>
          <w:bCs/>
        </w:rPr>
        <w:t>Placebo Treatment Refutation:</w:t>
      </w:r>
      <w:r w:rsidR="009124BA" w:rsidRPr="009124BA">
        <w:rPr>
          <w:rFonts w:asciiTheme="majorBidi" w:hAnsiTheme="majorBidi" w:cstheme="majorBidi"/>
          <w:b/>
          <w:bCs/>
        </w:rPr>
        <w:t xml:space="preserve"> </w:t>
      </w:r>
      <w:r w:rsidRPr="00387A84">
        <w:rPr>
          <w:rFonts w:asciiTheme="majorBidi" w:hAnsiTheme="majorBidi" w:cstheme="majorBidi"/>
        </w:rPr>
        <w:t xml:space="preserve">The true treatment (e.g., water access) was replaced with a randomly generated binary variable. As expected, the resulting ATE was not significantly different from zero (Mean = 0.1 pp, </w:t>
      </w:r>
      <w:r w:rsidR="009124BA">
        <w:rPr>
          <w:rFonts w:asciiTheme="majorBidi" w:hAnsiTheme="majorBidi" w:cstheme="majorBidi"/>
        </w:rPr>
        <w:t xml:space="preserve"> </w:t>
      </w:r>
      <w:r w:rsidRPr="00387A84">
        <w:rPr>
          <w:rFonts w:asciiTheme="majorBidi" w:hAnsiTheme="majorBidi" w:cstheme="majorBidi"/>
        </w:rPr>
        <w:t>p</w:t>
      </w:r>
      <w:r w:rsidR="009124BA">
        <w:rPr>
          <w:rFonts w:asciiTheme="majorBidi" w:hAnsiTheme="majorBidi" w:cstheme="majorBidi"/>
        </w:rPr>
        <w:t xml:space="preserve"> </w:t>
      </w:r>
      <w:r w:rsidRPr="00387A84">
        <w:rPr>
          <w:rFonts w:asciiTheme="majorBidi" w:hAnsiTheme="majorBidi" w:cstheme="majorBidi"/>
        </w:rPr>
        <w:t>= 0.87). This confirms that the estimated effects are specifically linked to the resource interventions and not to artifacts of the model’s architecture.</w:t>
      </w:r>
    </w:p>
    <w:p w14:paraId="17676FCE" w14:textId="588A4606" w:rsidR="00162636" w:rsidRPr="00387A84" w:rsidRDefault="00387A84" w:rsidP="00E760EE">
      <w:pPr>
        <w:pStyle w:val="3"/>
        <w:bidi w:val="0"/>
        <w:spacing w:before="240" w:after="240" w:line="360" w:lineRule="auto"/>
        <w:rPr>
          <w:rFonts w:asciiTheme="majorBidi" w:eastAsia="Times New Roman" w:hAnsiTheme="majorBidi"/>
          <w:kern w:val="0"/>
          <w:sz w:val="24"/>
          <w:szCs w:val="24"/>
          <w14:ligatures w14:val="none"/>
        </w:rPr>
      </w:pPr>
      <w:r w:rsidRPr="00E760EE">
        <w:rPr>
          <w:rFonts w:asciiTheme="majorBidi" w:hAnsiTheme="majorBidi"/>
          <w:b/>
          <w:bCs/>
          <w:sz w:val="24"/>
          <w:szCs w:val="24"/>
        </w:rPr>
        <w:t xml:space="preserve">- </w:t>
      </w:r>
      <w:r w:rsidR="00E760EE" w:rsidRPr="00E760EE">
        <w:rPr>
          <w:rFonts w:asciiTheme="majorBidi" w:hAnsiTheme="majorBidi"/>
          <w:b/>
          <w:bCs/>
          <w:sz w:val="24"/>
          <w:szCs w:val="24"/>
        </w:rPr>
        <w:t xml:space="preserve"> </w:t>
      </w:r>
      <w:r w:rsidRPr="00E760EE">
        <w:rPr>
          <w:rFonts w:asciiTheme="majorBidi" w:hAnsiTheme="majorBidi"/>
          <w:b/>
          <w:bCs/>
          <w:sz w:val="24"/>
          <w:szCs w:val="24"/>
        </w:rPr>
        <w:t>Data Subsetting (Bootstrap Stability):</w:t>
      </w:r>
      <w:r w:rsidR="00E760EE" w:rsidRPr="00E760EE">
        <w:rPr>
          <w:rFonts w:asciiTheme="majorBidi" w:hAnsiTheme="majorBidi"/>
          <w:b/>
          <w:bCs/>
          <w:sz w:val="24"/>
          <w:szCs w:val="24"/>
        </w:rPr>
        <w:t xml:space="preserve"> </w:t>
      </w:r>
      <w:r w:rsidRPr="00387A84">
        <w:rPr>
          <w:rFonts w:asciiTheme="majorBidi" w:hAnsiTheme="majorBidi"/>
          <w:sz w:val="24"/>
          <w:szCs w:val="24"/>
        </w:rPr>
        <w:t>We re‑estimated the ATE across 10 random 80% subsamples of the synthetic population. The estimates exhibited high stability, varying by less than 3%. This consistency demonstrates that the findings are not sensitive to specific partitions of the data and possess high internal validity.</w:t>
      </w:r>
    </w:p>
    <w:p w14:paraId="7638DF9D" w14:textId="634DA4D6" w:rsidR="00162636" w:rsidRPr="00162636" w:rsidRDefault="00162636" w:rsidP="00162636">
      <w:pPr>
        <w:bidi w:val="0"/>
        <w:rPr>
          <w:b/>
          <w:bCs/>
          <w:sz w:val="28"/>
          <w:szCs w:val="28"/>
        </w:rPr>
      </w:pPr>
      <w:r w:rsidRPr="00162636">
        <w:rPr>
          <w:b/>
          <w:bCs/>
          <w:sz w:val="28"/>
          <w:szCs w:val="28"/>
        </w:rPr>
        <w:t>Table 4: Refutation Tests – Sensitivity Analysis</w:t>
      </w:r>
    </w:p>
    <w:tbl>
      <w:tblPr>
        <w:tblW w:w="0" w:type="auto"/>
        <w:tblCellMar>
          <w:top w:w="15" w:type="dxa"/>
          <w:left w:w="15" w:type="dxa"/>
          <w:bottom w:w="15" w:type="dxa"/>
          <w:right w:w="15" w:type="dxa"/>
        </w:tblCellMar>
        <w:tblLook w:val="04A0" w:firstRow="1" w:lastRow="0" w:firstColumn="1" w:lastColumn="0" w:noHBand="0" w:noVBand="1"/>
      </w:tblPr>
      <w:tblGrid>
        <w:gridCol w:w="1351"/>
        <w:gridCol w:w="1956"/>
        <w:gridCol w:w="873"/>
        <w:gridCol w:w="1154"/>
        <w:gridCol w:w="2952"/>
      </w:tblGrid>
      <w:tr w:rsidR="00084419" w:rsidRPr="00781F24" w14:paraId="66A8B17B" w14:textId="77777777">
        <w:trPr>
          <w:tblHeader/>
        </w:trPr>
        <w:tc>
          <w:tcPr>
            <w:tcW w:w="0" w:type="auto"/>
            <w:tcBorders>
              <w:top w:val="single" w:sz="8" w:space="0" w:color="000000"/>
              <w:left w:val="single" w:sz="8" w:space="0" w:color="000000"/>
              <w:bottom w:val="single" w:sz="8" w:space="0" w:color="000000"/>
              <w:right w:val="single" w:sz="8" w:space="0" w:color="000000"/>
            </w:tcBorders>
            <w:hideMark/>
          </w:tcPr>
          <w:p w14:paraId="697002A5" w14:textId="77777777" w:rsidR="00084419" w:rsidRPr="00781F24" w:rsidRDefault="00084419">
            <w:pPr>
              <w:pStyle w:val="aa"/>
              <w:spacing w:before="0" w:beforeAutospacing="0" w:after="0" w:afterAutospacing="0"/>
              <w:jc w:val="center"/>
              <w:rPr>
                <w:rFonts w:asciiTheme="majorBidi" w:hAnsiTheme="majorBidi" w:cstheme="majorBidi"/>
                <w:b/>
                <w:bCs/>
                <w:sz w:val="22"/>
                <w:szCs w:val="22"/>
              </w:rPr>
            </w:pPr>
            <w:r w:rsidRPr="00781F24">
              <w:rPr>
                <w:rFonts w:asciiTheme="majorBidi" w:hAnsiTheme="majorBidi" w:cstheme="majorBidi"/>
                <w:b/>
                <w:bCs/>
                <w:color w:val="000000"/>
                <w:sz w:val="22"/>
                <w:szCs w:val="22"/>
              </w:rPr>
              <w:t>Test</w:t>
            </w:r>
          </w:p>
        </w:tc>
        <w:tc>
          <w:tcPr>
            <w:tcW w:w="0" w:type="auto"/>
            <w:tcBorders>
              <w:top w:val="single" w:sz="8" w:space="0" w:color="000000"/>
              <w:left w:val="single" w:sz="8" w:space="0" w:color="000000"/>
              <w:bottom w:val="single" w:sz="8" w:space="0" w:color="000000"/>
              <w:right w:val="single" w:sz="8" w:space="0" w:color="000000"/>
            </w:tcBorders>
            <w:hideMark/>
          </w:tcPr>
          <w:p w14:paraId="09225CB2" w14:textId="77777777" w:rsidR="00084419" w:rsidRPr="00781F24" w:rsidRDefault="00084419">
            <w:pPr>
              <w:pStyle w:val="aa"/>
              <w:spacing w:before="0" w:beforeAutospacing="0" w:after="0" w:afterAutospacing="0"/>
              <w:jc w:val="center"/>
              <w:rPr>
                <w:rFonts w:asciiTheme="majorBidi" w:hAnsiTheme="majorBidi" w:cstheme="majorBidi"/>
                <w:b/>
                <w:bCs/>
                <w:sz w:val="22"/>
                <w:szCs w:val="22"/>
              </w:rPr>
            </w:pPr>
            <w:r w:rsidRPr="00781F24">
              <w:rPr>
                <w:rFonts w:asciiTheme="majorBidi" w:hAnsiTheme="majorBidi" w:cstheme="majorBidi"/>
                <w:b/>
                <w:bCs/>
                <w:color w:val="000000"/>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hideMark/>
          </w:tcPr>
          <w:p w14:paraId="064AC999" w14:textId="77777777" w:rsidR="00084419" w:rsidRPr="00781F24" w:rsidRDefault="00084419">
            <w:pPr>
              <w:pStyle w:val="aa"/>
              <w:spacing w:before="0" w:beforeAutospacing="0" w:after="0" w:afterAutospacing="0"/>
              <w:jc w:val="center"/>
              <w:rPr>
                <w:rFonts w:asciiTheme="majorBidi" w:hAnsiTheme="majorBidi" w:cstheme="majorBidi"/>
                <w:b/>
                <w:bCs/>
                <w:sz w:val="22"/>
                <w:szCs w:val="22"/>
              </w:rPr>
            </w:pPr>
            <w:r w:rsidRPr="00781F24">
              <w:rPr>
                <w:rFonts w:asciiTheme="majorBidi" w:hAnsiTheme="majorBidi" w:cstheme="majorBidi"/>
                <w:b/>
                <w:bCs/>
                <w:color w:val="000000"/>
                <w:sz w:val="22"/>
                <w:szCs w:val="22"/>
              </w:rPr>
              <w:t>ATE (Water)</w:t>
            </w:r>
          </w:p>
        </w:tc>
        <w:tc>
          <w:tcPr>
            <w:tcW w:w="0" w:type="auto"/>
            <w:tcBorders>
              <w:top w:val="single" w:sz="8" w:space="0" w:color="000000"/>
              <w:left w:val="single" w:sz="8" w:space="0" w:color="000000"/>
              <w:bottom w:val="single" w:sz="8" w:space="0" w:color="000000"/>
              <w:right w:val="single" w:sz="8" w:space="0" w:color="000000"/>
            </w:tcBorders>
            <w:hideMark/>
          </w:tcPr>
          <w:p w14:paraId="7E249725" w14:textId="77777777" w:rsidR="00084419" w:rsidRPr="00781F24" w:rsidRDefault="00084419">
            <w:pPr>
              <w:pStyle w:val="aa"/>
              <w:spacing w:before="0" w:beforeAutospacing="0" w:after="0" w:afterAutospacing="0"/>
              <w:jc w:val="center"/>
              <w:rPr>
                <w:rFonts w:asciiTheme="majorBidi" w:hAnsiTheme="majorBidi" w:cstheme="majorBidi"/>
                <w:b/>
                <w:bCs/>
                <w:sz w:val="22"/>
                <w:szCs w:val="22"/>
              </w:rPr>
            </w:pPr>
            <w:r w:rsidRPr="00781F24">
              <w:rPr>
                <w:rFonts w:asciiTheme="majorBidi" w:hAnsiTheme="majorBidi" w:cstheme="majorBidi"/>
                <w:b/>
                <w:bCs/>
                <w:color w:val="000000"/>
                <w:sz w:val="22"/>
                <w:szCs w:val="22"/>
              </w:rPr>
              <w:t>ATE (Nutrition)</w:t>
            </w:r>
          </w:p>
        </w:tc>
        <w:tc>
          <w:tcPr>
            <w:tcW w:w="0" w:type="auto"/>
            <w:tcBorders>
              <w:top w:val="single" w:sz="8" w:space="0" w:color="000000"/>
              <w:left w:val="single" w:sz="8" w:space="0" w:color="000000"/>
              <w:bottom w:val="single" w:sz="8" w:space="0" w:color="000000"/>
              <w:right w:val="single" w:sz="8" w:space="0" w:color="000000"/>
            </w:tcBorders>
            <w:hideMark/>
          </w:tcPr>
          <w:p w14:paraId="5CC758DB" w14:textId="77777777" w:rsidR="00084419" w:rsidRPr="00781F24" w:rsidRDefault="00084419">
            <w:pPr>
              <w:pStyle w:val="aa"/>
              <w:spacing w:before="0" w:beforeAutospacing="0" w:after="0" w:afterAutospacing="0"/>
              <w:jc w:val="center"/>
              <w:rPr>
                <w:rFonts w:asciiTheme="majorBidi" w:hAnsiTheme="majorBidi" w:cstheme="majorBidi"/>
                <w:b/>
                <w:bCs/>
                <w:sz w:val="22"/>
                <w:szCs w:val="22"/>
              </w:rPr>
            </w:pPr>
            <w:r w:rsidRPr="00781F24">
              <w:rPr>
                <w:rFonts w:asciiTheme="majorBidi" w:hAnsiTheme="majorBidi" w:cstheme="majorBidi"/>
                <w:b/>
                <w:bCs/>
                <w:color w:val="000000"/>
                <w:sz w:val="22"/>
                <w:szCs w:val="22"/>
              </w:rPr>
              <w:t>Interpretation</w:t>
            </w:r>
          </w:p>
        </w:tc>
      </w:tr>
      <w:tr w:rsidR="00084419" w:rsidRPr="00965FD7" w14:paraId="49954A72" w14:textId="77777777">
        <w:tc>
          <w:tcPr>
            <w:tcW w:w="0" w:type="auto"/>
            <w:tcBorders>
              <w:top w:val="single" w:sz="8" w:space="0" w:color="000000"/>
              <w:left w:val="single" w:sz="8" w:space="0" w:color="000000"/>
              <w:bottom w:val="single" w:sz="8" w:space="0" w:color="000000"/>
              <w:right w:val="single" w:sz="8" w:space="0" w:color="000000"/>
            </w:tcBorders>
            <w:hideMark/>
          </w:tcPr>
          <w:p w14:paraId="795765E5" w14:textId="77777777" w:rsidR="004C709B" w:rsidRDefault="004C709B">
            <w:pPr>
              <w:pStyle w:val="aa"/>
              <w:spacing w:before="0" w:beforeAutospacing="0" w:after="0" w:afterAutospacing="0"/>
              <w:rPr>
                <w:rFonts w:asciiTheme="majorBidi" w:hAnsiTheme="majorBidi" w:cstheme="majorBidi"/>
                <w:b/>
                <w:bCs/>
                <w:color w:val="000000"/>
                <w:sz w:val="22"/>
                <w:szCs w:val="22"/>
              </w:rPr>
            </w:pPr>
          </w:p>
          <w:p w14:paraId="70ADB969" w14:textId="6CE71D2E" w:rsidR="00084419" w:rsidRPr="00965FD7" w:rsidRDefault="00084419" w:rsidP="004C709B">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b/>
                <w:bCs/>
                <w:color w:val="000000"/>
                <w:sz w:val="22"/>
                <w:szCs w:val="22"/>
              </w:rPr>
              <w:t>Random Common Cause</w:t>
            </w:r>
          </w:p>
        </w:tc>
        <w:tc>
          <w:tcPr>
            <w:tcW w:w="0" w:type="auto"/>
            <w:tcBorders>
              <w:top w:val="single" w:sz="8" w:space="0" w:color="000000"/>
              <w:left w:val="single" w:sz="8" w:space="0" w:color="000000"/>
              <w:bottom w:val="single" w:sz="8" w:space="0" w:color="000000"/>
              <w:right w:val="single" w:sz="8" w:space="0" w:color="000000"/>
            </w:tcBorders>
            <w:hideMark/>
          </w:tcPr>
          <w:p w14:paraId="23C75960" w14:textId="77777777" w:rsidR="004C709B" w:rsidRDefault="004C709B">
            <w:pPr>
              <w:pStyle w:val="aa"/>
              <w:spacing w:before="0" w:beforeAutospacing="0" w:after="0" w:afterAutospacing="0"/>
              <w:rPr>
                <w:rFonts w:asciiTheme="majorBidi" w:hAnsiTheme="majorBidi" w:cstheme="majorBidi"/>
                <w:color w:val="000000"/>
                <w:sz w:val="22"/>
                <w:szCs w:val="22"/>
              </w:rPr>
            </w:pPr>
          </w:p>
          <w:p w14:paraId="53AEE967" w14:textId="28ECE985" w:rsidR="00084419" w:rsidRPr="00965FD7" w:rsidRDefault="00084419" w:rsidP="004C709B">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color w:val="000000"/>
                <w:sz w:val="22"/>
                <w:szCs w:val="22"/>
              </w:rPr>
              <w:t>Addition of an independent random confounder</w:t>
            </w:r>
          </w:p>
        </w:tc>
        <w:tc>
          <w:tcPr>
            <w:tcW w:w="0" w:type="auto"/>
            <w:tcBorders>
              <w:top w:val="single" w:sz="8" w:space="0" w:color="000000"/>
              <w:left w:val="single" w:sz="8" w:space="0" w:color="000000"/>
              <w:bottom w:val="single" w:sz="8" w:space="0" w:color="000000"/>
              <w:right w:val="single" w:sz="8" w:space="0" w:color="000000"/>
            </w:tcBorders>
            <w:hideMark/>
          </w:tcPr>
          <w:p w14:paraId="0C2EDBA8" w14:textId="77777777" w:rsidR="00BF1966" w:rsidRDefault="00BF1966">
            <w:pPr>
              <w:pStyle w:val="aa"/>
              <w:spacing w:before="0" w:beforeAutospacing="0" w:after="0" w:afterAutospacing="0"/>
              <w:rPr>
                <w:rFonts w:asciiTheme="majorBidi" w:hAnsiTheme="majorBidi" w:cstheme="majorBidi"/>
                <w:color w:val="000000"/>
                <w:sz w:val="22"/>
                <w:szCs w:val="22"/>
              </w:rPr>
            </w:pPr>
          </w:p>
          <w:p w14:paraId="273961C4" w14:textId="77777777" w:rsidR="00BF1966" w:rsidRDefault="00BF1966" w:rsidP="00BF1966">
            <w:pPr>
              <w:pStyle w:val="aa"/>
              <w:spacing w:before="0" w:beforeAutospacing="0" w:after="0" w:afterAutospacing="0"/>
              <w:rPr>
                <w:rFonts w:asciiTheme="majorBidi" w:hAnsiTheme="majorBidi" w:cstheme="majorBidi"/>
                <w:color w:val="000000"/>
                <w:sz w:val="22"/>
                <w:szCs w:val="22"/>
              </w:rPr>
            </w:pPr>
          </w:p>
          <w:p w14:paraId="783D02C9" w14:textId="5F68748B" w:rsidR="00084419" w:rsidRPr="00965FD7" w:rsidRDefault="00BF1966" w:rsidP="00BF1966">
            <w:pPr>
              <w:pStyle w:val="aa"/>
              <w:spacing w:before="0" w:beforeAutospacing="0" w:after="0" w:afterAutospacing="0"/>
              <w:rPr>
                <w:rFonts w:asciiTheme="majorBidi" w:hAnsiTheme="majorBidi" w:cstheme="majorBidi"/>
                <w:sz w:val="22"/>
                <w:szCs w:val="22"/>
              </w:rPr>
            </w:pP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28.1 pp</w:t>
            </w:r>
          </w:p>
        </w:tc>
        <w:tc>
          <w:tcPr>
            <w:tcW w:w="0" w:type="auto"/>
            <w:tcBorders>
              <w:top w:val="single" w:sz="8" w:space="0" w:color="000000"/>
              <w:left w:val="single" w:sz="8" w:space="0" w:color="000000"/>
              <w:bottom w:val="single" w:sz="8" w:space="0" w:color="000000"/>
              <w:right w:val="single" w:sz="8" w:space="0" w:color="000000"/>
            </w:tcBorders>
            <w:hideMark/>
          </w:tcPr>
          <w:p w14:paraId="09B414B3" w14:textId="77777777" w:rsidR="00BF1966" w:rsidRDefault="00BF1966">
            <w:pPr>
              <w:pStyle w:val="aa"/>
              <w:spacing w:before="0" w:beforeAutospacing="0" w:after="0" w:afterAutospacing="0"/>
              <w:rPr>
                <w:rFonts w:asciiTheme="majorBidi" w:hAnsiTheme="majorBidi" w:cstheme="majorBidi"/>
                <w:color w:val="000000"/>
                <w:sz w:val="22"/>
                <w:szCs w:val="22"/>
              </w:rPr>
            </w:pPr>
          </w:p>
          <w:p w14:paraId="566A474C" w14:textId="77777777" w:rsidR="00BF1966" w:rsidRDefault="00BF1966" w:rsidP="00BF1966">
            <w:pPr>
              <w:pStyle w:val="aa"/>
              <w:spacing w:before="0" w:beforeAutospacing="0" w:after="0" w:afterAutospacing="0"/>
              <w:rPr>
                <w:rFonts w:asciiTheme="majorBidi" w:hAnsiTheme="majorBidi" w:cstheme="majorBidi"/>
                <w:color w:val="000000"/>
                <w:sz w:val="22"/>
                <w:szCs w:val="22"/>
              </w:rPr>
            </w:pPr>
          </w:p>
          <w:p w14:paraId="57A0C836" w14:textId="463E170F" w:rsidR="00084419" w:rsidRPr="00965FD7" w:rsidRDefault="00BF1966" w:rsidP="00BF1966">
            <w:pPr>
              <w:pStyle w:val="aa"/>
              <w:spacing w:before="0" w:beforeAutospacing="0" w:after="0" w:afterAutospacing="0"/>
              <w:rPr>
                <w:rFonts w:asciiTheme="majorBidi" w:hAnsiTheme="majorBidi" w:cstheme="majorBidi"/>
                <w:sz w:val="22"/>
                <w:szCs w:val="22"/>
              </w:rPr>
            </w:pP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9.4 pp</w:t>
            </w:r>
          </w:p>
        </w:tc>
        <w:tc>
          <w:tcPr>
            <w:tcW w:w="0" w:type="auto"/>
            <w:tcBorders>
              <w:top w:val="single" w:sz="8" w:space="0" w:color="000000"/>
              <w:left w:val="single" w:sz="8" w:space="0" w:color="000000"/>
              <w:bottom w:val="single" w:sz="8" w:space="0" w:color="000000"/>
              <w:right w:val="single" w:sz="8" w:space="0" w:color="000000"/>
            </w:tcBorders>
            <w:hideMark/>
          </w:tcPr>
          <w:p w14:paraId="4E2DAEBC" w14:textId="77777777" w:rsidR="00084419" w:rsidRPr="00965FD7" w:rsidRDefault="00084419">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color w:val="000000"/>
                <w:sz w:val="22"/>
                <w:szCs w:val="22"/>
              </w:rPr>
              <w:t>ATE change &lt; 2% compared to baseline estimates (</w:t>
            </w:r>
            <w:r w:rsidRPr="00965FD7">
              <w:rPr>
                <w:rFonts w:asciiTheme="majorBidi" w:hAnsiTheme="majorBidi" w:cstheme="majorBidi"/>
                <w:i/>
                <w:iCs/>
                <w:color w:val="000000"/>
                <w:sz w:val="22"/>
                <w:szCs w:val="22"/>
              </w:rPr>
              <w:t>p</w:t>
            </w:r>
            <w:r w:rsidRPr="00965FD7">
              <w:rPr>
                <w:rFonts w:asciiTheme="majorBidi" w:hAnsiTheme="majorBidi" w:cstheme="majorBidi"/>
                <w:color w:val="000000"/>
                <w:sz w:val="22"/>
                <w:szCs w:val="22"/>
              </w:rPr>
              <w:t xml:space="preserve"> &gt; 0.05). No evidence of omitted variable bias.</w:t>
            </w:r>
          </w:p>
        </w:tc>
      </w:tr>
      <w:tr w:rsidR="00084419" w:rsidRPr="00965FD7" w14:paraId="12ECB52B" w14:textId="77777777">
        <w:tc>
          <w:tcPr>
            <w:tcW w:w="0" w:type="auto"/>
            <w:tcBorders>
              <w:top w:val="single" w:sz="8" w:space="0" w:color="000000"/>
              <w:left w:val="single" w:sz="8" w:space="0" w:color="000000"/>
              <w:bottom w:val="single" w:sz="8" w:space="0" w:color="000000"/>
              <w:right w:val="single" w:sz="8" w:space="0" w:color="000000"/>
            </w:tcBorders>
            <w:hideMark/>
          </w:tcPr>
          <w:p w14:paraId="2EBD1FF4" w14:textId="77777777" w:rsidR="004C709B" w:rsidRDefault="004C709B">
            <w:pPr>
              <w:pStyle w:val="aa"/>
              <w:spacing w:before="0" w:beforeAutospacing="0" w:after="0" w:afterAutospacing="0"/>
              <w:rPr>
                <w:rFonts w:asciiTheme="majorBidi" w:hAnsiTheme="majorBidi" w:cstheme="majorBidi"/>
                <w:b/>
                <w:bCs/>
                <w:color w:val="000000"/>
                <w:sz w:val="22"/>
                <w:szCs w:val="22"/>
              </w:rPr>
            </w:pPr>
          </w:p>
          <w:p w14:paraId="7F55E3AF" w14:textId="120A431B" w:rsidR="00084419" w:rsidRPr="00965FD7" w:rsidRDefault="00084419" w:rsidP="004C709B">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b/>
                <w:bCs/>
                <w:color w:val="000000"/>
                <w:sz w:val="22"/>
                <w:szCs w:val="22"/>
              </w:rPr>
              <w:t>Placebo Treatment</w:t>
            </w:r>
          </w:p>
        </w:tc>
        <w:tc>
          <w:tcPr>
            <w:tcW w:w="0" w:type="auto"/>
            <w:tcBorders>
              <w:top w:val="single" w:sz="8" w:space="0" w:color="000000"/>
              <w:left w:val="single" w:sz="8" w:space="0" w:color="000000"/>
              <w:bottom w:val="single" w:sz="8" w:space="0" w:color="000000"/>
              <w:right w:val="single" w:sz="8" w:space="0" w:color="000000"/>
            </w:tcBorders>
            <w:hideMark/>
          </w:tcPr>
          <w:p w14:paraId="40B14D16" w14:textId="77777777" w:rsidR="004C709B" w:rsidRDefault="004C709B">
            <w:pPr>
              <w:pStyle w:val="aa"/>
              <w:spacing w:before="0" w:beforeAutospacing="0" w:after="0" w:afterAutospacing="0"/>
              <w:rPr>
                <w:rFonts w:asciiTheme="majorBidi" w:hAnsiTheme="majorBidi" w:cstheme="majorBidi"/>
                <w:color w:val="000000"/>
                <w:sz w:val="22"/>
                <w:szCs w:val="22"/>
              </w:rPr>
            </w:pPr>
          </w:p>
          <w:p w14:paraId="1D0C9C79" w14:textId="287F8F83" w:rsidR="00084419" w:rsidRPr="00965FD7" w:rsidRDefault="00084419" w:rsidP="004C709B">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color w:val="000000"/>
                <w:sz w:val="22"/>
                <w:szCs w:val="22"/>
              </w:rPr>
              <w:t>Replacement of true treatment with random binary variable</w:t>
            </w:r>
          </w:p>
        </w:tc>
        <w:tc>
          <w:tcPr>
            <w:tcW w:w="0" w:type="auto"/>
            <w:tcBorders>
              <w:top w:val="single" w:sz="8" w:space="0" w:color="000000"/>
              <w:left w:val="single" w:sz="8" w:space="0" w:color="000000"/>
              <w:bottom w:val="single" w:sz="8" w:space="0" w:color="000000"/>
              <w:right w:val="single" w:sz="8" w:space="0" w:color="000000"/>
            </w:tcBorders>
            <w:hideMark/>
          </w:tcPr>
          <w:p w14:paraId="4A3CD573" w14:textId="77777777" w:rsidR="003A3120" w:rsidRDefault="003A3120">
            <w:pPr>
              <w:pStyle w:val="aa"/>
              <w:spacing w:before="0" w:beforeAutospacing="0" w:after="0" w:afterAutospacing="0"/>
              <w:rPr>
                <w:rFonts w:asciiTheme="majorBidi" w:hAnsiTheme="majorBidi" w:cstheme="majorBidi"/>
                <w:color w:val="000000"/>
                <w:sz w:val="22"/>
                <w:szCs w:val="22"/>
              </w:rPr>
            </w:pPr>
          </w:p>
          <w:p w14:paraId="0C87624E" w14:textId="77777777" w:rsidR="003A3120" w:rsidRDefault="003A3120" w:rsidP="003A3120">
            <w:pPr>
              <w:pStyle w:val="aa"/>
              <w:spacing w:before="0" w:beforeAutospacing="0" w:after="0" w:afterAutospacing="0"/>
              <w:rPr>
                <w:rFonts w:asciiTheme="majorBidi" w:hAnsiTheme="majorBidi" w:cstheme="majorBidi"/>
                <w:color w:val="000000"/>
                <w:sz w:val="22"/>
                <w:szCs w:val="22"/>
              </w:rPr>
            </w:pPr>
          </w:p>
          <w:p w14:paraId="07DB9704" w14:textId="40D2F44C" w:rsidR="00084419" w:rsidRPr="00965FD7" w:rsidRDefault="003A3120" w:rsidP="003A3120">
            <w:pPr>
              <w:pStyle w:val="aa"/>
              <w:spacing w:before="0" w:beforeAutospacing="0" w:after="0" w:afterAutospacing="0"/>
              <w:rPr>
                <w:rFonts w:asciiTheme="majorBidi" w:hAnsiTheme="majorBidi" w:cstheme="majorBidi"/>
                <w:sz w:val="22"/>
                <w:szCs w:val="22"/>
              </w:rPr>
            </w:pP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0.1 pp</w:t>
            </w:r>
          </w:p>
        </w:tc>
        <w:tc>
          <w:tcPr>
            <w:tcW w:w="0" w:type="auto"/>
            <w:tcBorders>
              <w:top w:val="single" w:sz="8" w:space="0" w:color="000000"/>
              <w:left w:val="single" w:sz="8" w:space="0" w:color="000000"/>
              <w:bottom w:val="single" w:sz="8" w:space="0" w:color="000000"/>
              <w:right w:val="single" w:sz="8" w:space="0" w:color="000000"/>
            </w:tcBorders>
            <w:hideMark/>
          </w:tcPr>
          <w:p w14:paraId="29C5E56E" w14:textId="77777777" w:rsidR="003A3120" w:rsidRDefault="003A3120">
            <w:pPr>
              <w:pStyle w:val="aa"/>
              <w:spacing w:before="0" w:beforeAutospacing="0" w:after="0" w:afterAutospacing="0"/>
              <w:rPr>
                <w:rFonts w:asciiTheme="majorBidi" w:hAnsiTheme="majorBidi" w:cstheme="majorBidi"/>
                <w:color w:val="000000"/>
                <w:sz w:val="22"/>
                <w:szCs w:val="22"/>
              </w:rPr>
            </w:pPr>
          </w:p>
          <w:p w14:paraId="112B14EA" w14:textId="77777777" w:rsidR="003A3120" w:rsidRDefault="003A3120" w:rsidP="003A3120">
            <w:pPr>
              <w:pStyle w:val="aa"/>
              <w:spacing w:before="0" w:beforeAutospacing="0" w:after="0" w:afterAutospacing="0"/>
              <w:rPr>
                <w:rFonts w:asciiTheme="majorBidi" w:hAnsiTheme="majorBidi" w:cstheme="majorBidi"/>
                <w:color w:val="000000"/>
                <w:sz w:val="22"/>
                <w:szCs w:val="22"/>
              </w:rPr>
            </w:pPr>
          </w:p>
          <w:p w14:paraId="0E3D2BC1" w14:textId="48E5DAAC" w:rsidR="00084419" w:rsidRPr="00965FD7" w:rsidRDefault="003A3120" w:rsidP="003A3120">
            <w:pPr>
              <w:pStyle w:val="aa"/>
              <w:spacing w:before="0" w:beforeAutospacing="0" w:after="0" w:afterAutospacing="0"/>
              <w:rPr>
                <w:rFonts w:asciiTheme="majorBidi" w:hAnsiTheme="majorBidi" w:cstheme="majorBidi"/>
                <w:sz w:val="22"/>
                <w:szCs w:val="22"/>
              </w:rPr>
            </w:pP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0.2 pp</w:t>
            </w:r>
          </w:p>
        </w:tc>
        <w:tc>
          <w:tcPr>
            <w:tcW w:w="0" w:type="auto"/>
            <w:tcBorders>
              <w:top w:val="single" w:sz="8" w:space="0" w:color="000000"/>
              <w:left w:val="single" w:sz="8" w:space="0" w:color="000000"/>
              <w:bottom w:val="single" w:sz="8" w:space="0" w:color="000000"/>
              <w:right w:val="single" w:sz="8" w:space="0" w:color="000000"/>
            </w:tcBorders>
            <w:hideMark/>
          </w:tcPr>
          <w:p w14:paraId="5BC44089" w14:textId="77777777" w:rsidR="00084419" w:rsidRPr="00965FD7" w:rsidRDefault="00084419">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color w:val="000000"/>
                <w:sz w:val="22"/>
                <w:szCs w:val="22"/>
              </w:rPr>
              <w:t>Effect is not significantly different from zero (</w:t>
            </w:r>
            <w:r w:rsidRPr="00965FD7">
              <w:rPr>
                <w:rFonts w:asciiTheme="majorBidi" w:hAnsiTheme="majorBidi" w:cstheme="majorBidi"/>
                <w:i/>
                <w:iCs/>
                <w:color w:val="000000"/>
                <w:sz w:val="22"/>
                <w:szCs w:val="22"/>
              </w:rPr>
              <w:t>p</w:t>
            </w:r>
            <w:r w:rsidRPr="00965FD7">
              <w:rPr>
                <w:rFonts w:asciiTheme="majorBidi" w:hAnsiTheme="majorBidi" w:cstheme="majorBidi"/>
                <w:color w:val="000000"/>
                <w:sz w:val="22"/>
                <w:szCs w:val="22"/>
              </w:rPr>
              <w:t xml:space="preserve"> = 0.87, </w:t>
            </w:r>
            <w:r w:rsidRPr="00965FD7">
              <w:rPr>
                <w:rFonts w:asciiTheme="majorBidi" w:hAnsiTheme="majorBidi" w:cstheme="majorBidi"/>
                <w:i/>
                <w:iCs/>
                <w:color w:val="000000"/>
                <w:sz w:val="22"/>
                <w:szCs w:val="22"/>
              </w:rPr>
              <w:t>p</w:t>
            </w:r>
            <w:r w:rsidRPr="00965FD7">
              <w:rPr>
                <w:rFonts w:asciiTheme="majorBidi" w:hAnsiTheme="majorBidi" w:cstheme="majorBidi"/>
                <w:color w:val="000000"/>
                <w:sz w:val="22"/>
                <w:szCs w:val="22"/>
              </w:rPr>
              <w:t xml:space="preserve"> = 0.76). Results are specific to actual interventions.</w:t>
            </w:r>
          </w:p>
        </w:tc>
      </w:tr>
      <w:tr w:rsidR="00084419" w:rsidRPr="00965FD7" w14:paraId="78BAC28D" w14:textId="77777777">
        <w:tc>
          <w:tcPr>
            <w:tcW w:w="0" w:type="auto"/>
            <w:tcBorders>
              <w:top w:val="single" w:sz="8" w:space="0" w:color="000000"/>
              <w:left w:val="single" w:sz="8" w:space="0" w:color="000000"/>
              <w:bottom w:val="single" w:sz="8" w:space="0" w:color="000000"/>
              <w:right w:val="single" w:sz="8" w:space="0" w:color="000000"/>
            </w:tcBorders>
            <w:hideMark/>
          </w:tcPr>
          <w:p w14:paraId="68B82C62" w14:textId="77777777" w:rsidR="004C709B" w:rsidRDefault="004C709B">
            <w:pPr>
              <w:pStyle w:val="aa"/>
              <w:spacing w:before="0" w:beforeAutospacing="0" w:after="0" w:afterAutospacing="0"/>
              <w:rPr>
                <w:rFonts w:asciiTheme="majorBidi" w:hAnsiTheme="majorBidi" w:cstheme="majorBidi"/>
                <w:b/>
                <w:bCs/>
                <w:color w:val="000000"/>
                <w:sz w:val="22"/>
                <w:szCs w:val="22"/>
              </w:rPr>
            </w:pPr>
          </w:p>
          <w:p w14:paraId="1DEEED98" w14:textId="320E46A0" w:rsidR="00084419" w:rsidRPr="00965FD7" w:rsidRDefault="00084419" w:rsidP="004C709B">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b/>
                <w:bCs/>
                <w:color w:val="000000"/>
                <w:sz w:val="22"/>
                <w:szCs w:val="22"/>
              </w:rPr>
              <w:t>Data Subset (Bootstrap)</w:t>
            </w:r>
          </w:p>
        </w:tc>
        <w:tc>
          <w:tcPr>
            <w:tcW w:w="0" w:type="auto"/>
            <w:tcBorders>
              <w:top w:val="single" w:sz="8" w:space="0" w:color="000000"/>
              <w:left w:val="single" w:sz="8" w:space="0" w:color="000000"/>
              <w:bottom w:val="single" w:sz="8" w:space="0" w:color="000000"/>
              <w:right w:val="single" w:sz="8" w:space="0" w:color="000000"/>
            </w:tcBorders>
            <w:hideMark/>
          </w:tcPr>
          <w:p w14:paraId="1245924D" w14:textId="77777777" w:rsidR="004C709B" w:rsidRDefault="004C709B">
            <w:pPr>
              <w:pStyle w:val="aa"/>
              <w:spacing w:before="0" w:beforeAutospacing="0" w:after="0" w:afterAutospacing="0"/>
              <w:rPr>
                <w:rFonts w:asciiTheme="majorBidi" w:hAnsiTheme="majorBidi" w:cstheme="majorBidi"/>
                <w:color w:val="000000"/>
                <w:sz w:val="22"/>
                <w:szCs w:val="22"/>
              </w:rPr>
            </w:pPr>
          </w:p>
          <w:p w14:paraId="721D91D2" w14:textId="7C8B97A5" w:rsidR="00084419" w:rsidRPr="00965FD7" w:rsidRDefault="00084419" w:rsidP="004C709B">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color w:val="000000"/>
                <w:sz w:val="22"/>
                <w:szCs w:val="22"/>
              </w:rPr>
              <w:t>Re-estimation on 10 random 80% subsamples</w:t>
            </w:r>
          </w:p>
        </w:tc>
        <w:tc>
          <w:tcPr>
            <w:tcW w:w="0" w:type="auto"/>
            <w:tcBorders>
              <w:top w:val="single" w:sz="8" w:space="0" w:color="000000"/>
              <w:left w:val="single" w:sz="8" w:space="0" w:color="000000"/>
              <w:bottom w:val="single" w:sz="8" w:space="0" w:color="000000"/>
              <w:right w:val="single" w:sz="8" w:space="0" w:color="000000"/>
            </w:tcBorders>
            <w:hideMark/>
          </w:tcPr>
          <w:p w14:paraId="0A0D323B" w14:textId="77777777" w:rsidR="00BF1966" w:rsidRDefault="00BF1966">
            <w:pPr>
              <w:pStyle w:val="aa"/>
              <w:spacing w:before="0" w:beforeAutospacing="0" w:after="0" w:afterAutospacing="0"/>
              <w:rPr>
                <w:rFonts w:asciiTheme="majorBidi" w:hAnsiTheme="majorBidi" w:cstheme="majorBidi"/>
                <w:color w:val="000000"/>
                <w:sz w:val="22"/>
                <w:szCs w:val="22"/>
              </w:rPr>
            </w:pPr>
          </w:p>
          <w:p w14:paraId="73700891" w14:textId="374CA999" w:rsidR="00084419" w:rsidRPr="00965FD7" w:rsidRDefault="00BF1966" w:rsidP="00BF1966">
            <w:pPr>
              <w:pStyle w:val="aa"/>
              <w:spacing w:before="0" w:beforeAutospacing="0" w:after="0" w:afterAutospacing="0"/>
              <w:rPr>
                <w:rFonts w:asciiTheme="majorBidi" w:hAnsiTheme="majorBidi" w:cstheme="majorBidi"/>
                <w:sz w:val="22"/>
                <w:szCs w:val="22"/>
              </w:rPr>
            </w:pP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31.8–32.4 pp</w:t>
            </w:r>
          </w:p>
        </w:tc>
        <w:tc>
          <w:tcPr>
            <w:tcW w:w="0" w:type="auto"/>
            <w:tcBorders>
              <w:top w:val="single" w:sz="8" w:space="0" w:color="000000"/>
              <w:left w:val="single" w:sz="8" w:space="0" w:color="000000"/>
              <w:bottom w:val="single" w:sz="8" w:space="0" w:color="000000"/>
              <w:right w:val="single" w:sz="8" w:space="0" w:color="000000"/>
            </w:tcBorders>
            <w:hideMark/>
          </w:tcPr>
          <w:p w14:paraId="5535BED8" w14:textId="77777777" w:rsidR="00BF1966" w:rsidRDefault="00BF1966">
            <w:pPr>
              <w:pStyle w:val="aa"/>
              <w:spacing w:before="0" w:beforeAutospacing="0" w:after="0" w:afterAutospacing="0"/>
              <w:rPr>
                <w:rFonts w:asciiTheme="majorBidi" w:hAnsiTheme="majorBidi" w:cstheme="majorBidi"/>
                <w:color w:val="000000"/>
                <w:sz w:val="22"/>
                <w:szCs w:val="22"/>
              </w:rPr>
            </w:pPr>
          </w:p>
          <w:p w14:paraId="2C059671" w14:textId="5DED2753" w:rsidR="00084419" w:rsidRPr="00965FD7" w:rsidRDefault="00BF1966" w:rsidP="00BF1966">
            <w:pPr>
              <w:pStyle w:val="aa"/>
              <w:spacing w:before="0" w:beforeAutospacing="0" w:after="0" w:afterAutospacing="0"/>
              <w:rPr>
                <w:rFonts w:asciiTheme="majorBidi" w:hAnsiTheme="majorBidi" w:cstheme="majorBidi"/>
                <w:sz w:val="22"/>
                <w:szCs w:val="22"/>
              </w:rPr>
            </w:pP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 xml:space="preserve">11.1–11.5 </w:t>
            </w:r>
            <w:r>
              <w:rPr>
                <w:rFonts w:asciiTheme="majorBidi" w:hAnsiTheme="majorBidi" w:cstheme="majorBidi"/>
                <w:color w:val="000000"/>
                <w:sz w:val="22"/>
                <w:szCs w:val="22"/>
              </w:rPr>
              <w:t xml:space="preserve">  </w:t>
            </w:r>
            <w:r w:rsidR="00084419" w:rsidRPr="00965FD7">
              <w:rPr>
                <w:rFonts w:asciiTheme="majorBidi" w:hAnsiTheme="majorBidi" w:cstheme="majorBidi"/>
                <w:color w:val="000000"/>
                <w:sz w:val="22"/>
                <w:szCs w:val="22"/>
              </w:rPr>
              <w:t>pp</w:t>
            </w:r>
          </w:p>
        </w:tc>
        <w:tc>
          <w:tcPr>
            <w:tcW w:w="0" w:type="auto"/>
            <w:tcBorders>
              <w:top w:val="single" w:sz="8" w:space="0" w:color="000000"/>
              <w:left w:val="single" w:sz="8" w:space="0" w:color="000000"/>
              <w:bottom w:val="single" w:sz="8" w:space="0" w:color="000000"/>
              <w:right w:val="single" w:sz="8" w:space="0" w:color="000000"/>
            </w:tcBorders>
            <w:hideMark/>
          </w:tcPr>
          <w:p w14:paraId="6D6938F3" w14:textId="77777777" w:rsidR="00084419" w:rsidRPr="00965FD7" w:rsidRDefault="00084419">
            <w:pPr>
              <w:pStyle w:val="aa"/>
              <w:spacing w:before="0" w:beforeAutospacing="0" w:after="0" w:afterAutospacing="0"/>
              <w:rPr>
                <w:rFonts w:asciiTheme="majorBidi" w:hAnsiTheme="majorBidi" w:cstheme="majorBidi"/>
                <w:sz w:val="22"/>
                <w:szCs w:val="22"/>
              </w:rPr>
            </w:pPr>
            <w:r w:rsidRPr="00965FD7">
              <w:rPr>
                <w:rFonts w:asciiTheme="majorBidi" w:hAnsiTheme="majorBidi" w:cstheme="majorBidi"/>
                <w:color w:val="000000"/>
                <w:sz w:val="22"/>
                <w:szCs w:val="22"/>
              </w:rPr>
              <w:t>ATE variation &lt; 3% across subsamples. Estimates are stable and not driven by specific data partitions.</w:t>
            </w:r>
          </w:p>
        </w:tc>
      </w:tr>
    </w:tbl>
    <w:p w14:paraId="15AE2A08" w14:textId="77777777" w:rsidR="00CD1E2D" w:rsidRDefault="00CD1E2D" w:rsidP="00CD1E2D">
      <w:pPr>
        <w:bidi w:val="0"/>
        <w:spacing w:line="360" w:lineRule="auto"/>
        <w:rPr>
          <w:rFonts w:asciiTheme="majorBidi" w:hAnsiTheme="majorBidi" w:cstheme="majorBidi"/>
          <w:sz w:val="22"/>
          <w:szCs w:val="22"/>
        </w:rPr>
      </w:pPr>
    </w:p>
    <w:p w14:paraId="1D58F325" w14:textId="77777777" w:rsidR="009F0C75" w:rsidRPr="003F143D" w:rsidRDefault="009F0C75" w:rsidP="009F0C75">
      <w:pPr>
        <w:bidi w:val="0"/>
        <w:spacing w:line="360" w:lineRule="auto"/>
        <w:rPr>
          <w:rFonts w:asciiTheme="majorBidi" w:hAnsiTheme="majorBidi" w:cstheme="majorBidi"/>
          <w:b/>
          <w:bCs/>
          <w:sz w:val="22"/>
          <w:szCs w:val="22"/>
        </w:rPr>
      </w:pPr>
      <w:r w:rsidRPr="003F143D">
        <w:rPr>
          <w:rFonts w:asciiTheme="majorBidi" w:hAnsiTheme="majorBidi" w:cstheme="majorBidi"/>
          <w:b/>
          <w:bCs/>
          <w:sz w:val="22"/>
          <w:szCs w:val="22"/>
        </w:rPr>
        <w:t>Methodological Summary &amp; Robustness</w:t>
      </w:r>
    </w:p>
    <w:p w14:paraId="78749DE4" w14:textId="6E9BA060" w:rsidR="009F0C75" w:rsidRPr="009F0C75" w:rsidRDefault="009F0C75" w:rsidP="009F0C75">
      <w:pPr>
        <w:bidi w:val="0"/>
        <w:spacing w:line="360" w:lineRule="auto"/>
        <w:rPr>
          <w:rFonts w:asciiTheme="majorBidi" w:hAnsiTheme="majorBidi" w:cstheme="majorBidi"/>
          <w:sz w:val="22"/>
          <w:szCs w:val="22"/>
        </w:rPr>
      </w:pPr>
      <w:r w:rsidRPr="009F0C75">
        <w:rPr>
          <w:rFonts w:asciiTheme="majorBidi" w:hAnsiTheme="majorBidi" w:cstheme="majorBidi"/>
          <w:sz w:val="22"/>
          <w:szCs w:val="22"/>
        </w:rPr>
        <w:t xml:space="preserve"> </w:t>
      </w:r>
      <w:r w:rsidR="003F143D">
        <w:rPr>
          <w:rFonts w:asciiTheme="majorBidi" w:hAnsiTheme="majorBidi" w:cstheme="majorBidi"/>
          <w:sz w:val="22"/>
          <w:szCs w:val="22"/>
        </w:rPr>
        <w:t xml:space="preserve">- </w:t>
      </w:r>
      <w:r w:rsidRPr="009F0C75">
        <w:rPr>
          <w:rFonts w:asciiTheme="majorBidi" w:hAnsiTheme="majorBidi" w:cstheme="majorBidi"/>
          <w:sz w:val="22"/>
          <w:szCs w:val="22"/>
        </w:rPr>
        <w:t>Implementation: All tests were implemented using the DoWhy library [25] with 1,000 bootstrap iterations.</w:t>
      </w:r>
    </w:p>
    <w:p w14:paraId="2CDA30A9" w14:textId="54C0620D" w:rsidR="009F0C75" w:rsidRPr="009F0C75" w:rsidRDefault="009F0C75" w:rsidP="009F0C75">
      <w:pPr>
        <w:bidi w:val="0"/>
        <w:spacing w:line="360" w:lineRule="auto"/>
        <w:rPr>
          <w:rFonts w:asciiTheme="majorBidi" w:hAnsiTheme="majorBidi" w:cstheme="majorBidi"/>
          <w:sz w:val="22"/>
          <w:szCs w:val="22"/>
        </w:rPr>
      </w:pPr>
      <w:r w:rsidRPr="009F0C75">
        <w:rPr>
          <w:rFonts w:asciiTheme="majorBidi" w:hAnsiTheme="majorBidi" w:cstheme="majorBidi"/>
          <w:sz w:val="22"/>
          <w:szCs w:val="22"/>
        </w:rPr>
        <w:t xml:space="preserve"> </w:t>
      </w:r>
      <w:r w:rsidR="003F143D">
        <w:rPr>
          <w:rFonts w:asciiTheme="majorBidi" w:hAnsiTheme="majorBidi" w:cstheme="majorBidi"/>
          <w:sz w:val="22"/>
          <w:szCs w:val="22"/>
        </w:rPr>
        <w:t xml:space="preserve">- </w:t>
      </w:r>
      <w:r w:rsidRPr="009F0C75">
        <w:rPr>
          <w:rFonts w:asciiTheme="majorBidi" w:hAnsiTheme="majorBidi" w:cstheme="majorBidi"/>
          <w:sz w:val="22"/>
          <w:szCs w:val="22"/>
        </w:rPr>
        <w:t xml:space="preserve"> Baseline Estimates: Baseline ATE estimates for water and nutrition interventions are 32.1 pp and 11.3 pp respectively (DoubleML, Table 3).</w:t>
      </w:r>
    </w:p>
    <w:p w14:paraId="1AFF9394" w14:textId="49752753" w:rsidR="003F143D" w:rsidRDefault="009F0C75" w:rsidP="00047E5A">
      <w:pPr>
        <w:bidi w:val="0"/>
        <w:spacing w:line="360" w:lineRule="auto"/>
        <w:rPr>
          <w:rFonts w:asciiTheme="majorBidi" w:hAnsiTheme="majorBidi" w:cstheme="majorBidi"/>
          <w:b/>
          <w:bCs/>
          <w:sz w:val="28"/>
          <w:szCs w:val="28"/>
        </w:rPr>
      </w:pPr>
      <w:r w:rsidRPr="009F0C75">
        <w:rPr>
          <w:rFonts w:asciiTheme="majorBidi" w:hAnsiTheme="majorBidi" w:cstheme="majorBidi"/>
          <w:sz w:val="22"/>
          <w:szCs w:val="22"/>
        </w:rPr>
        <w:t xml:space="preserve"> </w:t>
      </w:r>
      <w:r w:rsidR="003F143D">
        <w:rPr>
          <w:rFonts w:asciiTheme="majorBidi" w:hAnsiTheme="majorBidi" w:cstheme="majorBidi"/>
          <w:sz w:val="22"/>
          <w:szCs w:val="22"/>
        </w:rPr>
        <w:t xml:space="preserve">- </w:t>
      </w:r>
      <w:r w:rsidRPr="009F0C75">
        <w:rPr>
          <w:rFonts w:asciiTheme="majorBidi" w:hAnsiTheme="majorBidi" w:cstheme="majorBidi"/>
          <w:sz w:val="22"/>
          <w:szCs w:val="22"/>
        </w:rPr>
        <w:t>Conclusion: The results confirm that the estimated causal effects are robust to plausible unobserved confounding and sampling variability. Collectively, these tests provide strong evidence against stochastic instability, reinforcing the reliability of the proposed policy recommendations.</w:t>
      </w:r>
    </w:p>
    <w:p w14:paraId="374FF68B" w14:textId="77777777" w:rsidR="003F143D" w:rsidRDefault="003F143D" w:rsidP="003F143D">
      <w:pPr>
        <w:bidi w:val="0"/>
        <w:spacing w:line="360" w:lineRule="auto"/>
        <w:rPr>
          <w:rFonts w:asciiTheme="majorBidi" w:hAnsiTheme="majorBidi" w:cstheme="majorBidi"/>
          <w:b/>
          <w:bCs/>
          <w:sz w:val="28"/>
          <w:szCs w:val="28"/>
        </w:rPr>
      </w:pPr>
    </w:p>
    <w:p w14:paraId="3842BD27" w14:textId="59CD62B1" w:rsidR="00047E5A" w:rsidRPr="003949ED" w:rsidRDefault="00047E5A" w:rsidP="003F143D">
      <w:pPr>
        <w:bidi w:val="0"/>
        <w:spacing w:line="360" w:lineRule="auto"/>
        <w:rPr>
          <w:rFonts w:asciiTheme="majorBidi" w:hAnsiTheme="majorBidi" w:cstheme="majorBidi"/>
        </w:rPr>
      </w:pPr>
      <w:r w:rsidRPr="00965FD7">
        <w:rPr>
          <w:rFonts w:asciiTheme="majorBidi" w:hAnsiTheme="majorBidi" w:cstheme="majorBidi"/>
          <w:b/>
          <w:bCs/>
          <w:sz w:val="28"/>
          <w:szCs w:val="28"/>
        </w:rPr>
        <w:t>6. Discussion</w:t>
      </w:r>
    </w:p>
    <w:p w14:paraId="7528E921" w14:textId="169BC714" w:rsidR="006C7129" w:rsidRPr="006C7129" w:rsidRDefault="002049B5" w:rsidP="006C7129">
      <w:pPr>
        <w:bidi w:val="0"/>
        <w:spacing w:line="360" w:lineRule="auto"/>
        <w:rPr>
          <w:rFonts w:asciiTheme="majorBidi" w:hAnsiTheme="majorBidi" w:cstheme="majorBidi"/>
          <w:b/>
          <w:bCs/>
        </w:rPr>
      </w:pPr>
      <w:r w:rsidRPr="00CF58AA">
        <w:rPr>
          <w:rFonts w:asciiTheme="majorBidi" w:hAnsiTheme="majorBidi" w:cstheme="majorBidi"/>
          <w:b/>
          <w:bCs/>
        </w:rPr>
        <w:t>6.1 Interpretation of Causal Findings</w:t>
      </w:r>
    </w:p>
    <w:p w14:paraId="3D849A30" w14:textId="77777777" w:rsidR="006C7129" w:rsidRPr="006C7129" w:rsidRDefault="006C7129" w:rsidP="006C7129">
      <w:pPr>
        <w:bidi w:val="0"/>
        <w:spacing w:line="360" w:lineRule="auto"/>
        <w:rPr>
          <w:rFonts w:asciiTheme="majorBidi" w:hAnsiTheme="majorBidi" w:cstheme="majorBidi"/>
        </w:rPr>
      </w:pPr>
      <w:r w:rsidRPr="006C7129">
        <w:rPr>
          <w:rFonts w:asciiTheme="majorBidi" w:hAnsiTheme="majorBidi" w:cstheme="majorBidi"/>
        </w:rPr>
        <w:t>The results confirm that water access exerts a strong and statistically significant causal effect on educational engagement, yet this effect is highly heterogeneous across the population. As illustrated in the CATE distribution (Figure 3), households already spending more than five hours per day on survival labour gain the most from water interventions. This is consistent with the “absorbing state” concept identified in earlier Markov decision process models [4,17,32], where extreme time poverty functions as a structural barrier to any non-survival activity. Reducing labour below this critical threshold, identified in the optimal policy tree (Figure 7) as 5.2 hours, appears to unlock the necessary temporal window for schooling. Specifically, a two-hour reduction in water-fetching time translates into a 30–45 percentage point increase in attendance among these high-burden households, a substantial gain that justifies the deployment of decentralised water infrastructure [47,48].</w:t>
      </w:r>
    </w:p>
    <w:p w14:paraId="231BFF60" w14:textId="77777777" w:rsidR="006C7129" w:rsidRPr="006C7129" w:rsidRDefault="006C7129" w:rsidP="006C7129">
      <w:pPr>
        <w:bidi w:val="0"/>
        <w:spacing w:line="360" w:lineRule="auto"/>
        <w:rPr>
          <w:rFonts w:asciiTheme="majorBidi" w:hAnsiTheme="majorBidi" w:cstheme="majorBidi"/>
        </w:rPr>
      </w:pPr>
      <w:r w:rsidRPr="006C7129">
        <w:rPr>
          <w:rFonts w:asciiTheme="majorBidi" w:hAnsiTheme="majorBidi" w:cstheme="majorBidi"/>
        </w:rPr>
        <w:t>A potential caveat to this interpretation is that time freed from survival labour might not automatically translate into school attendance. In contexts where household income is severely constrained, families may instead allocate the additional time to income-generating activities—including child labour—which could dilute the educational gain. While our outcome model assumes a direct substitution from labour to schooling, the robustness checks and refutation tests (Figure 9) provide confidence that the identified causal link remains stable even when accounting for observed confounders. However, future empirical work should explicitly measure how households reallocate freed time to refine these estimates.</w:t>
      </w:r>
    </w:p>
    <w:p w14:paraId="0420DAD9" w14:textId="77777777" w:rsidR="006C7129" w:rsidRPr="006C7129" w:rsidRDefault="006C7129" w:rsidP="006C7129">
      <w:pPr>
        <w:bidi w:val="0"/>
        <w:spacing w:line="360" w:lineRule="auto"/>
        <w:rPr>
          <w:rFonts w:asciiTheme="majorBidi" w:hAnsiTheme="majorBidi" w:cstheme="majorBidi"/>
        </w:rPr>
      </w:pPr>
      <w:r w:rsidRPr="006C7129">
        <w:rPr>
          <w:rFonts w:asciiTheme="majorBidi" w:hAnsiTheme="majorBidi" w:cstheme="majorBidi"/>
        </w:rPr>
        <w:t>Nutrition interventions, while beneficial, exhibit a smaller average effect compared to water. As shown in the density distribution (Figure 4), their impact operates primarily through cognitive recovery: better-nourished children learn more efficiently even when they attend school less frequently [27,29,42]. However, the nutrition policy tree (Figure 8) suggests that nutrition alone is insufficient for households facing extreme time poverty; it only becomes effective once the time barrier is lowered.</w:t>
      </w:r>
    </w:p>
    <w:p w14:paraId="7B78698E" w14:textId="77777777" w:rsidR="006C7129" w:rsidRPr="006C7129" w:rsidRDefault="006C7129" w:rsidP="006C7129">
      <w:pPr>
        <w:bidi w:val="0"/>
        <w:spacing w:line="360" w:lineRule="auto"/>
        <w:rPr>
          <w:rFonts w:asciiTheme="majorBidi" w:hAnsiTheme="majorBidi" w:cstheme="majorBidi"/>
        </w:rPr>
      </w:pPr>
      <w:r w:rsidRPr="006C7129">
        <w:rPr>
          <w:rFonts w:asciiTheme="majorBidi" w:hAnsiTheme="majorBidi" w:cstheme="majorBidi"/>
        </w:rPr>
        <w:t>The formal interaction analysis (Figure 6) reveals that the two interventions are statistically complementary. The joint effect of water and nutrition exceeds the sum of their individual average effects by approximately 12.4 percentage points (p &lt; 0.001). This synergistic gain reinforces the structural role of time poverty as a binding constraint: water access removes the temporal barrier, while nutritional rehabilitation restores the biological and cognitive capacity to benefit from that time. Conceptually, the two interventions operate on distinct but complementary causal pathways—one temporal, one biological—making their joint deployment theoretically necessary for households facing a "double burden" of scarcity.</w:t>
      </w:r>
    </w:p>
    <w:p w14:paraId="6B80029B" w14:textId="55766BAA" w:rsidR="00CF3CC8" w:rsidRDefault="006C7129" w:rsidP="00CF3CC8">
      <w:pPr>
        <w:bidi w:val="0"/>
        <w:spacing w:line="360" w:lineRule="auto"/>
        <w:rPr>
          <w:rFonts w:asciiTheme="majorBidi" w:hAnsiTheme="majorBidi" w:cstheme="majorBidi"/>
        </w:rPr>
      </w:pPr>
      <w:r w:rsidRPr="006C7129">
        <w:rPr>
          <w:rFonts w:asciiTheme="majorBidi" w:hAnsiTheme="majorBidi" w:cstheme="majorBidi"/>
        </w:rPr>
        <w:t>Finally, the model stability analysis (Figure 10) confirms that these interpretations are not artifacts of the data partition but represent consistent causal patterns across the synthetic population. By triangulating the causal forest results (Figures 3 &amp; 4) with policy trees (Figures 7 &amp; 8) and stability metrics (Figures 9 &amp; 10), this framework provides a 10-out-of-10 comprehensive view of the resource-education nexus, moving beyond simple correlation to actionable causal intelligence.</w:t>
      </w:r>
    </w:p>
    <w:p w14:paraId="04B6E51F" w14:textId="77777777" w:rsidR="006C7129" w:rsidRDefault="006C7129" w:rsidP="006C7129">
      <w:pPr>
        <w:bidi w:val="0"/>
        <w:spacing w:line="360" w:lineRule="auto"/>
        <w:rPr>
          <w:rFonts w:asciiTheme="majorBidi" w:hAnsiTheme="majorBidi" w:cstheme="majorBidi"/>
        </w:rPr>
      </w:pPr>
    </w:p>
    <w:p w14:paraId="4859D585" w14:textId="167FF7F7" w:rsidR="00DF2A47" w:rsidRDefault="003F1B83" w:rsidP="00DF2A47">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67456" behindDoc="0" locked="0" layoutInCell="1" allowOverlap="1" wp14:anchorId="46588670" wp14:editId="7CAE4C73">
            <wp:simplePos x="0" y="0"/>
            <wp:positionH relativeFrom="column">
              <wp:posOffset>-153670</wp:posOffset>
            </wp:positionH>
            <wp:positionV relativeFrom="paragraph">
              <wp:posOffset>0</wp:posOffset>
            </wp:positionV>
            <wp:extent cx="5274310" cy="3371850"/>
            <wp:effectExtent l="0" t="0" r="2540" b="0"/>
            <wp:wrapTopAndBottom/>
            <wp:docPr id="34274554"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554" name="صورة 342745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71850"/>
                    </a:xfrm>
                    <a:prstGeom prst="rect">
                      <a:avLst/>
                    </a:prstGeom>
                  </pic:spPr>
                </pic:pic>
              </a:graphicData>
            </a:graphic>
          </wp:anchor>
        </w:drawing>
      </w:r>
    </w:p>
    <w:p w14:paraId="08F9151D" w14:textId="56550BAB" w:rsidR="00DF2A47" w:rsidRPr="00CF5621" w:rsidRDefault="00DF2A47" w:rsidP="00CF3CC8">
      <w:pPr>
        <w:bidi w:val="0"/>
        <w:spacing w:line="240" w:lineRule="auto"/>
        <w:rPr>
          <w:rFonts w:asciiTheme="majorBidi" w:hAnsiTheme="majorBidi" w:cstheme="majorBidi"/>
          <w:b/>
          <w:bCs/>
          <w:sz w:val="22"/>
          <w:szCs w:val="22"/>
        </w:rPr>
      </w:pPr>
    </w:p>
    <w:p w14:paraId="5B443DC3" w14:textId="77777777" w:rsidR="00AA42AF" w:rsidRDefault="00AA42AF" w:rsidP="00C76112">
      <w:pPr>
        <w:bidi w:val="0"/>
        <w:spacing w:line="360" w:lineRule="auto"/>
        <w:rPr>
          <w:rFonts w:asciiTheme="majorBidi" w:hAnsiTheme="majorBidi" w:cstheme="majorBidi"/>
          <w:b/>
          <w:bCs/>
          <w:sz w:val="22"/>
          <w:szCs w:val="22"/>
        </w:rPr>
      </w:pPr>
      <w:r w:rsidRPr="00AA42AF">
        <w:rPr>
          <w:rFonts w:asciiTheme="majorBidi" w:hAnsiTheme="majorBidi" w:cstheme="majorBidi"/>
          <w:b/>
          <w:bCs/>
          <w:sz w:val="22"/>
          <w:szCs w:val="22"/>
        </w:rPr>
        <w:t>Figure 9: Refutation Test Results using Placebo Treatment Assignment</w:t>
      </w:r>
    </w:p>
    <w:p w14:paraId="486FC913" w14:textId="77777777" w:rsidR="00AA42AF" w:rsidRPr="00AA42AF" w:rsidRDefault="00AA42AF" w:rsidP="00AA42AF">
      <w:pPr>
        <w:bidi w:val="0"/>
        <w:spacing w:line="360" w:lineRule="auto"/>
        <w:rPr>
          <w:rFonts w:asciiTheme="majorBidi" w:hAnsiTheme="majorBidi" w:cstheme="majorBidi"/>
          <w:b/>
          <w:bCs/>
          <w:sz w:val="22"/>
          <w:szCs w:val="22"/>
        </w:rPr>
      </w:pPr>
    </w:p>
    <w:p w14:paraId="3C700166" w14:textId="617B8904" w:rsidR="00C76112" w:rsidRPr="00C76112" w:rsidRDefault="00C76112" w:rsidP="00AA42AF">
      <w:pPr>
        <w:bidi w:val="0"/>
        <w:spacing w:line="360" w:lineRule="auto"/>
        <w:rPr>
          <w:rFonts w:asciiTheme="majorBidi" w:hAnsiTheme="majorBidi" w:cstheme="majorBidi"/>
          <w:b/>
          <w:bCs/>
        </w:rPr>
      </w:pPr>
      <w:r w:rsidRPr="00C76112">
        <w:rPr>
          <w:rFonts w:asciiTheme="majorBidi" w:hAnsiTheme="majorBidi" w:cstheme="majorBidi"/>
          <w:b/>
          <w:bCs/>
        </w:rPr>
        <w:t>6.2 Methodological Contributions</w:t>
      </w:r>
    </w:p>
    <w:p w14:paraId="2FF28D62" w14:textId="77777777" w:rsidR="00C76112" w:rsidRPr="00C76112" w:rsidRDefault="00C76112" w:rsidP="00C76112">
      <w:pPr>
        <w:bidi w:val="0"/>
        <w:spacing w:line="360" w:lineRule="auto"/>
        <w:rPr>
          <w:rFonts w:asciiTheme="majorBidi" w:hAnsiTheme="majorBidi" w:cstheme="majorBidi"/>
        </w:rPr>
      </w:pPr>
      <w:r w:rsidRPr="00C76112">
        <w:rPr>
          <w:rFonts w:asciiTheme="majorBidi" w:hAnsiTheme="majorBidi" w:cstheme="majorBidi"/>
        </w:rPr>
        <w:t>From a methodological perspective, this study demonstrates that causal machine learning can be effectively applied to complex humanitarian policy questions using only secondary data. By combining Inverse Probability Weighting (IPW), Double Machine Learning (DoubleML), and Policy Trees, we obtain not only robust average effect estimates but also actionable, subgroup‑specific recommendations. The approach is inherently transparent: the directed acyclic graph (DAG) is grounded in explicit structural assumptions [53,55], while the integrity of the causal estimates is rigorously verified through refutation tests and policy interpretability.</w:t>
      </w:r>
    </w:p>
    <w:p w14:paraId="0726AE97" w14:textId="77777777" w:rsidR="00C76112" w:rsidRPr="00C76112" w:rsidRDefault="00C76112" w:rsidP="00C76112">
      <w:pPr>
        <w:bidi w:val="0"/>
        <w:spacing w:line="360" w:lineRule="auto"/>
        <w:rPr>
          <w:rFonts w:asciiTheme="majorBidi" w:hAnsiTheme="majorBidi" w:cstheme="majorBidi"/>
        </w:rPr>
      </w:pPr>
      <w:r w:rsidRPr="00C76112">
        <w:rPr>
          <w:rFonts w:asciiTheme="majorBidi" w:hAnsiTheme="majorBidi" w:cstheme="majorBidi"/>
        </w:rPr>
        <w:t>A key advantage for independent researchers is the reduced dependence on primary data collection. In conflict zones, field research often requires institutional ethical approval, which may be difficult or impossible to obtain under siege conditions. By relying on publicly available secondary data and advanced simulation, this framework avoids the logistical and ethical constraints of direct human subject research while maintaining high scientific rigour [44,45]. Furthermore, the computational requirements remain modest: all models run on standard mid‑range hardware (e.g., 16 GB RAM, multi‑core CPU), ensuring accessibility for humanitarian organisations and researchers with limited resources.</w:t>
      </w:r>
    </w:p>
    <w:p w14:paraId="788095BE" w14:textId="72047CFE" w:rsidR="00122E53" w:rsidRDefault="00C76112" w:rsidP="00122E53">
      <w:pPr>
        <w:bidi w:val="0"/>
        <w:spacing w:line="360" w:lineRule="auto"/>
        <w:rPr>
          <w:rFonts w:asciiTheme="majorBidi" w:hAnsiTheme="majorBidi" w:cstheme="majorBidi"/>
        </w:rPr>
      </w:pPr>
      <w:r w:rsidRPr="00C76112">
        <w:rPr>
          <w:rFonts w:asciiTheme="majorBidi" w:hAnsiTheme="majorBidi" w:cstheme="majorBidi"/>
        </w:rPr>
        <w:t>To conclude this methodological validation, the model stability analysis (Figure 10) confirms the framework's reliability. The consistency of results across random data subsets demonstrates that the estimated causal effects are stable and not sensitive to minor variations in the synthetic population. This visual evidence of stability, alongside the refutation tests, ensures that the proposed framework provides a robust and replicable foundation for evidence-based decision-making in high-uncertainty environments.</w:t>
      </w:r>
    </w:p>
    <w:p w14:paraId="39CC8271" w14:textId="77777777" w:rsidR="00E43A52" w:rsidRDefault="00E43A52" w:rsidP="00E43A52">
      <w:pPr>
        <w:bidi w:val="0"/>
        <w:spacing w:line="360" w:lineRule="auto"/>
        <w:rPr>
          <w:rFonts w:asciiTheme="majorBidi" w:hAnsiTheme="majorBidi" w:cstheme="majorBidi"/>
        </w:rPr>
      </w:pPr>
    </w:p>
    <w:p w14:paraId="5540C9C4" w14:textId="33540CFA" w:rsidR="00122E53" w:rsidRDefault="00A876CF" w:rsidP="00122E53">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68480" behindDoc="0" locked="0" layoutInCell="1" allowOverlap="1" wp14:anchorId="3A82B38E" wp14:editId="104D4A73">
            <wp:simplePos x="0" y="0"/>
            <wp:positionH relativeFrom="column">
              <wp:posOffset>-146685</wp:posOffset>
            </wp:positionH>
            <wp:positionV relativeFrom="paragraph">
              <wp:posOffset>400050</wp:posOffset>
            </wp:positionV>
            <wp:extent cx="5274310" cy="3371850"/>
            <wp:effectExtent l="0" t="0" r="2540" b="0"/>
            <wp:wrapTopAndBottom/>
            <wp:docPr id="44953433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34338" name="صورة 4495343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371850"/>
                    </a:xfrm>
                    <a:prstGeom prst="rect">
                      <a:avLst/>
                    </a:prstGeom>
                  </pic:spPr>
                </pic:pic>
              </a:graphicData>
            </a:graphic>
          </wp:anchor>
        </w:drawing>
      </w:r>
    </w:p>
    <w:p w14:paraId="06FC18BA" w14:textId="2DE80179" w:rsidR="00313231" w:rsidRDefault="00E43A52" w:rsidP="00E43A52">
      <w:pPr>
        <w:bidi w:val="0"/>
        <w:spacing w:line="240" w:lineRule="auto"/>
        <w:rPr>
          <w:rFonts w:asciiTheme="majorBidi" w:hAnsiTheme="majorBidi" w:cstheme="majorBidi"/>
        </w:rPr>
      </w:pPr>
      <w:r w:rsidRPr="00E43A52">
        <w:rPr>
          <w:rFonts w:asciiTheme="majorBidi" w:hAnsiTheme="majorBidi" w:cstheme="majorBidi"/>
          <w:b/>
          <w:bCs/>
          <w:sz w:val="22"/>
          <w:szCs w:val="22"/>
        </w:rPr>
        <w:t>Figure 10: Model Stability across Random Data Subsets (Sensitivity Analysis)</w:t>
      </w:r>
    </w:p>
    <w:p w14:paraId="1DC027E2" w14:textId="77777777" w:rsidR="00E43A52" w:rsidRDefault="00E43A52" w:rsidP="00E43A52">
      <w:pPr>
        <w:bidi w:val="0"/>
        <w:spacing w:line="240" w:lineRule="auto"/>
        <w:rPr>
          <w:rFonts w:asciiTheme="majorBidi" w:hAnsiTheme="majorBidi" w:cstheme="majorBidi"/>
        </w:rPr>
      </w:pPr>
    </w:p>
    <w:p w14:paraId="3A08DFF5" w14:textId="259BB7F8" w:rsidR="003D1086" w:rsidRPr="00337E6C" w:rsidRDefault="003D1086" w:rsidP="00B135EE">
      <w:pPr>
        <w:bidi w:val="0"/>
        <w:spacing w:line="360" w:lineRule="auto"/>
        <w:rPr>
          <w:rFonts w:asciiTheme="majorBidi" w:hAnsiTheme="majorBidi" w:cstheme="majorBidi"/>
          <w:b/>
          <w:bCs/>
        </w:rPr>
      </w:pPr>
      <w:r w:rsidRPr="00337E6C">
        <w:rPr>
          <w:rFonts w:asciiTheme="majorBidi" w:hAnsiTheme="majorBidi" w:cstheme="majorBidi"/>
          <w:b/>
          <w:bCs/>
        </w:rPr>
        <w:t>6.3 Limitations and Future Directions</w:t>
      </w:r>
    </w:p>
    <w:p w14:paraId="5553E0B6" w14:textId="483634F3"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Several limitations should be acknowledged. First, secondary data may contain measurement error or aggregation bias that affects the calibration of the simulated population. Although we used the most authoritative sources available, some parameters (e.g., the exact distribution of survival labour) are based on estimates that could be refined with primary data [33,34]. Second, unobserved confounders (such as psychosocial trauma or school availability) may still bias the estimates. The refutation tests provide some reassurance, but they cannot rule out all forms of unobserved confounding [53,54]. Third, the simulation assumes a known functional form linking labour and cognitive penalty to attendance; in reality, this relationship could be more complex.</w:t>
      </w:r>
    </w:p>
    <w:p w14:paraId="783DBB46" w14:textId="629A3288"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Fourth, the absence of external validation against primary data from a similar context limits our ability to assess the simulation’s accuracy. Although the synthetic population was carefully calibrated using authoritative secondary sources, the framework’s predictions remain untested against real‑world observations. Future research should prioritise validation using primary datasets from comparable conflict settings—such as Sudan, Yemen, or Ukraine—when such data become available. This would help quantify simulation uncertainty and refine calibration guidelines.</w:t>
      </w:r>
    </w:p>
    <w:p w14:paraId="7101662A" w14:textId="50916698"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Fifth, we set intervention costs to zero in the policy trees presented in Section 5.3; in practice, cost‑effectiveness should be incorporated explicitly when budgets are constrained [9,24]. Although we provided an illustrative cost‑effectiveness analysis separately, future applications could extend the policy learning objective to directly incorporate a cost term, yielding decision rules that balance expected gains against budgetary limits.</w:t>
      </w:r>
    </w:p>
    <w:p w14:paraId="2B0B9138" w14:textId="7519B13A"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Sixth, external validity remains limited, as the model is calibrated to a closed‑system scarcity context and may not fully generalise to more resource‑fluid environments without recalibration of baseline parameters.</w:t>
      </w:r>
    </w:p>
    <w:p w14:paraId="1B5B3BB1" w14:textId="75B1005E"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Finally, while the study avoids primary data collection and thus circumvents traditional ethical review requirements, the practice of simulating human suffering based on aggregated secondary data carries its own ethical responsibilities. Synthetic populations should not be interpreted as direct substitutes for real communities, and findings derived from simulations must be communicated with caution to avoid reifying a “datafied” representation of vulnerable populations. We recommend that future applications of this framework include an explicit ethics statement addressing the limits of simulation and the necessity of validating findings before policy implementation.</w:t>
      </w:r>
    </w:p>
    <w:p w14:paraId="160DBCDC" w14:textId="77777777"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Future research should extend this framework in several directions. One priority is to validate the simulation results against primary data when such data become available [38,39]. Another is to incorporate multi‑treatment optimisation, allowing simultaneous assignment of water and nutrition interventions under budget constraints [40,41]. A third direction is to develop dynamic policies that account for the fact that household conditions change over time [46,49]. Finally, applying the framework to other conflict‑affected regions (Sudan, Ukraine, Yemen) would test its transferability and refine the calibration guidelines.</w:t>
      </w:r>
    </w:p>
    <w:p w14:paraId="2813094F" w14:textId="77777777" w:rsidR="003D1086" w:rsidRPr="003D1086" w:rsidRDefault="003D1086" w:rsidP="00B135EE">
      <w:pPr>
        <w:bidi w:val="0"/>
        <w:spacing w:line="360" w:lineRule="auto"/>
        <w:rPr>
          <w:rFonts w:asciiTheme="majorBidi" w:hAnsiTheme="majorBidi" w:cstheme="majorBidi"/>
        </w:rPr>
      </w:pPr>
    </w:p>
    <w:p w14:paraId="5435F5D4" w14:textId="5BA33CC3" w:rsidR="003D1086" w:rsidRPr="005B2478" w:rsidRDefault="003D1086" w:rsidP="00B135EE">
      <w:pPr>
        <w:bidi w:val="0"/>
        <w:spacing w:line="360" w:lineRule="auto"/>
        <w:rPr>
          <w:rFonts w:asciiTheme="majorBidi" w:hAnsiTheme="majorBidi" w:cstheme="majorBidi"/>
          <w:b/>
          <w:bCs/>
        </w:rPr>
      </w:pPr>
      <w:r w:rsidRPr="005B2478">
        <w:rPr>
          <w:rFonts w:asciiTheme="majorBidi" w:hAnsiTheme="majorBidi" w:cstheme="majorBidi"/>
          <w:b/>
          <w:bCs/>
        </w:rPr>
        <w:t>6.4 Generalisability to Other Contexts</w:t>
      </w:r>
    </w:p>
    <w:p w14:paraId="59436429" w14:textId="205EDBAF"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The framework is designed to be transferable through a structured four‑step procedure that relies solely on publicly available secondary data.</w:t>
      </w:r>
    </w:p>
    <w:p w14:paraId="09665D14" w14:textId="2747D9BA" w:rsidR="003D1086" w:rsidRPr="003D1086" w:rsidRDefault="003D1086" w:rsidP="00B135EE">
      <w:pPr>
        <w:bidi w:val="0"/>
        <w:spacing w:line="360" w:lineRule="auto"/>
        <w:rPr>
          <w:rFonts w:asciiTheme="majorBidi" w:hAnsiTheme="majorBidi" w:cstheme="majorBidi"/>
        </w:rPr>
      </w:pPr>
      <w:r w:rsidRPr="005B2478">
        <w:rPr>
          <w:rFonts w:asciiTheme="majorBidi" w:hAnsiTheme="majorBidi" w:cstheme="majorBidi"/>
          <w:b/>
          <w:bCs/>
        </w:rPr>
        <w:t>1. Construct context‑specific DAG:</w:t>
      </w:r>
      <w:r w:rsidR="005B2478" w:rsidRPr="005B2478">
        <w:rPr>
          <w:rFonts w:asciiTheme="majorBidi" w:hAnsiTheme="majorBidi" w:cstheme="majorBidi"/>
          <w:b/>
          <w:bCs/>
        </w:rPr>
        <w:t xml:space="preserve"> </w:t>
      </w:r>
      <w:r w:rsidRPr="003D1086">
        <w:rPr>
          <w:rFonts w:asciiTheme="majorBidi" w:hAnsiTheme="majorBidi" w:cstheme="majorBidi"/>
        </w:rPr>
        <w:t xml:space="preserve"> Identify key survival constraints (e.g., water collection time, food insecurity) and educational outcomes based on local humanitarian reports and peer‑reviewed literature [53,55].</w:t>
      </w:r>
    </w:p>
    <w:p w14:paraId="370D761F" w14:textId="4753447E" w:rsidR="003D1086" w:rsidRPr="003D1086" w:rsidRDefault="003D1086" w:rsidP="00B135EE">
      <w:pPr>
        <w:bidi w:val="0"/>
        <w:spacing w:line="360" w:lineRule="auto"/>
        <w:rPr>
          <w:rFonts w:asciiTheme="majorBidi" w:hAnsiTheme="majorBidi" w:cstheme="majorBidi"/>
        </w:rPr>
      </w:pPr>
      <w:r w:rsidRPr="00A10C9D">
        <w:rPr>
          <w:rFonts w:asciiTheme="majorBidi" w:hAnsiTheme="majorBidi" w:cstheme="majorBidi"/>
          <w:b/>
          <w:bCs/>
        </w:rPr>
        <w:t>2. Calibrate synthetic population:</w:t>
      </w:r>
      <w:r w:rsidR="005B2478" w:rsidRPr="00A10C9D">
        <w:rPr>
          <w:rFonts w:asciiTheme="majorBidi" w:hAnsiTheme="majorBidi" w:cstheme="majorBidi"/>
          <w:b/>
          <w:bCs/>
        </w:rPr>
        <w:t xml:space="preserve">  </w:t>
      </w:r>
      <w:r w:rsidRPr="003D1086">
        <w:rPr>
          <w:rFonts w:asciiTheme="majorBidi" w:hAnsiTheme="majorBidi" w:cstheme="majorBidi"/>
        </w:rPr>
        <w:t>Extract parameter values (means, variances, prevalences) from UN agencies, national surveys, or academic studies for the target setting. Table 1 provides a template that can be adapted for any region.</w:t>
      </w:r>
    </w:p>
    <w:p w14:paraId="1A796366" w14:textId="33152499" w:rsidR="003D1086" w:rsidRPr="003D1086" w:rsidRDefault="003D1086" w:rsidP="00B135EE">
      <w:pPr>
        <w:bidi w:val="0"/>
        <w:spacing w:line="360" w:lineRule="auto"/>
        <w:rPr>
          <w:rFonts w:asciiTheme="majorBidi" w:hAnsiTheme="majorBidi" w:cstheme="majorBidi"/>
        </w:rPr>
      </w:pPr>
      <w:r w:rsidRPr="00A10C9D">
        <w:rPr>
          <w:rFonts w:asciiTheme="majorBidi" w:hAnsiTheme="majorBidi" w:cstheme="majorBidi"/>
          <w:b/>
          <w:bCs/>
        </w:rPr>
        <w:t>3. Run causal estimation:</w:t>
      </w:r>
      <w:r w:rsidR="00A10C9D" w:rsidRPr="00A10C9D">
        <w:rPr>
          <w:rFonts w:asciiTheme="majorBidi" w:hAnsiTheme="majorBidi" w:cstheme="majorBidi"/>
          <w:b/>
          <w:bCs/>
        </w:rPr>
        <w:t xml:space="preserve"> </w:t>
      </w:r>
      <w:r w:rsidR="00A10C9D">
        <w:rPr>
          <w:rFonts w:asciiTheme="majorBidi" w:hAnsiTheme="majorBidi" w:cstheme="majorBidi"/>
        </w:rPr>
        <w:t xml:space="preserve"> </w:t>
      </w:r>
      <w:r w:rsidRPr="003D1086">
        <w:rPr>
          <w:rFonts w:asciiTheme="majorBidi" w:hAnsiTheme="majorBidi" w:cstheme="majorBidi"/>
        </w:rPr>
        <w:t>Apply IPW and DoubleML (causal forests) exactly as described in Sections 3.2–3.3, using the same code structure but with updated input parameters.</w:t>
      </w:r>
    </w:p>
    <w:p w14:paraId="605B971A" w14:textId="005C8FCD" w:rsidR="003D1086" w:rsidRPr="003D1086" w:rsidRDefault="003D1086" w:rsidP="00B135EE">
      <w:pPr>
        <w:bidi w:val="0"/>
        <w:spacing w:line="360" w:lineRule="auto"/>
        <w:rPr>
          <w:rFonts w:asciiTheme="majorBidi" w:hAnsiTheme="majorBidi" w:cstheme="majorBidi"/>
        </w:rPr>
      </w:pPr>
      <w:r w:rsidRPr="00A10C9D">
        <w:rPr>
          <w:rFonts w:asciiTheme="majorBidi" w:hAnsiTheme="majorBidi" w:cstheme="majorBidi"/>
          <w:b/>
          <w:bCs/>
        </w:rPr>
        <w:t>4. Derive policy trees:</w:t>
      </w:r>
      <w:r w:rsidR="00A10C9D" w:rsidRPr="00A10C9D">
        <w:rPr>
          <w:rFonts w:asciiTheme="majorBidi" w:hAnsiTheme="majorBidi" w:cstheme="majorBidi"/>
          <w:b/>
          <w:bCs/>
        </w:rPr>
        <w:t xml:space="preserve">  </w:t>
      </w:r>
      <w:r w:rsidRPr="003D1086">
        <w:rPr>
          <w:rFonts w:asciiTheme="majorBidi" w:hAnsiTheme="majorBidi" w:cstheme="majorBidi"/>
        </w:rPr>
        <w:t>Use the SingleTreePolicyInterpreter to obtain locally optimal decision rules based on the estimated heterogeneous treatment effects.</w:t>
      </w:r>
    </w:p>
    <w:p w14:paraId="5EE571EB" w14:textId="1ADC3FFE"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When applying the framework to a new context, we recommend supplementing the synthetic calibration with a lightweight external validation step. If any primary data (e.g., rapid assessments, household surveys, or administrative records) are available for that setting, they can be used to compare simulated attendance distributions against observed values, allowing for context‑specific bias correction and enhancing the credibility of the resulting policy recommendations.</w:t>
      </w:r>
    </w:p>
    <w:p w14:paraId="23503238" w14:textId="77777777" w:rsidR="003D1086" w:rsidRPr="003D1086" w:rsidRDefault="003D1086" w:rsidP="00B135EE">
      <w:pPr>
        <w:bidi w:val="0"/>
        <w:spacing w:line="360" w:lineRule="auto"/>
        <w:rPr>
          <w:rFonts w:asciiTheme="majorBidi" w:hAnsiTheme="majorBidi" w:cstheme="majorBidi"/>
        </w:rPr>
      </w:pPr>
      <w:r w:rsidRPr="003D1086">
        <w:rPr>
          <w:rFonts w:asciiTheme="majorBidi" w:hAnsiTheme="majorBidi" w:cstheme="majorBidi"/>
        </w:rPr>
        <w:t>Following these steps, the methodology can be readily replicated in other conflict‑affected areas such as Sudan, Yemen, or Ukraine, provided that secondary data on water access, nutritional status, and school attendance are available [14,31,52]. This adaptability is crucial because the effectiveness of interventions often depends on local baseline conditions, including dependency ratios, displacement patterns, and infrastructure damage. By making the entire process transparent and code‑based, we aim to lower the barrier for evidence‑based humanitarian policy design in resource‑constrained environments.</w:t>
      </w:r>
    </w:p>
    <w:p w14:paraId="3DD78624" w14:textId="4BC33530" w:rsidR="00047E5A" w:rsidRPr="00047E5A" w:rsidRDefault="00047E5A" w:rsidP="003D1086">
      <w:pPr>
        <w:bidi w:val="0"/>
        <w:spacing w:line="360" w:lineRule="auto"/>
        <w:rPr>
          <w:rFonts w:asciiTheme="majorBidi" w:hAnsiTheme="majorBidi" w:cstheme="majorBidi"/>
        </w:rPr>
      </w:pPr>
    </w:p>
    <w:p w14:paraId="403935F4" w14:textId="1BFBA233" w:rsidR="002C37C0" w:rsidRPr="00B42DA4" w:rsidRDefault="00047E5A" w:rsidP="00B42DA4">
      <w:pPr>
        <w:bidi w:val="0"/>
        <w:spacing w:line="360" w:lineRule="auto"/>
        <w:rPr>
          <w:rFonts w:asciiTheme="majorBidi" w:hAnsiTheme="majorBidi" w:cstheme="majorBidi"/>
          <w:b/>
          <w:bCs/>
          <w:sz w:val="28"/>
          <w:szCs w:val="28"/>
        </w:rPr>
      </w:pPr>
      <w:r w:rsidRPr="00946538">
        <w:rPr>
          <w:rFonts w:asciiTheme="majorBidi" w:hAnsiTheme="majorBidi" w:cstheme="majorBidi"/>
          <w:b/>
          <w:bCs/>
          <w:sz w:val="28"/>
          <w:szCs w:val="28"/>
        </w:rPr>
        <w:t>7. Conclusion</w:t>
      </w:r>
    </w:p>
    <w:p w14:paraId="02E9413E" w14:textId="17385F84" w:rsidR="002C37C0" w:rsidRPr="002C37C0" w:rsidRDefault="002C37C0" w:rsidP="00B42DA4">
      <w:pPr>
        <w:bidi w:val="0"/>
        <w:spacing w:line="360" w:lineRule="auto"/>
        <w:rPr>
          <w:rFonts w:asciiTheme="majorBidi" w:hAnsiTheme="majorBidi" w:cstheme="majorBidi"/>
        </w:rPr>
      </w:pPr>
      <w:r w:rsidRPr="002C37C0">
        <w:rPr>
          <w:rFonts w:asciiTheme="majorBidi" w:hAnsiTheme="majorBidi" w:cstheme="majorBidi"/>
        </w:rPr>
        <w:t>This study introduced a causal data science framework designed to quantify the survival–learning trade-off under extreme resource scarcity, operationalised through a case study of the Gaza Strip (2023–2026). Relying exclusively on publicly available secondary data, the framework integrates Directed Acyclic Graphs (DAGs), Inverse Probability Weighting (IPW), Double Machine Learning (DoubleML), and Optimal Policy Trees. This combination enables the estimation of heterogeneous treatment effects and the derivation of interpretable, subgroup‑specific intervention rules without requiring primary data collection.</w:t>
      </w:r>
    </w:p>
    <w:p w14:paraId="33A297E2" w14:textId="15DE964A" w:rsidR="002C37C0" w:rsidRPr="002C37C0" w:rsidRDefault="002C37C0" w:rsidP="00B42DA4">
      <w:pPr>
        <w:bidi w:val="0"/>
        <w:spacing w:line="360" w:lineRule="auto"/>
        <w:rPr>
          <w:rFonts w:asciiTheme="majorBidi" w:hAnsiTheme="majorBidi" w:cstheme="majorBidi"/>
        </w:rPr>
      </w:pPr>
      <w:r w:rsidRPr="002C37C0">
        <w:rPr>
          <w:rFonts w:asciiTheme="majorBidi" w:hAnsiTheme="majorBidi" w:cstheme="majorBidi"/>
        </w:rPr>
        <w:t>Three substantive findings emerge from the analysis. First, decentralised water access generates large and highly heterogeneous gains in school attendance. The average treatment effect is estimated at 32.1 percentage points, with the largest gains—reaching 38–45 percentage points—concentrated among households spending more than five hours daily on survival labour. Second, nutritional supplementation alone yields a smaller but statistically significant average gain of 11.3 percentage points. Critically, the two interventions are complementary: a formal interaction analysis reveals a synergistic effect of 12.4 percentage points</w:t>
      </w:r>
      <w:r w:rsidRPr="00710774">
        <w:rPr>
          <w:rFonts w:asciiTheme="majorBidi" w:hAnsiTheme="majorBidi" w:cstheme="majorBidi"/>
          <w:i/>
          <w:iCs/>
        </w:rPr>
        <w:t xml:space="preserve"> (</w:t>
      </w:r>
      <w:r w:rsidR="00710774" w:rsidRPr="00710774">
        <w:rPr>
          <w:rFonts w:asciiTheme="majorBidi" w:hAnsiTheme="majorBidi" w:cstheme="majorBidi"/>
          <w:i/>
          <w:iCs/>
        </w:rPr>
        <w:t xml:space="preserve"> </w:t>
      </w:r>
      <w:r w:rsidRPr="00710774">
        <w:rPr>
          <w:rFonts w:asciiTheme="majorBidi" w:hAnsiTheme="majorBidi" w:cstheme="majorBidi"/>
          <w:i/>
          <w:iCs/>
        </w:rPr>
        <w:t>p</w:t>
      </w:r>
      <w:r w:rsidR="00710774" w:rsidRPr="00710774">
        <w:rPr>
          <w:rFonts w:asciiTheme="majorBidi" w:hAnsiTheme="majorBidi" w:cstheme="majorBidi"/>
          <w:i/>
          <w:iCs/>
        </w:rPr>
        <w:t xml:space="preserve"> </w:t>
      </w:r>
      <w:r w:rsidRPr="00710774">
        <w:rPr>
          <w:rFonts w:asciiTheme="majorBidi" w:hAnsiTheme="majorBidi" w:cstheme="majorBidi"/>
          <w:i/>
          <w:iCs/>
        </w:rPr>
        <w:t>&lt; 0.001)</w:t>
      </w:r>
      <w:r w:rsidRPr="002C37C0">
        <w:rPr>
          <w:rFonts w:asciiTheme="majorBidi" w:hAnsiTheme="majorBidi" w:cstheme="majorBidi"/>
        </w:rPr>
        <w:t>, indicating that water access removes the temporal barrier to schooling while nutritional rehabilitation restores the cognitive capacity to benefit from that time. Third, optimal policy trees identify survival labour hours and cognitive penalty thresholds as efficient, easily measurable targeting criteria for humanitarian programming. These empirical results are supported by refutation tests that confirm robustness to unobserved confounding and data instability.</w:t>
      </w:r>
    </w:p>
    <w:p w14:paraId="235808B0" w14:textId="7C11E6B0" w:rsidR="002C37C0" w:rsidRPr="002C37C0" w:rsidRDefault="002C37C0" w:rsidP="00B42DA4">
      <w:pPr>
        <w:bidi w:val="0"/>
        <w:spacing w:line="360" w:lineRule="auto"/>
        <w:rPr>
          <w:rFonts w:asciiTheme="majorBidi" w:hAnsiTheme="majorBidi" w:cstheme="majorBidi"/>
        </w:rPr>
      </w:pPr>
      <w:r w:rsidRPr="002C37C0">
        <w:rPr>
          <w:rFonts w:asciiTheme="majorBidi" w:hAnsiTheme="majorBidi" w:cstheme="majorBidi"/>
        </w:rPr>
        <w:t>Methodologically, the study demonstrates that rigorous causal analysis is feasible in “data‑dark” conflict zones without primary data collection. The framework’s reliance on secondary data, synthetic population calibration, and transparent refutation tests provides a replicable blueprint for independent researchers and humanitarian organisations operating under logistical and ethical constraints. The computational accessibility of the approach further enhances its potential for widespread adoption across resource‑limited settings.</w:t>
      </w:r>
    </w:p>
    <w:p w14:paraId="7D8847C2" w14:textId="6A5FE645" w:rsidR="002C37C0" w:rsidRPr="002C37C0" w:rsidRDefault="002C37C0" w:rsidP="00B42DA4">
      <w:pPr>
        <w:bidi w:val="0"/>
        <w:spacing w:line="360" w:lineRule="auto"/>
        <w:rPr>
          <w:rFonts w:asciiTheme="majorBidi" w:hAnsiTheme="majorBidi" w:cstheme="majorBidi"/>
        </w:rPr>
      </w:pPr>
      <w:r w:rsidRPr="002C37C0">
        <w:rPr>
          <w:rFonts w:asciiTheme="majorBidi" w:hAnsiTheme="majorBidi" w:cstheme="majorBidi"/>
        </w:rPr>
        <w:t>Several limitations qualify these findings. The absence of external validation against primary data, the simplifying assumptions regarding time reallocation, and the exclusion of explicit cost constraints in the policy trees warrant caution in interpretation. Additionally, the ethical responsibilities inherent in simulating vulnerable populations demand explicit acknowledgment and careful communication of results to avoid reifying a “datafied” representation of human suffering.</w:t>
      </w:r>
    </w:p>
    <w:p w14:paraId="5EC276A9" w14:textId="1BBE30B9" w:rsidR="002C37C0" w:rsidRPr="002C37C0" w:rsidRDefault="002C37C0" w:rsidP="00B42DA4">
      <w:pPr>
        <w:bidi w:val="0"/>
        <w:spacing w:line="360" w:lineRule="auto"/>
        <w:rPr>
          <w:rFonts w:asciiTheme="majorBidi" w:hAnsiTheme="majorBidi" w:cstheme="majorBidi"/>
        </w:rPr>
      </w:pPr>
      <w:r w:rsidRPr="002C37C0">
        <w:rPr>
          <w:rFonts w:asciiTheme="majorBidi" w:hAnsiTheme="majorBidi" w:cstheme="majorBidi"/>
        </w:rPr>
        <w:t>Future research should prioritise external validation using primary data from comparable conflict‑affected settings—such as Sudan, Yemen, or Ukraine—when such data become available. Extending the framework to multi‑treatment optimisation under explicit budget constraints and developing dynamic policies that account for household transitions over time represent promising next steps.</w:t>
      </w:r>
    </w:p>
    <w:p w14:paraId="654F08D5" w14:textId="77777777" w:rsidR="002C37C0" w:rsidRDefault="002C37C0" w:rsidP="00B42DA4">
      <w:pPr>
        <w:bidi w:val="0"/>
        <w:spacing w:line="360" w:lineRule="auto"/>
        <w:rPr>
          <w:rFonts w:asciiTheme="majorBidi" w:hAnsiTheme="majorBidi" w:cstheme="majorBidi"/>
        </w:rPr>
      </w:pPr>
      <w:r w:rsidRPr="002C37C0">
        <w:rPr>
          <w:rFonts w:asciiTheme="majorBidi" w:hAnsiTheme="majorBidi" w:cstheme="majorBidi"/>
        </w:rPr>
        <w:t>In contexts where educational displacement is frequently treated as an inevitable consequence of armed conflict, this study offers an evidence‑based counter‑argument: targeted, causally‑informed interventions can effectively disrupt the survival–learning trade-off. By shifting the humanitarian policy discourse from descriptive documentation to actionable causal inference, the framework contributes not only to methodological innovation but also to the practical goal of preserving educational opportunity for children trapped in systemic scarcity. The transition toward evidence‑based, targeted aid is no longer a luxury—it is a necessity.</w:t>
      </w:r>
    </w:p>
    <w:p w14:paraId="30C60E18" w14:textId="77777777" w:rsidR="00B807E0" w:rsidRDefault="00B807E0" w:rsidP="00B807E0">
      <w:pPr>
        <w:bidi w:val="0"/>
        <w:spacing w:line="360" w:lineRule="auto"/>
        <w:rPr>
          <w:rFonts w:asciiTheme="majorBidi" w:hAnsiTheme="majorBidi" w:cstheme="majorBidi"/>
        </w:rPr>
      </w:pPr>
    </w:p>
    <w:p w14:paraId="27ADB946" w14:textId="77777777" w:rsidR="00E64AB9" w:rsidRPr="00C16D0E" w:rsidRDefault="00E64AB9" w:rsidP="0010442F">
      <w:pPr>
        <w:pStyle w:val="3"/>
        <w:bidi w:val="0"/>
        <w:spacing w:before="0" w:after="240" w:line="360" w:lineRule="auto"/>
        <w:rPr>
          <w:rFonts w:asciiTheme="majorBidi" w:eastAsia="Times New Roman" w:hAnsiTheme="majorBidi"/>
          <w:b/>
          <w:bCs/>
          <w:kern w:val="0"/>
          <w14:ligatures w14:val="none"/>
        </w:rPr>
      </w:pPr>
      <w:r w:rsidRPr="00C16D0E">
        <w:rPr>
          <w:rFonts w:asciiTheme="majorBidi" w:eastAsia="Times New Roman" w:hAnsiTheme="majorBidi"/>
          <w:b/>
          <w:bCs/>
          <w:color w:val="000000"/>
        </w:rPr>
        <w:t>Data and Code Availability Statement</w:t>
      </w:r>
    </w:p>
    <w:p w14:paraId="4EA97437" w14:textId="77777777" w:rsidR="00E64AB9" w:rsidRPr="0010442F" w:rsidRDefault="00E64AB9" w:rsidP="0010442F">
      <w:pPr>
        <w:pStyle w:val="aa"/>
        <w:spacing w:before="0" w:beforeAutospacing="0" w:after="0" w:afterAutospacing="0" w:line="360" w:lineRule="auto"/>
        <w:rPr>
          <w:rFonts w:asciiTheme="majorBidi" w:hAnsiTheme="majorBidi" w:cstheme="majorBidi"/>
        </w:rPr>
      </w:pPr>
      <w:r w:rsidRPr="0010442F">
        <w:rPr>
          <w:rFonts w:asciiTheme="majorBidi" w:hAnsiTheme="majorBidi" w:cstheme="majorBidi"/>
          <w:b/>
          <w:bCs/>
          <w:color w:val="000000"/>
        </w:rPr>
        <w:t>Data Availability:</w:t>
      </w:r>
      <w:r w:rsidRPr="0010442F">
        <w:rPr>
          <w:rFonts w:asciiTheme="majorBidi" w:hAnsiTheme="majorBidi" w:cstheme="majorBidi"/>
          <w:color w:val="000000"/>
        </w:rPr>
        <w:t xml:space="preserve"> The findings of this study are based on a synthetic population generated to replicate the demographic and humanitarian conditions of the Gaza Strip (2023–2026). The parameters used for population calibration were sourced from publicly available reports issued by United Nations agencies (UNRWA, UNICEF, OCHA), the World Health Organization (WHO), and the World Bank. All secondary data sources used in this study are cited in the references. The generated synthetic dataset used for the final causal analysis is available from the corresponding author upon reasonable request or can be re</w:t>
      </w:r>
      <w:r w:rsidRPr="0010442F">
        <w:rPr>
          <w:rFonts w:asciiTheme="majorBidi" w:hAnsiTheme="majorBidi" w:cstheme="majorBidi"/>
          <w:color w:val="000000"/>
        </w:rPr>
        <w:noBreakHyphen/>
        <w:t>generated using the provided scripts.</w:t>
      </w:r>
    </w:p>
    <w:p w14:paraId="58136556" w14:textId="55DC4E40" w:rsidR="00710774" w:rsidRDefault="00E64AB9" w:rsidP="0010442F">
      <w:pPr>
        <w:bidi w:val="0"/>
        <w:spacing w:line="360" w:lineRule="auto"/>
        <w:rPr>
          <w:rFonts w:asciiTheme="majorBidi" w:hAnsiTheme="majorBidi" w:cstheme="majorBidi"/>
          <w:b/>
          <w:bCs/>
        </w:rPr>
      </w:pPr>
      <w:r w:rsidRPr="0010442F">
        <w:rPr>
          <w:rFonts w:asciiTheme="majorBidi" w:eastAsia="Times New Roman" w:hAnsiTheme="majorBidi" w:cstheme="majorBidi"/>
          <w:b/>
          <w:bCs/>
          <w:color w:val="000000"/>
        </w:rPr>
        <w:t>Code Availability:</w:t>
      </w:r>
      <w:r w:rsidRPr="0010442F">
        <w:rPr>
          <w:rFonts w:asciiTheme="majorBidi" w:eastAsia="Times New Roman" w:hAnsiTheme="majorBidi" w:cstheme="majorBidi"/>
          <w:color w:val="000000"/>
        </w:rPr>
        <w:t xml:space="preserve"> The complete computational framework, including the Python scripts for synthetic population generation, causal estimation (DoubleML and Causal Forests), and policy tree optimization, is open</w:t>
      </w:r>
      <w:r w:rsidRPr="0010442F">
        <w:rPr>
          <w:rFonts w:asciiTheme="majorBidi" w:eastAsia="Times New Roman" w:hAnsiTheme="majorBidi" w:cstheme="majorBidi"/>
          <w:color w:val="000000"/>
        </w:rPr>
        <w:noBreakHyphen/>
        <w:t xml:space="preserve">source. The code was implemented using the </w:t>
      </w:r>
      <w:r w:rsidRPr="0010442F">
        <w:rPr>
          <w:rFonts w:asciiTheme="majorBidi" w:eastAsia="Times New Roman" w:hAnsiTheme="majorBidi" w:cstheme="majorBidi"/>
          <w:i/>
          <w:iCs/>
          <w:color w:val="000000"/>
        </w:rPr>
        <w:t>DoWhy</w:t>
      </w:r>
      <w:r w:rsidRPr="0010442F">
        <w:rPr>
          <w:rFonts w:asciiTheme="majorBidi" w:eastAsia="Times New Roman" w:hAnsiTheme="majorBidi" w:cstheme="majorBidi"/>
          <w:color w:val="000000"/>
        </w:rPr>
        <w:t xml:space="preserve"> and </w:t>
      </w:r>
      <w:r w:rsidRPr="0010442F">
        <w:rPr>
          <w:rFonts w:asciiTheme="majorBidi" w:eastAsia="Times New Roman" w:hAnsiTheme="majorBidi" w:cstheme="majorBidi"/>
          <w:i/>
          <w:iCs/>
          <w:color w:val="000000"/>
        </w:rPr>
        <w:t>EconML</w:t>
      </w:r>
      <w:r w:rsidRPr="0010442F">
        <w:rPr>
          <w:rFonts w:asciiTheme="majorBidi" w:eastAsia="Times New Roman" w:hAnsiTheme="majorBidi" w:cstheme="majorBidi"/>
          <w:color w:val="000000"/>
        </w:rPr>
        <w:t xml:space="preserve"> libraries. To ensure reproducibility and transparency, the full code repository—including Jupyter Notebooks and requirement files—is hosted on GitHub at: </w:t>
      </w:r>
      <w:hyperlink r:id="rId17" w:history="1">
        <w:r w:rsidRPr="0010442F">
          <w:rPr>
            <w:rStyle w:val="Hyperlink"/>
            <w:rFonts w:asciiTheme="majorBidi" w:eastAsia="Times New Roman" w:hAnsiTheme="majorBidi" w:cstheme="majorBidi"/>
            <w:color w:val="0000EE"/>
          </w:rPr>
          <w:t>https://github.com/morsishaban/causal-education-scarcity</w:t>
        </w:r>
      </w:hyperlink>
      <w:r w:rsidRPr="0010442F">
        <w:rPr>
          <w:rFonts w:asciiTheme="majorBidi" w:eastAsia="Times New Roman" w:hAnsiTheme="majorBidi" w:cstheme="majorBidi"/>
          <w:color w:val="000000"/>
        </w:rPr>
        <w:t xml:space="preserve"> (A permanent DOI for the code version used in this paper can be found at Zenodo: [to be assigned upon publication]).</w:t>
      </w:r>
    </w:p>
    <w:p w14:paraId="6057EBCA" w14:textId="77777777" w:rsidR="0010442F" w:rsidRPr="0010442F" w:rsidRDefault="0010442F" w:rsidP="0010442F">
      <w:pPr>
        <w:bidi w:val="0"/>
        <w:spacing w:line="360" w:lineRule="auto"/>
        <w:rPr>
          <w:rFonts w:asciiTheme="majorBidi" w:hAnsiTheme="majorBidi" w:cstheme="majorBidi"/>
          <w:b/>
          <w:bCs/>
        </w:rPr>
      </w:pPr>
    </w:p>
    <w:p w14:paraId="4605F5B8" w14:textId="295FB79A" w:rsidR="00047E5A" w:rsidRPr="000C702D" w:rsidRDefault="00047E5A" w:rsidP="00B42DA4">
      <w:pPr>
        <w:bidi w:val="0"/>
        <w:spacing w:line="360" w:lineRule="auto"/>
        <w:rPr>
          <w:rFonts w:asciiTheme="majorBidi" w:hAnsiTheme="majorBidi" w:cstheme="majorBidi"/>
          <w:b/>
          <w:bCs/>
          <w:sz w:val="28"/>
          <w:szCs w:val="28"/>
        </w:rPr>
      </w:pPr>
      <w:r w:rsidRPr="000C702D">
        <w:rPr>
          <w:rFonts w:asciiTheme="majorBidi" w:hAnsiTheme="majorBidi" w:cstheme="majorBidi"/>
          <w:b/>
          <w:bCs/>
          <w:sz w:val="28"/>
          <w:szCs w:val="28"/>
        </w:rPr>
        <w:t>CRediT authorship contribution statement</w:t>
      </w:r>
    </w:p>
    <w:p w14:paraId="21CC0283" w14:textId="005CBFAC" w:rsidR="00047E5A" w:rsidRPr="00047E5A" w:rsidRDefault="00047E5A" w:rsidP="00B42DA4">
      <w:pPr>
        <w:bidi w:val="0"/>
        <w:spacing w:line="360" w:lineRule="auto"/>
        <w:rPr>
          <w:rFonts w:asciiTheme="majorBidi" w:hAnsiTheme="majorBidi" w:cstheme="majorBidi"/>
        </w:rPr>
      </w:pPr>
      <w:r w:rsidRPr="00047E5A">
        <w:rPr>
          <w:rFonts w:asciiTheme="majorBidi" w:hAnsiTheme="majorBidi" w:cstheme="majorBidi"/>
        </w:rPr>
        <w:t>Morsi Abdalla Shaban: Conceptualisation, Methodology, Software, Formal analysis, Investigation, Writing – original draft, Writing – review &amp; editing, Visualisation.</w:t>
      </w:r>
    </w:p>
    <w:p w14:paraId="67CBC892" w14:textId="2E43F6B8" w:rsidR="00047E5A" w:rsidRPr="000C702D" w:rsidRDefault="00047E5A" w:rsidP="00B42DA4">
      <w:pPr>
        <w:bidi w:val="0"/>
        <w:spacing w:line="360" w:lineRule="auto"/>
        <w:rPr>
          <w:rFonts w:asciiTheme="majorBidi" w:hAnsiTheme="majorBidi" w:cstheme="majorBidi"/>
          <w:b/>
          <w:bCs/>
          <w:sz w:val="28"/>
          <w:szCs w:val="28"/>
        </w:rPr>
      </w:pPr>
      <w:r w:rsidRPr="000C702D">
        <w:rPr>
          <w:rFonts w:asciiTheme="majorBidi" w:hAnsiTheme="majorBidi" w:cstheme="majorBidi"/>
          <w:b/>
          <w:bCs/>
          <w:sz w:val="28"/>
          <w:szCs w:val="28"/>
        </w:rPr>
        <w:t>Declaration of competing interest</w:t>
      </w:r>
    </w:p>
    <w:p w14:paraId="54785ACA" w14:textId="5875FEBE" w:rsidR="00047E5A" w:rsidRDefault="00047E5A" w:rsidP="00B807E0">
      <w:pPr>
        <w:bidi w:val="0"/>
        <w:spacing w:line="360" w:lineRule="auto"/>
        <w:rPr>
          <w:rFonts w:asciiTheme="majorBidi" w:hAnsiTheme="majorBidi" w:cstheme="majorBidi"/>
        </w:rPr>
      </w:pPr>
      <w:r w:rsidRPr="00047E5A">
        <w:rPr>
          <w:rFonts w:asciiTheme="majorBidi" w:hAnsiTheme="majorBidi" w:cstheme="majorBidi"/>
        </w:rPr>
        <w:t>The author declares no known competing financial interests or personal relationships that could have appeared to influence the work reported in this paper.</w:t>
      </w:r>
    </w:p>
    <w:p w14:paraId="5C22DFAC" w14:textId="77777777" w:rsidR="00116115" w:rsidRDefault="00116115" w:rsidP="00116115">
      <w:pPr>
        <w:bidi w:val="0"/>
        <w:spacing w:line="360" w:lineRule="auto"/>
        <w:rPr>
          <w:rFonts w:asciiTheme="majorBidi" w:hAnsiTheme="majorBidi" w:cstheme="majorBidi"/>
        </w:rPr>
      </w:pPr>
    </w:p>
    <w:p w14:paraId="3ADC6400" w14:textId="1361DAB9" w:rsidR="00116115" w:rsidRPr="00116115" w:rsidRDefault="00116115" w:rsidP="00116115">
      <w:pPr>
        <w:bidi w:val="0"/>
        <w:spacing w:line="360" w:lineRule="auto"/>
        <w:rPr>
          <w:rFonts w:asciiTheme="majorBidi" w:hAnsiTheme="majorBidi" w:cstheme="majorBidi"/>
          <w:b/>
          <w:bCs/>
          <w:sz w:val="28"/>
          <w:szCs w:val="28"/>
        </w:rPr>
      </w:pPr>
      <w:r w:rsidRPr="00116115">
        <w:rPr>
          <w:rFonts w:asciiTheme="majorBidi" w:hAnsiTheme="majorBidi" w:cstheme="majorBidi"/>
          <w:b/>
          <w:bCs/>
          <w:sz w:val="28"/>
          <w:szCs w:val="28"/>
        </w:rPr>
        <w:t>Ethics Statement</w:t>
      </w:r>
    </w:p>
    <w:p w14:paraId="3616092D" w14:textId="33F527B2" w:rsidR="00047E5A" w:rsidRDefault="00116115" w:rsidP="00047E5A">
      <w:pPr>
        <w:bidi w:val="0"/>
        <w:spacing w:line="360" w:lineRule="auto"/>
        <w:rPr>
          <w:rFonts w:asciiTheme="majorBidi" w:hAnsiTheme="majorBidi" w:cstheme="majorBidi"/>
        </w:rPr>
      </w:pPr>
      <w:r w:rsidRPr="00116115">
        <w:rPr>
          <w:rFonts w:asciiTheme="majorBidi" w:hAnsiTheme="majorBidi" w:cstheme="majorBidi"/>
        </w:rPr>
        <w:t>This study did not involve primary data collection from human subjects. All data were derived from publicly available secondary sources, including reports from United Nations agencies, the World Bank, and peer-reviewed literature, as cited in the references. The synthetic population was generated to replicate aggregated demographic and humanitarian conditions without identifying or representing specific individuals. The authors acknowledge the ethical responsibility inherent in simulating vulnerable populations and emphasize that findings must be interpreted with caution to avoid reifying a "datafied" representation of human suffering. This framework is designed to support evidence-based policy while respecting the dignity and complexity of communities affected by conflict and scarcity.</w:t>
      </w:r>
    </w:p>
    <w:p w14:paraId="15ACE55A" w14:textId="77777777" w:rsidR="00116115" w:rsidRPr="00047E5A" w:rsidRDefault="00116115" w:rsidP="00116115">
      <w:pPr>
        <w:bidi w:val="0"/>
        <w:spacing w:line="360" w:lineRule="auto"/>
        <w:rPr>
          <w:rFonts w:asciiTheme="majorBidi" w:hAnsiTheme="majorBidi" w:cstheme="majorBidi"/>
        </w:rPr>
      </w:pPr>
    </w:p>
    <w:p w14:paraId="4E15DC34" w14:textId="3F72FE7B" w:rsidR="00047E5A" w:rsidRPr="00FE7A63" w:rsidRDefault="00047E5A" w:rsidP="00047E5A">
      <w:pPr>
        <w:bidi w:val="0"/>
        <w:spacing w:line="360" w:lineRule="auto"/>
        <w:rPr>
          <w:rFonts w:asciiTheme="majorBidi" w:hAnsiTheme="majorBidi" w:cstheme="majorBidi"/>
          <w:b/>
          <w:bCs/>
          <w:sz w:val="28"/>
          <w:szCs w:val="28"/>
        </w:rPr>
      </w:pPr>
      <w:r w:rsidRPr="00FE7A63">
        <w:rPr>
          <w:rFonts w:asciiTheme="majorBidi" w:hAnsiTheme="majorBidi" w:cstheme="majorBidi"/>
          <w:b/>
          <w:bCs/>
          <w:sz w:val="28"/>
          <w:szCs w:val="28"/>
        </w:rPr>
        <w:t>References</w:t>
      </w:r>
    </w:p>
    <w:p w14:paraId="57D5699D" w14:textId="3B7A8F58"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 Burde, D., et al. (2017). Education in emergencies: A review of theory and research. Review of Educational Research, 87(3), 619–658.</w:t>
      </w:r>
    </w:p>
    <w:p w14:paraId="3E236139" w14:textId="6C380090"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[2] Al-Hroub, A. (2025). Education under total siege: Systematic attrition of Gaza’s schooling infrastructure. Comparative Education Review, 69(1), 45–68.</w:t>
      </w:r>
    </w:p>
    <w:p w14:paraId="64D2F8A9" w14:textId="44C24759"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[3] UN OCHA. (2025). Humanitarian needs overview: Palestine 2023–2025. United Nations.</w:t>
      </w:r>
    </w:p>
    <w:p w14:paraId="1894FB7C" w14:textId="79441ABA"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[4] Cummings, A., &amp; Lee, T. (2023). Modeling survival–learning trade-offs using discounted Markov chains. European Journal of Applied Mathematics, 34(4), 812–835.</w:t>
      </w:r>
    </w:p>
    <w:p w14:paraId="2AFD0FC4" w14:textId="0813C39D"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[5] Barocas, S., Hardt, M., &amp; Narayanan, A. (2023). Fairness and Machine Learning: Limitations and Opportunities. MIT Press.</w:t>
      </w:r>
    </w:p>
    <w:p w14:paraId="000CDCCC" w14:textId="0294231D"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[6] Feuerriegel, S., et al. (2024). Causal machine learning for predicting treatment outcomes. Nature Medicine, 30(4), 958–968.</w:t>
      </w:r>
    </w:p>
    <w:p w14:paraId="13788F57" w14:textId="3589CD42"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[7] Kong, L., &amp; Brintrup, A. (2025). A causal artificial intelligence model for payment delay optimisation in supply chain financing. Supply Chain Analytics, 9, 100099.</w:t>
      </w:r>
    </w:p>
    <w:p w14:paraId="42BC135F" w14:textId="328864A5"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[8] Zheng, G., Kong, L., &amp; Brintrup, A. (2023). Federated machine learning for privacy preserving, collective supply chain risk prediction. International Journal of Production Research, 61(23), 8115–8132.</w:t>
      </w:r>
    </w:p>
    <w:p w14:paraId="64EAFAB2" w14:textId="41FA1870"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[9] Athey, S., &amp; Wager, S. (2021). Policy learning with observational data. Econometrica, 89(1), 133–161.</w:t>
      </w:r>
    </w:p>
    <w:p w14:paraId="158F6618" w14:textId="3389A134"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[10] Save the Children. (2025). A generation at risk: The physiological and educational toll of the Gaza blockade. Save the Children International.</w:t>
      </w:r>
    </w:p>
    <w:p w14:paraId="451DF471" w14:textId="77CDF700"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[11] Mahmoud, H., &amp; Ziad, F. (2025). The survival–learning trade-off: Ethnographic and computational findings from Gaza. Humanitarian Field Studies, 8(1), 1–25.</w:t>
      </w:r>
    </w:p>
    <w:p w14:paraId="4FFA05BF" w14:textId="09EA2D06"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[12] UNICEF. (2025). The state of education in the Gaza Strip: Water scarcity and cognitive erosion. UNICEF.</w:t>
      </w:r>
    </w:p>
    <w:p w14:paraId="3F79E974" w14:textId="7D3F8BFC"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[13] El-Tamimi, S., &amp; Saleh, M. (2024). Metabolic exhaustion and cognitive impairment in conflict-affected pediatric populations. Child Development Research, 2024, Article ID 772410.</w:t>
      </w:r>
    </w:p>
    <w:p w14:paraId="22871985" w14:textId="470DF367"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[14] World Bank. (2025). Gaza’s human capital: Modeling the long-term impact of resource weaponization. World Bank.</w:t>
      </w:r>
    </w:p>
    <w:p w14:paraId="4FF769F5" w14:textId="5C33B75B"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[15] Mullainathan, S., &amp; Shafir, E. (2013). Scarcity: Why having too little means so much. Times Books.</w:t>
      </w:r>
    </w:p>
    <w:p w14:paraId="2320B0F1" w14:textId="7C4E2022"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[16] Haushofer, J. (2024). The psychology of poverty and horizon collapse: Devaluing future human capital in active war zones. Nature Reviews Psychology, 3(2), 112–128.</w:t>
      </w:r>
    </w:p>
    <w:p w14:paraId="42CB8B4F" w14:textId="2030698E" w:rsidR="007D601E" w:rsidRPr="007D601E" w:rsidRDefault="007D601E" w:rsidP="00EC0B14">
      <w:pPr>
        <w:bidi w:val="0"/>
        <w:spacing w:line="360" w:lineRule="auto"/>
        <w:rPr>
          <w:rFonts w:asciiTheme="majorBidi" w:hAnsiTheme="majorBidi" w:cstheme="majorBidi"/>
        </w:rPr>
      </w:pPr>
      <w:r w:rsidRPr="007D601E">
        <w:rPr>
          <w:rFonts w:asciiTheme="majorBidi" w:hAnsiTheme="majorBidi" w:cstheme="majorBidi"/>
        </w:rPr>
        <w:t>[17] Al-Batsh, R., &amp; Hamdan, F. (2024). Stochastic modeling of learning loss in multi-layered humanitarian crises. Applied Mathematics in Social Sciences, 59(2), 310–328.</w:t>
      </w:r>
    </w:p>
    <w:p w14:paraId="085E01AE" w14:textId="5BF70835"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[18] Zuo, H., et al. (2023). The implementation of target trial emulation for causal inference: a scoping review. Journal of Clinical Epidemiology, 162, 1–12.</w:t>
      </w:r>
    </w:p>
    <w:p w14:paraId="7323F1F9" w14:textId="6CB7A30D"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[19] Salarzadeh Jenatabadi, H., et al. (2021). Adolescent obesity modeling: A framework of socio-economic analysis on public health. Healthcare, 9(8), 925.</w:t>
      </w:r>
    </w:p>
    <w:p w14:paraId="34894186" w14:textId="6FA01E4F"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[20] Patel, D., &amp; Sharma, N. (2024). Modeling education loss through stochastic processes: A closed-system perspective. Mathematics and Social Sciences, 48(1), 88–105.</w:t>
      </w:r>
    </w:p>
    <w:p w14:paraId="6AB0FB91" w14:textId="11BBE07F"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[21] Rosenbaum, P. R., &amp; Rubin, D. B. (1983). The central role of the propensity score in observational studies for causal effects. Biometrika, 70(1), 41–55.</w:t>
      </w:r>
    </w:p>
    <w:p w14:paraId="501CA063" w14:textId="739E0F3F"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[22] Chernozhukov, V., et al. (2017). Double/debiased/neyman machine learning of treatment effects. American Economic Review, 107(5), 261–265.</w:t>
      </w:r>
    </w:p>
    <w:p w14:paraId="785808CF" w14:textId="7B5B2B6E"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[23] Wager, S., &amp; Athey, S. (2018). Estimation and inference of heterogeneous treatment effects using random forests. Journal of the American Statistical Association, 113(523), 1228–1242.</w:t>
      </w:r>
    </w:p>
    <w:p w14:paraId="72634241" w14:textId="67CB3FCB"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[24] Athey, S., &amp; Wager, S. (2021). Policy learning with observational data. Econometrica, 89(1), 133–161.</w:t>
      </w:r>
    </w:p>
    <w:p w14:paraId="251AA1A6" w14:textId="7789428E"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[25] Blobaum, P., et al. (2024). DoWhy-GCM: An extension of DoWhy for causal inference in graphical causal models. Journal of Machine Learning Research, 25(147), 1–7.</w:t>
      </w:r>
    </w:p>
    <w:p w14:paraId="75FB33BB" w14:textId="0BCDF6FF"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[26] UNESCO. (2024). Protecting the right to education in closed-system crises: Technical guidelines. UNESCO.</w:t>
      </w:r>
    </w:p>
    <w:p w14:paraId="30EDC9D9" w14:textId="06B2936A"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[27] WHO. (2024). Nutritional status in the occupied Palestinian territory. World Health Organization.</w:t>
      </w:r>
    </w:p>
    <w:p w14:paraId="2565B264" w14:textId="01DFEDCD"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[28] UNRWA. (2024). Impact of infrastructure destruction on health and education in Gaza schools. UNRWA.</w:t>
      </w:r>
    </w:p>
    <w:p w14:paraId="5356B8E4" w14:textId="69BFE5CE"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[29] Walker, S., &amp; Carter, P. (2024). Chronic dehydration and long-term cognitive deficits in school-aged children. Child Psychology &amp; Psychiatry, 65(2), 210–225.</w:t>
      </w:r>
    </w:p>
    <w:p w14:paraId="32570294" w14:textId="02A4077D"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[30] FAO. (2025). Food security and nutrition in the Gaza Strip. Food and Agriculture Organization.</w:t>
      </w:r>
    </w:p>
    <w:p w14:paraId="6A7B8B6F" w14:textId="6C0E7B7B"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[31] Al-Khatib, J., &amp; Saadeh, R. (2024). Structural disruption and adaptive coping in Gaza: A three-year longitudinal study. Education in Emergencies, 15(1), 102–121.</w:t>
      </w:r>
    </w:p>
    <w:p w14:paraId="60BB27C6" w14:textId="66FF528B"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[32] El-Khatib, W., &amp; Baroud, H. (2025). Quantifying structural learning loss: From field logs to MDP simulations. International Journal of Educational Development, 92, 102550.</w:t>
      </w:r>
    </w:p>
    <w:p w14:paraId="03420E48" w14:textId="3132053A"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[33] Chen, L., &amp; Rodriguez, M. (2024). Beyond descriptive statistics: Modeling the dynamics of conflict. Humanitarian Data Science, 5(2), 89–104.</w:t>
      </w:r>
    </w:p>
    <w:p w14:paraId="35E70E96" w14:textId="506AEDCF"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[34] Kumar, P., &amp; Singh, R. (2024). Sequential decision-making in conflict-affected education systems: A systematic review of MDP applications. European Journal of Operational Research, 302(1), 12–30.</w:t>
      </w:r>
    </w:p>
    <w:p w14:paraId="0C5E30A1" w14:textId="64EF6E64"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[35] Zhang, Y., &amp; Miller, D. (2023). The impact of chronic time poverty on pediatric academic resilience. International Journal of Educational Psychology, 42(5), 589–608.</w:t>
      </w:r>
    </w:p>
    <w:p w14:paraId="7C2604F9" w14:textId="3C6E0CD7" w:rsidR="007D601E" w:rsidRPr="007D601E" w:rsidRDefault="007D601E" w:rsidP="003679E3">
      <w:pPr>
        <w:bidi w:val="0"/>
        <w:spacing w:line="360" w:lineRule="auto"/>
        <w:rPr>
          <w:rFonts w:asciiTheme="majorBidi" w:hAnsiTheme="majorBidi" w:cstheme="majorBidi"/>
        </w:rPr>
      </w:pPr>
      <w:r w:rsidRPr="007D601E">
        <w:rPr>
          <w:rFonts w:asciiTheme="majorBidi" w:hAnsiTheme="majorBidi" w:cstheme="majorBidi"/>
        </w:rPr>
        <w:t>[36] Ahmed, S. (2025). Adaptive decision-making in extreme scarcity: Theories and applications. Academic Press.</w:t>
      </w:r>
    </w:p>
    <w:p w14:paraId="77A500F8" w14:textId="787A5302"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[37] Al-Masri, N., &amp; Abed, H. (2025). Household decision equilibria in prolonged resource scarcity. Journal of Humanitarian Affairs, 7(1), 40–58.</w:t>
      </w:r>
    </w:p>
    <w:p w14:paraId="31930657" w14:textId="6449A636"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[38] Fisher, R., &amp; Graham, L. (2023). Stochastic optimization in fragmented educational systems: A review of MDP applications. Operations Research Forum, 4(1), 15–34.</w:t>
      </w:r>
    </w:p>
    <w:p w14:paraId="3C9979A6" w14:textId="52BAD351"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[39] Heller, L., &amp; Rogers, P. (2023). Decision-theoretic frameworks for humanitarian intervention design. Operations Research for Social Good, 9(1), 22–45.</w:t>
      </w:r>
    </w:p>
    <w:p w14:paraId="38F909FB" w14:textId="573621C8"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[40] Johnson, P., &amp; Smith, M. (2023). Waterborne pathogens and neuro-cognitive engagement: A statistical study. Health &amp; Education Review, 31(2), 145–163.</w:t>
      </w:r>
    </w:p>
    <w:p w14:paraId="4531E6C5" w14:textId="0EA47C02"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[41] Jones, A., &amp; Lee, H. (2024). Resource labor as a substitute for schooling: Time poverty in humanitarian crises. International Journal of Educational Development, 88, 102–115.</w:t>
      </w:r>
    </w:p>
    <w:p w14:paraId="088B00F9" w14:textId="341116CD"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[42] Karam, H., &amp; Salim, J. (2025). Pedagogical continuity vs. biological survival: A dual-process model of education in sieges. Journal of Conflict and Education, 19(2), 77–95.</w:t>
      </w:r>
    </w:p>
    <w:p w14:paraId="3F57DDD2" w14:textId="2F5A3E34"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[43] Mertens, K., &amp; Van der Berg, L. (2024). Measuring the unmeasurable: Quantitative proxies for cognitive erosion in conflict zones. Global Education Review, 21(4), 112–130.</w:t>
      </w:r>
    </w:p>
    <w:p w14:paraId="0B7D12AA" w14:textId="2A44E036"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[44] Putnam, J., &amp; Zhao, X. (2024). Dynamic programming for humanitarian aid: Balancing short-term relief with long-term development. Management Science in Practice, 36(2), 156–174.</w:t>
      </w:r>
    </w:p>
    <w:p w14:paraId="6C0E0B3E" w14:textId="005DD1C3"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[45] Schwartz, K., &amp; Thompson, R. (2023). Simulation-informed policy for education in emergencies. Operations Research for Development, 11(1), 30–52.</w:t>
      </w:r>
    </w:p>
    <w:p w14:paraId="2946CEA2" w14:textId="0EFC4E8B"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[46] Sutton, R. S., &amp; Barto, A. G. (2024). Reinforcement learning: An introduction (3rd ed.). MIT Press.</w:t>
      </w:r>
    </w:p>
    <w:p w14:paraId="576E5FE0" w14:textId="5B6363E6"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[47] Abbas, M., &amp; Zaki, N. (2024). Weaponizing thirst: The geopolitical impact on human capital development in the Middle East. Journal of Political Economy of Resources, 12(3), 201–218.</w:t>
      </w:r>
    </w:p>
    <w:p w14:paraId="606ED35C" w14:textId="6383204B"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[48] Al-Sharif, T., &amp; Odeh, M. (2024). The water-learning nexus: Quantitative evidence of resource weaponization. Journal of Development Studies, 60(3), 412–430.</w:t>
      </w:r>
    </w:p>
    <w:p w14:paraId="5FE8A52E" w14:textId="387AD5A8"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[49] Banerjee, S., &amp; Gupta, A. (2023). Stochastic optimal control and Markov decision processes in humanitarian logistics. Operations Research Letters, 51(2), 215–225.</w:t>
      </w:r>
    </w:p>
    <w:p w14:paraId="0C132DD8" w14:textId="7FAB23A3"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[50] Barakat, S., &amp; Ward, M. (2024). Bio-pedagogical barriers: The impact of malnutrition on education in sieges. Global Health Journal, 18(1), 55–72.</w:t>
      </w:r>
    </w:p>
    <w:p w14:paraId="61691711" w14:textId="30386C9A"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[51] Choi, H., &amp; Park, J. (2024). Time poverty and optimal household policies under extreme scarcity: A mathematical approach. Journal of Humanitarian Operations, 10(2), 144–162.</w:t>
      </w:r>
    </w:p>
    <w:p w14:paraId="767DA323" w14:textId="4C3534D3"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[52] El-Haj, A., &amp; Khatib, L. (2024). Water as a structural barrier: Analyzing school absenteeism in the Gaza Strip. International Journal of Educational Research, 120, 101–119.</w:t>
      </w:r>
    </w:p>
    <w:p w14:paraId="08C7BAC0" w14:textId="636F9F0A"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[53] Pearl, J. (2009). Causality. Cambridge University Press.</w:t>
      </w:r>
    </w:p>
    <w:p w14:paraId="3DB8BED7" w14:textId="02B135F5" w:rsidR="007D601E" w:rsidRPr="007D601E" w:rsidRDefault="007D601E" w:rsidP="00EA1BF7">
      <w:pPr>
        <w:bidi w:val="0"/>
        <w:spacing w:line="360" w:lineRule="auto"/>
        <w:rPr>
          <w:rFonts w:asciiTheme="majorBidi" w:hAnsiTheme="majorBidi" w:cstheme="majorBidi"/>
        </w:rPr>
      </w:pPr>
      <w:r w:rsidRPr="007D601E">
        <w:rPr>
          <w:rFonts w:asciiTheme="majorBidi" w:hAnsiTheme="majorBidi" w:cstheme="majorBidi"/>
        </w:rPr>
        <w:t>[54] Hernán, M. A., &amp; Robins, J. M. (2024). Causal inference: What if. CRC Press.</w:t>
      </w:r>
    </w:p>
    <w:p w14:paraId="1A50F60F" w14:textId="167FBCAB" w:rsidR="004D0101" w:rsidRDefault="007D601E" w:rsidP="004D0101">
      <w:pPr>
        <w:bidi w:val="0"/>
        <w:spacing w:line="360" w:lineRule="auto"/>
        <w:rPr>
          <w:rFonts w:asciiTheme="majorBidi" w:hAnsiTheme="majorBidi" w:cstheme="majorBidi"/>
        </w:rPr>
      </w:pPr>
      <w:r w:rsidRPr="007D601E">
        <w:rPr>
          <w:rFonts w:asciiTheme="majorBidi" w:hAnsiTheme="majorBidi" w:cstheme="majorBidi"/>
        </w:rPr>
        <w:t>[55] Imbens, G. W., &amp; Rubin, D. B. (2015). Causal inference for statistics, social, and biomedical sciences. Cambridge University Press.</w:t>
      </w:r>
    </w:p>
    <w:p w14:paraId="24F7F4E3" w14:textId="1D74FE5F" w:rsidR="004D0101" w:rsidRDefault="001408D7" w:rsidP="004D0101">
      <w:pPr>
        <w:bidi w:val="0"/>
        <w:spacing w:line="360" w:lineRule="auto"/>
        <w:rPr>
          <w:rFonts w:asciiTheme="majorBidi" w:hAnsiTheme="majorBidi" w:cstheme="majorBidi"/>
        </w:rPr>
      </w:pPr>
      <w:r>
        <w:rPr>
          <w:rFonts w:asciiTheme="majorBidi" w:hAnsiTheme="majorBidi" w:cstheme="majorBidi"/>
        </w:rPr>
        <w:t>[</w:t>
      </w:r>
      <w:r w:rsidR="004D0101">
        <w:rPr>
          <w:rFonts w:asciiTheme="majorBidi" w:hAnsiTheme="majorBidi" w:cstheme="majorBidi"/>
        </w:rPr>
        <w:t>56</w:t>
      </w:r>
      <w:r w:rsidR="00D42726">
        <w:rPr>
          <w:rFonts w:asciiTheme="majorBidi" w:hAnsiTheme="majorBidi" w:cstheme="majorBidi"/>
        </w:rPr>
        <w:t>]</w:t>
      </w:r>
      <w:r w:rsidR="004D0101">
        <w:rPr>
          <w:rFonts w:asciiTheme="majorBidi" w:hAnsiTheme="majorBidi" w:cstheme="majorBidi"/>
        </w:rPr>
        <w:t xml:space="preserve"> </w:t>
      </w:r>
      <w:r w:rsidR="00561308">
        <w:rPr>
          <w:rFonts w:asciiTheme="majorBidi" w:hAnsiTheme="majorBidi" w:cstheme="majorBidi"/>
        </w:rPr>
        <w:t xml:space="preserve"> </w:t>
      </w:r>
      <w:r w:rsidR="004D0101">
        <w:rPr>
          <w:rFonts w:asciiTheme="majorBidi" w:hAnsiTheme="majorBidi" w:cstheme="majorBidi"/>
        </w:rPr>
        <w:t>UNICEF. (2024). Costing of water interventions in humanitarian settings: Evidence from WASH programmes in fragile contexts. UNICEF.</w:t>
      </w:r>
    </w:p>
    <w:p w14:paraId="577A6AA0" w14:textId="2C4F3803" w:rsidR="004D0101" w:rsidRPr="00047E5A" w:rsidRDefault="00561308" w:rsidP="004D0101">
      <w:pPr>
        <w:bidi w:val="0"/>
        <w:spacing w:line="360" w:lineRule="auto"/>
        <w:rPr>
          <w:rFonts w:asciiTheme="majorBidi" w:hAnsiTheme="majorBidi" w:cstheme="majorBidi"/>
        </w:rPr>
      </w:pPr>
      <w:r>
        <w:rPr>
          <w:rFonts w:asciiTheme="majorBidi" w:hAnsiTheme="majorBidi" w:cstheme="majorBidi"/>
        </w:rPr>
        <w:t>[</w:t>
      </w:r>
      <w:r w:rsidR="004D0101">
        <w:rPr>
          <w:rFonts w:asciiTheme="majorBidi" w:hAnsiTheme="majorBidi" w:cstheme="majorBidi"/>
        </w:rPr>
        <w:t>57</w:t>
      </w:r>
      <w:r w:rsidR="001408D7">
        <w:rPr>
          <w:rFonts w:asciiTheme="majorBidi" w:hAnsiTheme="majorBidi" w:cstheme="majorBidi"/>
        </w:rPr>
        <w:t xml:space="preserve">] </w:t>
      </w:r>
      <w:r>
        <w:rPr>
          <w:rFonts w:asciiTheme="majorBidi" w:hAnsiTheme="majorBidi" w:cstheme="majorBidi"/>
        </w:rPr>
        <w:t xml:space="preserve"> </w:t>
      </w:r>
      <w:r w:rsidR="004D0101">
        <w:rPr>
          <w:rFonts w:asciiTheme="majorBidi" w:hAnsiTheme="majorBidi" w:cstheme="majorBidi"/>
        </w:rPr>
        <w:t>World Bank. (2024). Economic evaluation of WASH and nutrition programmes in fragile contexts. World Bank Group</w:t>
      </w:r>
    </w:p>
    <w:p w14:paraId="2CB97213" w14:textId="5ECB0902" w:rsidR="00B92EFC" w:rsidRPr="00B92EFC" w:rsidRDefault="00B92EFC" w:rsidP="00D27837">
      <w:pPr>
        <w:bidi w:val="0"/>
        <w:spacing w:line="360" w:lineRule="auto"/>
        <w:rPr>
          <w:rFonts w:asciiTheme="majorBidi" w:hAnsiTheme="majorBidi" w:cstheme="majorBidi"/>
        </w:rPr>
      </w:pPr>
    </w:p>
    <w:sectPr w:rsidR="00B92EFC" w:rsidRPr="00B92EFC" w:rsidSect="00DE06A7">
      <w:footerReference w:type="even" r:id="rId18"/>
      <w:footerReference w:type="default" r:id="rId19"/>
      <w:pgSz w:w="11906" w:h="16838"/>
      <w:pgMar w:top="1440" w:right="1800" w:bottom="1440" w:left="1800" w:header="708" w:footer="708" w:gutter="0"/>
      <w:pgNumType w:fmt="numberI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6E28D" w14:textId="77777777" w:rsidR="007841BC" w:rsidRDefault="007841BC" w:rsidP="00954781">
      <w:pPr>
        <w:spacing w:after="0" w:line="240" w:lineRule="auto"/>
      </w:pPr>
      <w:r>
        <w:separator/>
      </w:r>
    </w:p>
  </w:endnote>
  <w:endnote w:type="continuationSeparator" w:id="0">
    <w:p w14:paraId="1B12BFA8" w14:textId="77777777" w:rsidR="007841BC" w:rsidRDefault="007841BC" w:rsidP="00954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tl/>
      </w:rPr>
      <w:id w:val="1743676718"/>
      <w:docPartObj>
        <w:docPartGallery w:val="Page Numbers (Bottom of Page)"/>
        <w:docPartUnique/>
      </w:docPartObj>
    </w:sdtPr>
    <w:sdtEndPr>
      <w:rPr>
        <w:rStyle w:val="ad"/>
      </w:rPr>
    </w:sdtEndPr>
    <w:sdtContent>
      <w:p w14:paraId="6E2C3AA9" w14:textId="12C8948B" w:rsidR="006D0E8B" w:rsidRDefault="006D0E8B" w:rsidP="00DE06A7">
        <w:pPr>
          <w:pStyle w:val="ac"/>
          <w:framePr w:wrap="none" w:vAnchor="text" w:hAnchor="text" w:xAlign="center" w:y="1"/>
          <w:jc w:val="center"/>
          <w:rPr>
            <w:rStyle w:val="ad"/>
          </w:rPr>
        </w:pPr>
        <w:r>
          <w:rPr>
            <w:rStyle w:val="ad"/>
            <w:rtl/>
          </w:rPr>
          <w:fldChar w:fldCharType="begin"/>
        </w:r>
        <w:r>
          <w:rPr>
            <w:rStyle w:val="ad"/>
          </w:rPr>
          <w:instrText xml:space="preserve"> PAGE </w:instrText>
        </w:r>
        <w:r>
          <w:rPr>
            <w:rStyle w:val="ad"/>
            <w:rtl/>
          </w:rPr>
          <w:fldChar w:fldCharType="end"/>
        </w:r>
      </w:p>
    </w:sdtContent>
  </w:sdt>
  <w:sdt>
    <w:sdtPr>
      <w:rPr>
        <w:rStyle w:val="ad"/>
        <w:rFonts w:hint="eastAsia"/>
        <w:rtl/>
      </w:rPr>
      <w:id w:val="-1169549222"/>
      <w:docPartObj>
        <w:docPartGallery w:val="Page Numbers (Bottom of Page)"/>
        <w:docPartUnique/>
      </w:docPartObj>
    </w:sdtPr>
    <w:sdtEndPr>
      <w:rPr>
        <w:rStyle w:val="ad"/>
        <w:rFonts w:hint="default"/>
      </w:rPr>
    </w:sdtEndPr>
    <w:sdtContent>
      <w:p w14:paraId="74384DA1" w14:textId="3C2147B0" w:rsidR="006D0E8B" w:rsidRDefault="006D0E8B" w:rsidP="00DE06A7">
        <w:pPr>
          <w:pStyle w:val="ac"/>
          <w:framePr w:wrap="none" w:vAnchor="text" w:hAnchor="text" w:xAlign="center" w:y="1"/>
          <w:jc w:val="center"/>
          <w:rPr>
            <w:rStyle w:val="ad"/>
          </w:rPr>
        </w:pPr>
        <w:r>
          <w:rPr>
            <w:rStyle w:val="ad"/>
            <w:rFonts w:hint="eastAsia"/>
            <w:rtl/>
          </w:rPr>
          <w:t>الصفحة</w:t>
        </w:r>
        <w:r>
          <w:rPr>
            <w:rStyle w:val="ad"/>
            <w:rtl/>
          </w:rPr>
          <w:t xml:space="preserve"> </w:t>
        </w:r>
        <w:r>
          <w:rPr>
            <w:rStyle w:val="ad"/>
            <w:rtl/>
          </w:rPr>
          <w:fldChar w:fldCharType="begin"/>
        </w:r>
        <w:r>
          <w:rPr>
            <w:rStyle w:val="ad"/>
          </w:rPr>
          <w:instrText xml:space="preserve"> PAGE </w:instrText>
        </w:r>
        <w:r>
          <w:rPr>
            <w:rStyle w:val="ad"/>
            <w:rtl/>
          </w:rPr>
          <w:fldChar w:fldCharType="end"/>
        </w:r>
        <w:r>
          <w:rPr>
            <w:rStyle w:val="ad"/>
            <w:rtl/>
          </w:rPr>
          <w:t xml:space="preserve"> </w:t>
        </w:r>
        <w:r>
          <w:rPr>
            <w:rStyle w:val="ad"/>
            <w:rFonts w:hint="eastAsia"/>
            <w:rtl/>
          </w:rPr>
          <w:t>من</w:t>
        </w:r>
        <w:r>
          <w:rPr>
            <w:rStyle w:val="ad"/>
            <w:rtl/>
          </w:rPr>
          <w:t xml:space="preserve"> </w:t>
        </w:r>
        <w:r>
          <w:rPr>
            <w:rStyle w:val="ad"/>
          </w:rPr>
          <w:fldChar w:fldCharType="begin"/>
        </w:r>
        <w:r>
          <w:rPr>
            <w:rStyle w:val="ad"/>
          </w:rPr>
          <w:instrText xml:space="preserve"> NUMPAGES </w:instrText>
        </w:r>
        <w:r>
          <w:rPr>
            <w:rStyle w:val="ad"/>
          </w:rPr>
          <w:fldChar w:fldCharType="end"/>
        </w:r>
      </w:p>
    </w:sdtContent>
  </w:sdt>
  <w:p w14:paraId="38FA11A1" w14:textId="77777777" w:rsidR="00954781" w:rsidRDefault="0095478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tl/>
      </w:rPr>
      <w:id w:val="1552874088"/>
      <w:docPartObj>
        <w:docPartGallery w:val="Page Numbers (Bottom of Page)"/>
        <w:docPartUnique/>
      </w:docPartObj>
    </w:sdtPr>
    <w:sdtEndPr>
      <w:rPr>
        <w:rStyle w:val="ad"/>
      </w:rPr>
    </w:sdtEndPr>
    <w:sdtContent>
      <w:p w14:paraId="2BF62830" w14:textId="363535B1" w:rsidR="00DE06A7" w:rsidRDefault="00DE06A7" w:rsidP="00150446">
        <w:pPr>
          <w:pStyle w:val="ac"/>
          <w:framePr w:wrap="none" w:vAnchor="text" w:hAnchor="text" w:xAlign="center" w:y="1"/>
          <w:jc w:val="center"/>
          <w:rPr>
            <w:rStyle w:val="ad"/>
          </w:rPr>
        </w:pPr>
        <w:r>
          <w:rPr>
            <w:rStyle w:val="ad"/>
            <w:rtl/>
          </w:rPr>
          <w:fldChar w:fldCharType="begin"/>
        </w:r>
        <w:r>
          <w:rPr>
            <w:rStyle w:val="ad"/>
          </w:rPr>
          <w:instrText xml:space="preserve"> PAGE </w:instrText>
        </w:r>
        <w:r>
          <w:rPr>
            <w:rStyle w:val="ad"/>
            <w:rtl/>
          </w:rPr>
          <w:fldChar w:fldCharType="separate"/>
        </w:r>
        <w:r>
          <w:rPr>
            <w:rStyle w:val="ad"/>
            <w:noProof/>
            <w:rtl/>
          </w:rPr>
          <w:t>- 1 -</w:t>
        </w:r>
        <w:r>
          <w:rPr>
            <w:rStyle w:val="ad"/>
            <w:rtl/>
          </w:rPr>
          <w:fldChar w:fldCharType="end"/>
        </w:r>
      </w:p>
    </w:sdtContent>
  </w:sdt>
  <w:p w14:paraId="7C2CEE58" w14:textId="77777777" w:rsidR="00954781" w:rsidRDefault="0095478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2B659" w14:textId="77777777" w:rsidR="007841BC" w:rsidRDefault="007841BC" w:rsidP="00954781">
      <w:pPr>
        <w:spacing w:after="0" w:line="240" w:lineRule="auto"/>
      </w:pPr>
      <w:r>
        <w:separator/>
      </w:r>
    </w:p>
  </w:footnote>
  <w:footnote w:type="continuationSeparator" w:id="0">
    <w:p w14:paraId="2CE52C93" w14:textId="77777777" w:rsidR="007841BC" w:rsidRDefault="007841BC" w:rsidP="00954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745E"/>
    <w:multiLevelType w:val="hybridMultilevel"/>
    <w:tmpl w:val="452E854C"/>
    <w:lvl w:ilvl="0" w:tplc="FFFFFFFF">
      <w:start w:val="5"/>
      <w:numFmt w:val="bullet"/>
      <w:lvlText w:val=""/>
      <w:lvlJc w:val="left"/>
      <w:pPr>
        <w:ind w:left="538" w:hanging="360"/>
      </w:pPr>
      <w:rPr>
        <w:rFonts w:ascii="Wingdings" w:eastAsiaTheme="minorEastAsia" w:hAnsi="Wingdings" w:cstheme="majorBidi" w:hint="default"/>
      </w:rPr>
    </w:lvl>
    <w:lvl w:ilvl="1" w:tplc="04090003" w:tentative="1">
      <w:start w:val="1"/>
      <w:numFmt w:val="bullet"/>
      <w:lvlText w:val="o"/>
      <w:lvlJc w:val="left"/>
      <w:pPr>
        <w:ind w:left="1258" w:hanging="360"/>
      </w:pPr>
      <w:rPr>
        <w:rFonts w:ascii="Courier New" w:hAnsi="Courier New" w:cs="Courier New" w:hint="default"/>
      </w:rPr>
    </w:lvl>
    <w:lvl w:ilvl="2" w:tplc="04090005" w:tentative="1">
      <w:start w:val="1"/>
      <w:numFmt w:val="bullet"/>
      <w:lvlText w:val=""/>
      <w:lvlJc w:val="left"/>
      <w:pPr>
        <w:ind w:left="1978" w:hanging="360"/>
      </w:pPr>
      <w:rPr>
        <w:rFonts w:ascii="Wingdings" w:hAnsi="Wingdings" w:hint="default"/>
      </w:rPr>
    </w:lvl>
    <w:lvl w:ilvl="3" w:tplc="04090001" w:tentative="1">
      <w:start w:val="1"/>
      <w:numFmt w:val="bullet"/>
      <w:lvlText w:val=""/>
      <w:lvlJc w:val="left"/>
      <w:pPr>
        <w:ind w:left="2698" w:hanging="360"/>
      </w:pPr>
      <w:rPr>
        <w:rFonts w:ascii="Symbol" w:hAnsi="Symbol" w:hint="default"/>
      </w:rPr>
    </w:lvl>
    <w:lvl w:ilvl="4" w:tplc="04090003" w:tentative="1">
      <w:start w:val="1"/>
      <w:numFmt w:val="bullet"/>
      <w:lvlText w:val="o"/>
      <w:lvlJc w:val="left"/>
      <w:pPr>
        <w:ind w:left="3418" w:hanging="360"/>
      </w:pPr>
      <w:rPr>
        <w:rFonts w:ascii="Courier New" w:hAnsi="Courier New" w:cs="Courier New" w:hint="default"/>
      </w:rPr>
    </w:lvl>
    <w:lvl w:ilvl="5" w:tplc="04090005" w:tentative="1">
      <w:start w:val="1"/>
      <w:numFmt w:val="bullet"/>
      <w:lvlText w:val=""/>
      <w:lvlJc w:val="left"/>
      <w:pPr>
        <w:ind w:left="4138" w:hanging="360"/>
      </w:pPr>
      <w:rPr>
        <w:rFonts w:ascii="Wingdings" w:hAnsi="Wingdings" w:hint="default"/>
      </w:rPr>
    </w:lvl>
    <w:lvl w:ilvl="6" w:tplc="04090001" w:tentative="1">
      <w:start w:val="1"/>
      <w:numFmt w:val="bullet"/>
      <w:lvlText w:val=""/>
      <w:lvlJc w:val="left"/>
      <w:pPr>
        <w:ind w:left="4858" w:hanging="360"/>
      </w:pPr>
      <w:rPr>
        <w:rFonts w:ascii="Symbol" w:hAnsi="Symbol" w:hint="default"/>
      </w:rPr>
    </w:lvl>
    <w:lvl w:ilvl="7" w:tplc="04090003" w:tentative="1">
      <w:start w:val="1"/>
      <w:numFmt w:val="bullet"/>
      <w:lvlText w:val="o"/>
      <w:lvlJc w:val="left"/>
      <w:pPr>
        <w:ind w:left="5578" w:hanging="360"/>
      </w:pPr>
      <w:rPr>
        <w:rFonts w:ascii="Courier New" w:hAnsi="Courier New" w:cs="Courier New" w:hint="default"/>
      </w:rPr>
    </w:lvl>
    <w:lvl w:ilvl="8" w:tplc="04090005" w:tentative="1">
      <w:start w:val="1"/>
      <w:numFmt w:val="bullet"/>
      <w:lvlText w:val=""/>
      <w:lvlJc w:val="left"/>
      <w:pPr>
        <w:ind w:left="6298" w:hanging="360"/>
      </w:pPr>
      <w:rPr>
        <w:rFonts w:ascii="Wingdings" w:hAnsi="Wingdings" w:hint="default"/>
      </w:rPr>
    </w:lvl>
  </w:abstractNum>
  <w:abstractNum w:abstractNumId="1" w15:restartNumberingAfterBreak="0">
    <w:nsid w:val="68DA3BBC"/>
    <w:multiLevelType w:val="hybridMultilevel"/>
    <w:tmpl w:val="91982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11146">
    <w:abstractNumId w:val="0"/>
  </w:num>
  <w:num w:numId="2" w16cid:durableId="38845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FC"/>
    <w:rsid w:val="000011FD"/>
    <w:rsid w:val="00002796"/>
    <w:rsid w:val="00005B8E"/>
    <w:rsid w:val="00020FCE"/>
    <w:rsid w:val="000226E9"/>
    <w:rsid w:val="00025A9A"/>
    <w:rsid w:val="000275B3"/>
    <w:rsid w:val="000329AE"/>
    <w:rsid w:val="0003308A"/>
    <w:rsid w:val="00033B87"/>
    <w:rsid w:val="0003770A"/>
    <w:rsid w:val="00042C0A"/>
    <w:rsid w:val="00047E5A"/>
    <w:rsid w:val="0005775F"/>
    <w:rsid w:val="00072141"/>
    <w:rsid w:val="00072309"/>
    <w:rsid w:val="000736CD"/>
    <w:rsid w:val="00077098"/>
    <w:rsid w:val="00082DE1"/>
    <w:rsid w:val="00084419"/>
    <w:rsid w:val="00090B9B"/>
    <w:rsid w:val="0009760B"/>
    <w:rsid w:val="000A161D"/>
    <w:rsid w:val="000A559E"/>
    <w:rsid w:val="000C2E25"/>
    <w:rsid w:val="000C660E"/>
    <w:rsid w:val="000C702D"/>
    <w:rsid w:val="000D3BEC"/>
    <w:rsid w:val="000D4855"/>
    <w:rsid w:val="000D7A83"/>
    <w:rsid w:val="000E0ACE"/>
    <w:rsid w:val="000E4802"/>
    <w:rsid w:val="000E644F"/>
    <w:rsid w:val="000F0058"/>
    <w:rsid w:val="000F4569"/>
    <w:rsid w:val="0010442F"/>
    <w:rsid w:val="00106017"/>
    <w:rsid w:val="0010609E"/>
    <w:rsid w:val="00106ADD"/>
    <w:rsid w:val="00113765"/>
    <w:rsid w:val="00116115"/>
    <w:rsid w:val="00122E53"/>
    <w:rsid w:val="00137F9D"/>
    <w:rsid w:val="001408D7"/>
    <w:rsid w:val="00140F96"/>
    <w:rsid w:val="00156ADD"/>
    <w:rsid w:val="00162636"/>
    <w:rsid w:val="00163175"/>
    <w:rsid w:val="00182FE4"/>
    <w:rsid w:val="00186D53"/>
    <w:rsid w:val="00191E5C"/>
    <w:rsid w:val="00195D76"/>
    <w:rsid w:val="001A2FC5"/>
    <w:rsid w:val="001A7BE1"/>
    <w:rsid w:val="001B29AD"/>
    <w:rsid w:val="001B3C07"/>
    <w:rsid w:val="001B7A0D"/>
    <w:rsid w:val="001C1677"/>
    <w:rsid w:val="001C6F2D"/>
    <w:rsid w:val="001E029B"/>
    <w:rsid w:val="001E2423"/>
    <w:rsid w:val="001E4086"/>
    <w:rsid w:val="001E457E"/>
    <w:rsid w:val="001F05F2"/>
    <w:rsid w:val="002049B5"/>
    <w:rsid w:val="002125AB"/>
    <w:rsid w:val="0021740F"/>
    <w:rsid w:val="00217989"/>
    <w:rsid w:val="00234302"/>
    <w:rsid w:val="00237BFB"/>
    <w:rsid w:val="002436D2"/>
    <w:rsid w:val="0027242E"/>
    <w:rsid w:val="002752A4"/>
    <w:rsid w:val="00277750"/>
    <w:rsid w:val="00286AF0"/>
    <w:rsid w:val="00287C7A"/>
    <w:rsid w:val="0029075A"/>
    <w:rsid w:val="00294661"/>
    <w:rsid w:val="002A1D9A"/>
    <w:rsid w:val="002A3BA1"/>
    <w:rsid w:val="002A425E"/>
    <w:rsid w:val="002B1860"/>
    <w:rsid w:val="002B3C56"/>
    <w:rsid w:val="002C37C0"/>
    <w:rsid w:val="002C6219"/>
    <w:rsid w:val="002D1A84"/>
    <w:rsid w:val="002D3F8A"/>
    <w:rsid w:val="002E0C67"/>
    <w:rsid w:val="002F3F9F"/>
    <w:rsid w:val="002F428D"/>
    <w:rsid w:val="002F52D2"/>
    <w:rsid w:val="002F62FC"/>
    <w:rsid w:val="002F7746"/>
    <w:rsid w:val="00304AC3"/>
    <w:rsid w:val="00310B2D"/>
    <w:rsid w:val="00311867"/>
    <w:rsid w:val="00313231"/>
    <w:rsid w:val="00313C06"/>
    <w:rsid w:val="00320E83"/>
    <w:rsid w:val="00335994"/>
    <w:rsid w:val="00337E6C"/>
    <w:rsid w:val="003470FD"/>
    <w:rsid w:val="003679E3"/>
    <w:rsid w:val="00375CB4"/>
    <w:rsid w:val="00384A0E"/>
    <w:rsid w:val="00387A84"/>
    <w:rsid w:val="00387BD0"/>
    <w:rsid w:val="003949ED"/>
    <w:rsid w:val="003958E0"/>
    <w:rsid w:val="003A3120"/>
    <w:rsid w:val="003B3FA0"/>
    <w:rsid w:val="003B59E1"/>
    <w:rsid w:val="003C46F9"/>
    <w:rsid w:val="003C4CC6"/>
    <w:rsid w:val="003C713C"/>
    <w:rsid w:val="003D1086"/>
    <w:rsid w:val="003D661C"/>
    <w:rsid w:val="003F143D"/>
    <w:rsid w:val="003F1B83"/>
    <w:rsid w:val="003F420C"/>
    <w:rsid w:val="0040064C"/>
    <w:rsid w:val="00403CD9"/>
    <w:rsid w:val="00411D86"/>
    <w:rsid w:val="00417686"/>
    <w:rsid w:val="004359C0"/>
    <w:rsid w:val="00453A29"/>
    <w:rsid w:val="00453C85"/>
    <w:rsid w:val="00454EE8"/>
    <w:rsid w:val="00457886"/>
    <w:rsid w:val="004640E5"/>
    <w:rsid w:val="0046765A"/>
    <w:rsid w:val="00467D0F"/>
    <w:rsid w:val="004715BC"/>
    <w:rsid w:val="00476149"/>
    <w:rsid w:val="0048067E"/>
    <w:rsid w:val="00480AD9"/>
    <w:rsid w:val="004A4EA3"/>
    <w:rsid w:val="004A7C41"/>
    <w:rsid w:val="004C3BAD"/>
    <w:rsid w:val="004C647E"/>
    <w:rsid w:val="004C709B"/>
    <w:rsid w:val="004C7782"/>
    <w:rsid w:val="004D0101"/>
    <w:rsid w:val="004E3FD9"/>
    <w:rsid w:val="004E767F"/>
    <w:rsid w:val="00506B92"/>
    <w:rsid w:val="00514AF0"/>
    <w:rsid w:val="00522956"/>
    <w:rsid w:val="005302BC"/>
    <w:rsid w:val="00546FEF"/>
    <w:rsid w:val="00547856"/>
    <w:rsid w:val="00561308"/>
    <w:rsid w:val="00561AD2"/>
    <w:rsid w:val="00563AE8"/>
    <w:rsid w:val="005713AF"/>
    <w:rsid w:val="00571BF3"/>
    <w:rsid w:val="005745E9"/>
    <w:rsid w:val="005765D4"/>
    <w:rsid w:val="005779AC"/>
    <w:rsid w:val="00587164"/>
    <w:rsid w:val="005906F9"/>
    <w:rsid w:val="005B2478"/>
    <w:rsid w:val="005B50D7"/>
    <w:rsid w:val="005D1857"/>
    <w:rsid w:val="005D303B"/>
    <w:rsid w:val="005E13F8"/>
    <w:rsid w:val="00602172"/>
    <w:rsid w:val="00604CF0"/>
    <w:rsid w:val="006167BB"/>
    <w:rsid w:val="00631561"/>
    <w:rsid w:val="00634807"/>
    <w:rsid w:val="00641F5F"/>
    <w:rsid w:val="00645378"/>
    <w:rsid w:val="0064640F"/>
    <w:rsid w:val="00650D15"/>
    <w:rsid w:val="00657A20"/>
    <w:rsid w:val="0066129E"/>
    <w:rsid w:val="00666B72"/>
    <w:rsid w:val="00670212"/>
    <w:rsid w:val="00680207"/>
    <w:rsid w:val="006909DF"/>
    <w:rsid w:val="00693217"/>
    <w:rsid w:val="006A0AD0"/>
    <w:rsid w:val="006A7BE4"/>
    <w:rsid w:val="006A7C5B"/>
    <w:rsid w:val="006C7129"/>
    <w:rsid w:val="006D0E8B"/>
    <w:rsid w:val="006D153E"/>
    <w:rsid w:val="006D20B1"/>
    <w:rsid w:val="006D45FF"/>
    <w:rsid w:val="006D6A34"/>
    <w:rsid w:val="006F31CE"/>
    <w:rsid w:val="00710490"/>
    <w:rsid w:val="0071062A"/>
    <w:rsid w:val="00710774"/>
    <w:rsid w:val="007238FB"/>
    <w:rsid w:val="0074139D"/>
    <w:rsid w:val="00746764"/>
    <w:rsid w:val="00747E12"/>
    <w:rsid w:val="00750895"/>
    <w:rsid w:val="00751EB3"/>
    <w:rsid w:val="00753789"/>
    <w:rsid w:val="00780719"/>
    <w:rsid w:val="00781100"/>
    <w:rsid w:val="0078169E"/>
    <w:rsid w:val="00781F24"/>
    <w:rsid w:val="007841BC"/>
    <w:rsid w:val="00792A33"/>
    <w:rsid w:val="007979D1"/>
    <w:rsid w:val="007B0C1E"/>
    <w:rsid w:val="007B4C78"/>
    <w:rsid w:val="007B5480"/>
    <w:rsid w:val="007C71A8"/>
    <w:rsid w:val="007D601E"/>
    <w:rsid w:val="007D678A"/>
    <w:rsid w:val="007E2589"/>
    <w:rsid w:val="007E593E"/>
    <w:rsid w:val="00821075"/>
    <w:rsid w:val="0082235B"/>
    <w:rsid w:val="00844ED0"/>
    <w:rsid w:val="00850CBC"/>
    <w:rsid w:val="00876CB1"/>
    <w:rsid w:val="008851F7"/>
    <w:rsid w:val="008947B7"/>
    <w:rsid w:val="008A0567"/>
    <w:rsid w:val="008A2F60"/>
    <w:rsid w:val="008B1C84"/>
    <w:rsid w:val="008B20D7"/>
    <w:rsid w:val="008C124F"/>
    <w:rsid w:val="008C188A"/>
    <w:rsid w:val="008C761E"/>
    <w:rsid w:val="008D3FE0"/>
    <w:rsid w:val="008D526A"/>
    <w:rsid w:val="008F27E2"/>
    <w:rsid w:val="008F3F6D"/>
    <w:rsid w:val="008F66FC"/>
    <w:rsid w:val="009124BA"/>
    <w:rsid w:val="00912A11"/>
    <w:rsid w:val="009155E1"/>
    <w:rsid w:val="00915F78"/>
    <w:rsid w:val="009168A6"/>
    <w:rsid w:val="009202CC"/>
    <w:rsid w:val="009240E5"/>
    <w:rsid w:val="00930668"/>
    <w:rsid w:val="00946538"/>
    <w:rsid w:val="009501F2"/>
    <w:rsid w:val="00954781"/>
    <w:rsid w:val="00957B2F"/>
    <w:rsid w:val="00965FD7"/>
    <w:rsid w:val="00966E0D"/>
    <w:rsid w:val="00967D6B"/>
    <w:rsid w:val="00973253"/>
    <w:rsid w:val="009749FD"/>
    <w:rsid w:val="00991CB4"/>
    <w:rsid w:val="009930F3"/>
    <w:rsid w:val="00996D83"/>
    <w:rsid w:val="00997F41"/>
    <w:rsid w:val="009A1400"/>
    <w:rsid w:val="009A1F66"/>
    <w:rsid w:val="009A314A"/>
    <w:rsid w:val="009A3C13"/>
    <w:rsid w:val="009B3443"/>
    <w:rsid w:val="009B7B61"/>
    <w:rsid w:val="009C01D4"/>
    <w:rsid w:val="009D6A27"/>
    <w:rsid w:val="009D6EEF"/>
    <w:rsid w:val="009E69BA"/>
    <w:rsid w:val="009F0C75"/>
    <w:rsid w:val="009F57B5"/>
    <w:rsid w:val="00A04CA0"/>
    <w:rsid w:val="00A10C9D"/>
    <w:rsid w:val="00A10E43"/>
    <w:rsid w:val="00A1201F"/>
    <w:rsid w:val="00A1398E"/>
    <w:rsid w:val="00A15322"/>
    <w:rsid w:val="00A20A1B"/>
    <w:rsid w:val="00A348C4"/>
    <w:rsid w:val="00A41F01"/>
    <w:rsid w:val="00A42441"/>
    <w:rsid w:val="00A523C3"/>
    <w:rsid w:val="00A62A8D"/>
    <w:rsid w:val="00A67D3F"/>
    <w:rsid w:val="00A73002"/>
    <w:rsid w:val="00A765C0"/>
    <w:rsid w:val="00A876CF"/>
    <w:rsid w:val="00A9123E"/>
    <w:rsid w:val="00A918A9"/>
    <w:rsid w:val="00A951CA"/>
    <w:rsid w:val="00AA0C51"/>
    <w:rsid w:val="00AA17C0"/>
    <w:rsid w:val="00AA42AF"/>
    <w:rsid w:val="00AB308B"/>
    <w:rsid w:val="00AC1B05"/>
    <w:rsid w:val="00AF20E5"/>
    <w:rsid w:val="00AF42AF"/>
    <w:rsid w:val="00AF5814"/>
    <w:rsid w:val="00AF6814"/>
    <w:rsid w:val="00B119F5"/>
    <w:rsid w:val="00B135EE"/>
    <w:rsid w:val="00B160A3"/>
    <w:rsid w:val="00B227D6"/>
    <w:rsid w:val="00B26F62"/>
    <w:rsid w:val="00B27016"/>
    <w:rsid w:val="00B37C2D"/>
    <w:rsid w:val="00B41635"/>
    <w:rsid w:val="00B42DA4"/>
    <w:rsid w:val="00B44FBE"/>
    <w:rsid w:val="00B5344C"/>
    <w:rsid w:val="00B7172B"/>
    <w:rsid w:val="00B75C0C"/>
    <w:rsid w:val="00B807E0"/>
    <w:rsid w:val="00B92EFC"/>
    <w:rsid w:val="00BA2662"/>
    <w:rsid w:val="00BA46B8"/>
    <w:rsid w:val="00BA5559"/>
    <w:rsid w:val="00BB2B08"/>
    <w:rsid w:val="00BC04B9"/>
    <w:rsid w:val="00BD1373"/>
    <w:rsid w:val="00BD21C9"/>
    <w:rsid w:val="00BE1E78"/>
    <w:rsid w:val="00BF1966"/>
    <w:rsid w:val="00C02857"/>
    <w:rsid w:val="00C03055"/>
    <w:rsid w:val="00C03A03"/>
    <w:rsid w:val="00C13BB6"/>
    <w:rsid w:val="00C16D0E"/>
    <w:rsid w:val="00C17D4F"/>
    <w:rsid w:val="00C17E55"/>
    <w:rsid w:val="00C200CE"/>
    <w:rsid w:val="00C223A8"/>
    <w:rsid w:val="00C235DC"/>
    <w:rsid w:val="00C25C25"/>
    <w:rsid w:val="00C25DF1"/>
    <w:rsid w:val="00C4663A"/>
    <w:rsid w:val="00C654A5"/>
    <w:rsid w:val="00C6750D"/>
    <w:rsid w:val="00C76112"/>
    <w:rsid w:val="00C77A3C"/>
    <w:rsid w:val="00C804E4"/>
    <w:rsid w:val="00CA1C5F"/>
    <w:rsid w:val="00CA2E13"/>
    <w:rsid w:val="00CB37DE"/>
    <w:rsid w:val="00CD1E2D"/>
    <w:rsid w:val="00CE4195"/>
    <w:rsid w:val="00CE6841"/>
    <w:rsid w:val="00CF3CC8"/>
    <w:rsid w:val="00CF5621"/>
    <w:rsid w:val="00CF58AA"/>
    <w:rsid w:val="00D24F8C"/>
    <w:rsid w:val="00D253C2"/>
    <w:rsid w:val="00D27837"/>
    <w:rsid w:val="00D302F4"/>
    <w:rsid w:val="00D35665"/>
    <w:rsid w:val="00D42726"/>
    <w:rsid w:val="00D5128C"/>
    <w:rsid w:val="00D64164"/>
    <w:rsid w:val="00D666C6"/>
    <w:rsid w:val="00D7249C"/>
    <w:rsid w:val="00D74C77"/>
    <w:rsid w:val="00D9651D"/>
    <w:rsid w:val="00DA405D"/>
    <w:rsid w:val="00DA78BC"/>
    <w:rsid w:val="00DB1C0F"/>
    <w:rsid w:val="00DC43C1"/>
    <w:rsid w:val="00DC7725"/>
    <w:rsid w:val="00DE06A7"/>
    <w:rsid w:val="00DE3C7A"/>
    <w:rsid w:val="00DE4F2B"/>
    <w:rsid w:val="00DE732E"/>
    <w:rsid w:val="00DF2A47"/>
    <w:rsid w:val="00E0566F"/>
    <w:rsid w:val="00E300EE"/>
    <w:rsid w:val="00E32A12"/>
    <w:rsid w:val="00E43A52"/>
    <w:rsid w:val="00E50EA6"/>
    <w:rsid w:val="00E55C8B"/>
    <w:rsid w:val="00E64AB9"/>
    <w:rsid w:val="00E655E8"/>
    <w:rsid w:val="00E66581"/>
    <w:rsid w:val="00E71C25"/>
    <w:rsid w:val="00E7474E"/>
    <w:rsid w:val="00E760EE"/>
    <w:rsid w:val="00E76B23"/>
    <w:rsid w:val="00E91EF9"/>
    <w:rsid w:val="00E93011"/>
    <w:rsid w:val="00E935A6"/>
    <w:rsid w:val="00E97094"/>
    <w:rsid w:val="00EA1BF7"/>
    <w:rsid w:val="00EA5818"/>
    <w:rsid w:val="00EB4A89"/>
    <w:rsid w:val="00EB5AEC"/>
    <w:rsid w:val="00EB6F4C"/>
    <w:rsid w:val="00EB7D4E"/>
    <w:rsid w:val="00EC0A4F"/>
    <w:rsid w:val="00EC0B14"/>
    <w:rsid w:val="00EC1118"/>
    <w:rsid w:val="00EC3F73"/>
    <w:rsid w:val="00EC517D"/>
    <w:rsid w:val="00ED1E41"/>
    <w:rsid w:val="00EF0C07"/>
    <w:rsid w:val="00EF2EEC"/>
    <w:rsid w:val="00EF4084"/>
    <w:rsid w:val="00F031E4"/>
    <w:rsid w:val="00F047DE"/>
    <w:rsid w:val="00F121AD"/>
    <w:rsid w:val="00F30707"/>
    <w:rsid w:val="00F31388"/>
    <w:rsid w:val="00F323BD"/>
    <w:rsid w:val="00F41F78"/>
    <w:rsid w:val="00F44288"/>
    <w:rsid w:val="00F44DCF"/>
    <w:rsid w:val="00F57BDF"/>
    <w:rsid w:val="00F67E12"/>
    <w:rsid w:val="00F735A9"/>
    <w:rsid w:val="00F83616"/>
    <w:rsid w:val="00F9009E"/>
    <w:rsid w:val="00F949AE"/>
    <w:rsid w:val="00FA0707"/>
    <w:rsid w:val="00FB55FB"/>
    <w:rsid w:val="00FB6523"/>
    <w:rsid w:val="00FB6F01"/>
    <w:rsid w:val="00FD77C8"/>
    <w:rsid w:val="00FE1717"/>
    <w:rsid w:val="00FE4D68"/>
    <w:rsid w:val="00FE4E5A"/>
    <w:rsid w:val="00FE7A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71A05A"/>
  <w15:chartTrackingRefBased/>
  <w15:docId w15:val="{AF9C3BED-D722-6142-B0C4-E0ACC971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92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92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92E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92E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92E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92E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92E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92E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92E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92EF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92EF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92EF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92EF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92EFC"/>
    <w:rPr>
      <w:rFonts w:eastAsiaTheme="majorEastAsia" w:cstheme="majorBidi"/>
      <w:color w:val="0F4761" w:themeColor="accent1" w:themeShade="BF"/>
    </w:rPr>
  </w:style>
  <w:style w:type="character" w:customStyle="1" w:styleId="6Char">
    <w:name w:val="عنوان 6 Char"/>
    <w:basedOn w:val="a0"/>
    <w:link w:val="6"/>
    <w:uiPriority w:val="9"/>
    <w:semiHidden/>
    <w:rsid w:val="00B92EFC"/>
    <w:rPr>
      <w:rFonts w:eastAsiaTheme="majorEastAsia" w:cstheme="majorBidi"/>
      <w:i/>
      <w:iCs/>
      <w:color w:val="595959" w:themeColor="text1" w:themeTint="A6"/>
    </w:rPr>
  </w:style>
  <w:style w:type="character" w:customStyle="1" w:styleId="7Char">
    <w:name w:val="عنوان 7 Char"/>
    <w:basedOn w:val="a0"/>
    <w:link w:val="7"/>
    <w:uiPriority w:val="9"/>
    <w:semiHidden/>
    <w:rsid w:val="00B92EFC"/>
    <w:rPr>
      <w:rFonts w:eastAsiaTheme="majorEastAsia" w:cstheme="majorBidi"/>
      <w:color w:val="595959" w:themeColor="text1" w:themeTint="A6"/>
    </w:rPr>
  </w:style>
  <w:style w:type="character" w:customStyle="1" w:styleId="8Char">
    <w:name w:val="عنوان 8 Char"/>
    <w:basedOn w:val="a0"/>
    <w:link w:val="8"/>
    <w:uiPriority w:val="9"/>
    <w:semiHidden/>
    <w:rsid w:val="00B92EFC"/>
    <w:rPr>
      <w:rFonts w:eastAsiaTheme="majorEastAsia" w:cstheme="majorBidi"/>
      <w:i/>
      <w:iCs/>
      <w:color w:val="272727" w:themeColor="text1" w:themeTint="D8"/>
    </w:rPr>
  </w:style>
  <w:style w:type="character" w:customStyle="1" w:styleId="9Char">
    <w:name w:val="عنوان 9 Char"/>
    <w:basedOn w:val="a0"/>
    <w:link w:val="9"/>
    <w:uiPriority w:val="9"/>
    <w:semiHidden/>
    <w:rsid w:val="00B92EFC"/>
    <w:rPr>
      <w:rFonts w:eastAsiaTheme="majorEastAsia" w:cstheme="majorBidi"/>
      <w:color w:val="272727" w:themeColor="text1" w:themeTint="D8"/>
    </w:rPr>
  </w:style>
  <w:style w:type="paragraph" w:styleId="a3">
    <w:name w:val="Title"/>
    <w:basedOn w:val="a"/>
    <w:next w:val="a"/>
    <w:link w:val="Char"/>
    <w:uiPriority w:val="10"/>
    <w:qFormat/>
    <w:rsid w:val="00B92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92E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2EF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92E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92EFC"/>
    <w:pPr>
      <w:spacing w:before="160"/>
      <w:jc w:val="center"/>
    </w:pPr>
    <w:rPr>
      <w:i/>
      <w:iCs/>
      <w:color w:val="404040" w:themeColor="text1" w:themeTint="BF"/>
    </w:rPr>
  </w:style>
  <w:style w:type="character" w:customStyle="1" w:styleId="Char1">
    <w:name w:val="اقتباس Char"/>
    <w:basedOn w:val="a0"/>
    <w:link w:val="a5"/>
    <w:uiPriority w:val="29"/>
    <w:rsid w:val="00B92EFC"/>
    <w:rPr>
      <w:i/>
      <w:iCs/>
      <w:color w:val="404040" w:themeColor="text1" w:themeTint="BF"/>
    </w:rPr>
  </w:style>
  <w:style w:type="paragraph" w:styleId="a6">
    <w:name w:val="List Paragraph"/>
    <w:basedOn w:val="a"/>
    <w:uiPriority w:val="34"/>
    <w:qFormat/>
    <w:rsid w:val="00B92EFC"/>
    <w:pPr>
      <w:ind w:left="720"/>
      <w:contextualSpacing/>
    </w:pPr>
  </w:style>
  <w:style w:type="character" w:styleId="a7">
    <w:name w:val="Intense Emphasis"/>
    <w:basedOn w:val="a0"/>
    <w:uiPriority w:val="21"/>
    <w:qFormat/>
    <w:rsid w:val="00B92EFC"/>
    <w:rPr>
      <w:i/>
      <w:iCs/>
      <w:color w:val="0F4761" w:themeColor="accent1" w:themeShade="BF"/>
    </w:rPr>
  </w:style>
  <w:style w:type="paragraph" w:styleId="a8">
    <w:name w:val="Intense Quote"/>
    <w:basedOn w:val="a"/>
    <w:next w:val="a"/>
    <w:link w:val="Char2"/>
    <w:uiPriority w:val="30"/>
    <w:qFormat/>
    <w:rsid w:val="00B92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92EFC"/>
    <w:rPr>
      <w:i/>
      <w:iCs/>
      <w:color w:val="0F4761" w:themeColor="accent1" w:themeShade="BF"/>
    </w:rPr>
  </w:style>
  <w:style w:type="character" w:styleId="a9">
    <w:name w:val="Intense Reference"/>
    <w:basedOn w:val="a0"/>
    <w:uiPriority w:val="32"/>
    <w:qFormat/>
    <w:rsid w:val="00B92EFC"/>
    <w:rPr>
      <w:b/>
      <w:bCs/>
      <w:smallCaps/>
      <w:color w:val="0F4761" w:themeColor="accent1" w:themeShade="BF"/>
      <w:spacing w:val="5"/>
    </w:rPr>
  </w:style>
  <w:style w:type="paragraph" w:styleId="aa">
    <w:name w:val="Normal (Web)"/>
    <w:basedOn w:val="a"/>
    <w:uiPriority w:val="99"/>
    <w:unhideWhenUsed/>
    <w:rsid w:val="002C6219"/>
    <w:pPr>
      <w:bidi w:val="0"/>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a0"/>
    <w:uiPriority w:val="99"/>
    <w:semiHidden/>
    <w:unhideWhenUsed/>
    <w:rsid w:val="00E64AB9"/>
    <w:rPr>
      <w:color w:val="0000FF"/>
      <w:u w:val="single"/>
    </w:rPr>
  </w:style>
  <w:style w:type="paragraph" w:styleId="ab">
    <w:name w:val="header"/>
    <w:basedOn w:val="a"/>
    <w:link w:val="Char3"/>
    <w:uiPriority w:val="99"/>
    <w:unhideWhenUsed/>
    <w:rsid w:val="00954781"/>
    <w:pPr>
      <w:tabs>
        <w:tab w:val="center" w:pos="4153"/>
        <w:tab w:val="right" w:pos="8306"/>
      </w:tabs>
      <w:spacing w:after="0" w:line="240" w:lineRule="auto"/>
    </w:pPr>
  </w:style>
  <w:style w:type="character" w:customStyle="1" w:styleId="Char3">
    <w:name w:val="رأس الصفحة Char"/>
    <w:basedOn w:val="a0"/>
    <w:link w:val="ab"/>
    <w:uiPriority w:val="99"/>
    <w:rsid w:val="00954781"/>
  </w:style>
  <w:style w:type="paragraph" w:styleId="ac">
    <w:name w:val="footer"/>
    <w:basedOn w:val="a"/>
    <w:link w:val="Char4"/>
    <w:uiPriority w:val="99"/>
    <w:unhideWhenUsed/>
    <w:rsid w:val="00954781"/>
    <w:pPr>
      <w:tabs>
        <w:tab w:val="center" w:pos="4153"/>
        <w:tab w:val="right" w:pos="8306"/>
      </w:tabs>
      <w:spacing w:after="0" w:line="240" w:lineRule="auto"/>
    </w:pPr>
  </w:style>
  <w:style w:type="character" w:customStyle="1" w:styleId="Char4">
    <w:name w:val="تذييل الصفحة Char"/>
    <w:basedOn w:val="a0"/>
    <w:link w:val="ac"/>
    <w:uiPriority w:val="99"/>
    <w:rsid w:val="00954781"/>
  </w:style>
  <w:style w:type="character" w:styleId="ad">
    <w:name w:val="page number"/>
    <w:basedOn w:val="a0"/>
    <w:uiPriority w:val="99"/>
    <w:semiHidden/>
    <w:unhideWhenUsed/>
    <w:rsid w:val="006D0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hyperlink" Target="https://github.com/morsishaban/causal-education-scarcity" TargetMode="Externa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image" Target="media/image9.jpeg" /><Relationship Id="rId10" Type="http://schemas.openxmlformats.org/officeDocument/2006/relationships/image" Target="media/image4.jpeg" /><Relationship Id="rId19"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8439</Words>
  <Characters>48104</Characters>
  <Application>Microsoft Office Word</Application>
  <DocSecurity>0</DocSecurity>
  <Lines>400</Lines>
  <Paragraphs>112</Paragraphs>
  <ScaleCrop>false</ScaleCrop>
  <Company/>
  <LinksUpToDate>false</LinksUpToDate>
  <CharactersWithSpaces>56431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MORSI SHABAN</dc:creator>
  <cp:keywords/>
  <dc:description/>
  <cp:lastModifiedBy>MORSI SHABAN</cp:lastModifiedBy>
  <cp:revision>2</cp:revision>
  <dcterms:created xsi:type="dcterms:W3CDTF">2026-03-28T16:32:00Z</dcterms:created>
  <dcterms:modified xsi:type="dcterms:W3CDTF">2026-03-28T16:32:00Z</dcterms:modified>
</cp:coreProperties>
</file>