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sz w:val="22"/>
          <w:szCs w:val="22"/>
        </w:rPr>
        <w:t xml:space="preserve">ORIGINAL RESEARCH ARTICLE</w:t>
      </w:r>
    </w:p>
    <w:p>
      <w:pPr>
        <w:jc w:val="center"/>
      </w:pPr>
      <w:r>
        <w:rPr>
          <w:b/>
          <w:bCs/>
          <w:sz w:val="32"/>
          <w:szCs w:val="32"/>
        </w:rPr>
        <w:t xml:space="preserve">Epilepsy and Criminal Responsibility in Turkey:</w:t>
      </w:r>
    </w:p>
    <w:p>
      <w:pPr>
        <w:spacing w:after="200"/>
        <w:jc w:val="center"/>
      </w:pPr>
      <w:r>
        <w:rPr>
          <w:b/>
          <w:bCs/>
          <w:sz w:val="28"/>
          <w:szCs w:val="28"/>
        </w:rPr>
        <w:t xml:space="preserve">A PRISMA 2020-Compliant Systematic Review of 8,950 Court Decisions</w:t>
      </w:r>
    </w:p>
    <w:p>
      <w:pPr>
        <w:spacing w:after="600"/>
        <w:jc w:val="center"/>
      </w:pPr>
      <w:r>
        <w:rPr>
          <w:sz w:val="24"/>
          <w:szCs w:val="24"/>
        </w:rPr>
        <w:t xml:space="preserve">with Original Odds Ratio Calculations and International Comparison</w:t>
      </w:r>
    </w:p>
    <w:p>
      <w:pPr>
        <w:jc w:val="center"/>
      </w:pPr>
      <w:r>
        <w:rPr>
          <w:b/>
          <w:bCs/>
          <w:sz w:val="28"/>
          <w:szCs w:val="28"/>
        </w:rPr>
        <w:t xml:space="preserve">Türkiye'de Epilepsi ve Ceza Ehliyeti:</w:t>
      </w:r>
    </w:p>
    <w:p>
      <w:pPr>
        <w:spacing w:after="800"/>
        <w:jc w:val="center"/>
      </w:pPr>
      <w:r>
        <w:rPr>
          <w:b/>
          <w:bCs/>
          <w:sz w:val="26"/>
          <w:szCs w:val="26"/>
        </w:rPr>
        <w:t xml:space="preserve">8.950 Mahkeme Kararının PRISMA 2020 Uyumlu Sistematik Derlemesi</w:t>
      </w:r>
    </w:p>
    <w:p>
      <w:pPr>
        <w:spacing w:after="200"/>
        <w:jc w:val="center"/>
      </w:pPr>
      <w:r>
        <w:rPr>
          <w:i/>
          <w:iCs/>
          <w:sz w:val="22"/>
          <w:szCs w:val="22"/>
        </w:rPr>
        <w:t xml:space="preserve">Running Title: Epilepsy-Criminal Responsibility in Turkish Courts</w:t>
      </w:r>
    </w:p>
    <w:p>
      <w:pPr>
        <w:spacing w:after="400"/>
        <w:jc w:val="center"/>
      </w:pPr>
      <w:r>
        <w:rPr>
          <w:sz w:val="20"/>
          <w:szCs w:val="20"/>
        </w:rPr>
        <w:t xml:space="preserve">Word Count: ~12,500 | Tables: 18 | Figures: 4 | References: 45</w:t>
      </w:r>
    </w:p>
    <w:p>
      <w:pPr>
        <w:spacing w:after="200"/>
        <w:jc w:val="center"/>
      </w:pPr>
      <w:r>
        <w:rPr>
          <w:sz w:val="20"/>
          <w:szCs w:val="20"/>
        </w:rPr>
        <w:t xml:space="preserve">Keywords: Epilepsy, Criminal Responsibility, Turkish Penal Code Article 32, Systematic Review, Meta-Analysis, PRISMA 2020, Forensic Neurology, Automatism, Postictal State</w:t>
      </w:r>
    </w:p>
    <w:p>
      <w:pPr>
        <w:jc w:val="center"/>
      </w:pPr>
      <w:r>
        <w:rPr>
          <w:sz w:val="20"/>
          <w:szCs w:val="20"/>
        </w:rPr>
        <w:t xml:space="preserve">Anahtar Kelimeler: Epilepsi, Ceza Ehliyeti, TCK Madde 32, Sistematik Derleme, Meta-Analiz, PRISMA 2020, Adli Nöroloji, Otomatizm, Postiktal Durum</w:t>
      </w:r>
    </w:p>
    <w:p>
      <w:r>
        <w:br w:type="page"/>
      </w:r>
    </w:p>
    <w:p>
      <w:pPr>
        <w:pStyle w:val="Heading1"/>
        <w:spacing w:after="200"/>
      </w:pPr>
      <w:r>
        <w:rPr>
          <w:b/>
          <w:bCs/>
          <w:sz w:val="26"/>
          <w:szCs w:val="26"/>
        </w:rPr>
        <w:t xml:space="preserve">STRUCTURED ABSTRACT</w:t>
      </w:r>
    </w:p>
    <w:p>
      <w:pPr>
        <w:spacing w:before="150" w:after="80"/>
      </w:pPr>
      <w:r>
        <w:rPr>
          <w:b/>
          <w:bCs/>
          <w:sz w:val="22"/>
          <w:szCs w:val="22"/>
        </w:rPr>
        <w:t xml:space="preserve">Background and Objectives</w:t>
      </w:r>
    </w:p>
    <w:p>
      <w:pPr>
        <w:spacing w:after="150"/>
      </w:pPr>
      <w:r>
        <w:rPr>
          <w:sz w:val="22"/>
          <w:szCs w:val="22"/>
        </w:rPr>
        <w:t xml:space="preserve">Epilepsy affects approximately 50 million people worldwide. While the relationship between epilepsy and criminal behavior has been studied internationally, systematic analysis of court decisions remains limited. This study aimed to systematically review Turkish court decisions involving epilepsy and criminal responsibility, calculate original Odds Ratios (ORs) from case data, and compare findings with international literature.</w:t>
      </w:r>
    </w:p>
    <w:p>
      <w:pPr>
        <w:spacing w:before="150" w:after="80"/>
      </w:pPr>
      <w:r>
        <w:rPr>
          <w:b/>
          <w:bCs/>
          <w:sz w:val="22"/>
          <w:szCs w:val="22"/>
        </w:rPr>
        <w:t xml:space="preserve">Methods</w:t>
      </w:r>
    </w:p>
    <w:p>
      <w:pPr>
        <w:spacing w:after="150"/>
      </w:pPr>
      <w:r>
        <w:rPr>
          <w:sz w:val="22"/>
          <w:szCs w:val="22"/>
        </w:rPr>
        <w:t xml:space="preserve">Following PRISMA 2020 guidelines, we screened 8,950 court decisions from the Sinerji Mevzuat database (2000-2024). After removing 2,791 duplicates, 6,159 unique cases were analyzed using automated text pattern analysis across 12 medical-legal categories. Seizure types were classified according to ILAE 2017 criteria. ORs with 95% confidence intervals were calculated from 2×2 contingency tables. Chi-square tests assessed statistical significance (α=0.05).</w:t>
      </w:r>
    </w:p>
    <w:p>
      <w:pPr>
        <w:spacing w:before="150" w:after="80"/>
      </w:pPr>
      <w:r>
        <w:rPr>
          <w:b/>
          <w:bCs/>
          <w:sz w:val="22"/>
          <w:szCs w:val="22"/>
        </w:rPr>
        <w:t xml:space="preserve">Results</w:t>
      </w:r>
    </w:p>
    <w:p>
      <w:pPr>
        <w:spacing w:after="150"/>
      </w:pPr>
      <w:r>
        <w:rPr>
          <w:sz w:val="22"/>
          <w:szCs w:val="22"/>
        </w:rPr>
        <w:t xml:space="preserve">Turkish Penal Code Article 32 was applied in 404 cases (6.6% of analyzed sample). Focal/partial seizures were documented in 62 cases (86.1% of specified seizure types). Among 2688 cases with victim relationship data, 2163 (80.5%) involved family members. Four original ORs were calculated: (1) Psychiatric comorbidity→acquittal: OR=2.29 (95% CI: 1.35-3.88, p&lt;0.01); (2) Physical violence→Article 32 application: OR=8.81 (95% CI: 6.63-11.70, p&lt;0.001); (3) Domestic violence→sentence reduction: OR=0.51 (95% CI: 0.38-0.68, p&lt;0.001); (4) Focal epilepsy→incapacity finding: OR=48.3 (95% CI: 25.0-93.4, p&lt;0.001).</w:t>
      </w:r>
    </w:p>
    <w:p>
      <w:pPr>
        <w:spacing w:before="150" w:after="80"/>
      </w:pPr>
      <w:r>
        <w:rPr>
          <w:b/>
          <w:bCs/>
          <w:sz w:val="22"/>
          <w:szCs w:val="22"/>
        </w:rPr>
        <w:t xml:space="preserve">Conclusions</w:t>
      </w:r>
    </w:p>
    <w:p>
      <w:pPr>
        <w:spacing w:after="300"/>
      </w:pPr>
      <w:r>
        <w:rPr>
          <w:sz w:val="22"/>
          <w:szCs w:val="22"/>
        </w:rPr>
        <w:t xml:space="preserve">This study represents the largest systematic review of epilepsy-related court decisions globally. Focal epilepsy emerged as the strongest predictor of incapacity findings. Turkish courts demonstrate increasing alignment with international standards, with Supreme Court acquittal rates rising from 45% (2000-2010) to 91% (2018-2024). These findings support standardized forensic neurology protocols and multidisciplinary assessment approaches.</w:t>
      </w:r>
    </w:p>
    <w:p>
      <w:pPr>
        <w:pStyle w:val="Heading1"/>
        <w:spacing w:after="200"/>
      </w:pPr>
      <w:r>
        <w:rPr>
          <w:b/>
          <w:bCs/>
          <w:sz w:val="26"/>
          <w:szCs w:val="26"/>
        </w:rPr>
        <w:t xml:space="preserve">YAPILANDIRILMIŞ ÖZET</w:t>
      </w:r>
    </w:p>
    <w:p>
      <w:pPr>
        <w:spacing w:before="150" w:after="80"/>
      </w:pPr>
      <w:r>
        <w:rPr>
          <w:b/>
          <w:bCs/>
          <w:sz w:val="22"/>
          <w:szCs w:val="22"/>
        </w:rPr>
        <w:t xml:space="preserve">Arka Plan ve Amaç</w:t>
      </w:r>
    </w:p>
    <w:p>
      <w:pPr>
        <w:spacing w:after="150"/>
      </w:pPr>
      <w:r>
        <w:rPr>
          <w:sz w:val="22"/>
          <w:szCs w:val="22"/>
        </w:rPr>
        <w:t xml:space="preserve">Epilepsi dünya genelinde yaklaşık 50 milyon kişiyi etkilemektedir. Epilepsi ve suç davranışı arasındaki ilişki uluslararası düzeyde araştırılmış olsa da mahkeme kararlarının sistematik analizi sınırlı kalmıştır. Bu çalışmada epilepsi ve ceza ehliyeti içeren Türk mahkeme kararlarını sistematik olarak incelemeyi, vaka verilerinden orijinal Odds Ratio (OR) değerleri hesaplamayı ve bulguları uluslararası literatür ile karşılaştırmayı amaçladık.</w:t>
      </w:r>
    </w:p>
    <w:p>
      <w:pPr>
        <w:spacing w:before="150" w:after="80"/>
      </w:pPr>
      <w:r>
        <w:rPr>
          <w:b/>
          <w:bCs/>
          <w:sz w:val="22"/>
          <w:szCs w:val="22"/>
        </w:rPr>
        <w:t xml:space="preserve">Yöntem</w:t>
      </w:r>
    </w:p>
    <w:p>
      <w:pPr>
        <w:spacing w:after="150"/>
      </w:pPr>
      <w:r>
        <w:rPr>
          <w:sz w:val="22"/>
          <w:szCs w:val="22"/>
        </w:rPr>
        <w:t xml:space="preserve">PRISMA 2020 kılavuzlarına uygun olarak Sinerji Mevzuat veritabanından 8,950 mahkeme kararı tarandı (2000-2024). 2,791 mükerrer kayıt çıkarıldıktan sonra 6,159 benzersiz vaka, 12 tıbbi-hukuki kategoride otomatik metin örüntü analizi kullanılarak incelendi. Nöbet tipleri ILAE 2017 kriterlerine göre sınıflandırıldı. 2×2 kontenjans tablolarından %95 güven aralıklı OR değerleri hesaplandı. İstatistiksel anlamlılık için Ki-kare testi uygulandı (α=0.05).</w:t>
      </w:r>
    </w:p>
    <w:p>
      <w:pPr>
        <w:spacing w:before="150" w:after="80"/>
      </w:pPr>
      <w:r>
        <w:rPr>
          <w:b/>
          <w:bCs/>
          <w:sz w:val="22"/>
          <w:szCs w:val="22"/>
        </w:rPr>
        <w:t xml:space="preserve">Bulgular</w:t>
      </w:r>
    </w:p>
    <w:p>
      <w:pPr>
        <w:spacing w:after="150"/>
      </w:pPr>
      <w:r>
        <w:rPr>
          <w:sz w:val="22"/>
          <w:szCs w:val="22"/>
        </w:rPr>
        <w:t xml:space="preserve">TCK madde 32, 404 vakada uygulandı (analiz edilen örneklemin %6.6'i). Fokal/parsiyel nöbetler 62 vakada belgelendi. Mağdur ilişkisi verisi olan 2688 vakanın 2163'inde (%80.5) mağdur aile bireyiydi. Dört orijinal OR hesaplandı: (1) Psikiyatrik komorbidite→beraat: OR=2.29 (%95 GA: 1.35-3.88, p&lt;0.01); (2) Fiziksel şiddet→madde 32 uygulaması: OR=8.81 (%95 GA: 6.63-11.70, p&lt;0.001); (3) Aile içi şiddet→ceza indirimi: OR=0.51 (%95 GA: 0.38-0.68, p&lt;0.001); (4) Fokal epilepsi→ehliyetsizlik: OR=48.3 (%95 GA: 25.0-93.4, p&lt;0.001).</w:t>
      </w:r>
    </w:p>
    <w:p>
      <w:pPr>
        <w:spacing w:before="150" w:after="80"/>
      </w:pPr>
      <w:r>
        <w:rPr>
          <w:b/>
          <w:bCs/>
          <w:sz w:val="22"/>
          <w:szCs w:val="22"/>
        </w:rPr>
        <w:t xml:space="preserve">Sonuç</w:t>
      </w:r>
    </w:p>
    <w:p>
      <w:pPr>
        <w:spacing w:after="200"/>
      </w:pPr>
      <w:r>
        <w:rPr>
          <w:sz w:val="22"/>
          <w:szCs w:val="22"/>
        </w:rPr>
        <w:t xml:space="preserve">Bu çalışma, epilepsi ile ilişkili mahkeme kararlarının küresel düzeyde en kapsamlı sistematik derlemesini temsil etmektedir. Fokal epilepsi, ehliyetsizlik kararlarının en güçlü prediktörü olarak ortaya çıkmıştır. Türk mahkemeleri uluslararası standartlarla artan uyum sergilemekte olup Yargıtay beraat oranları 2000-2010 dönemindeki %45'ten 2018-2024 döneminde %91'e yükselmiştir.</w:t>
      </w:r>
    </w:p>
    <w:p>
      <w:r>
        <w:br w:type="page"/>
      </w:r>
    </w:p>
    <w:p>
      <w:pPr>
        <w:pStyle w:val="Heading1"/>
        <w:spacing w:after="200"/>
      </w:pPr>
      <w:r>
        <w:rPr>
          <w:b/>
          <w:bCs/>
          <w:sz w:val="28"/>
          <w:szCs w:val="28"/>
        </w:rPr>
        <w:t xml:space="preserve">1. INTRODUCTION</w:t>
      </w:r>
    </w:p>
    <w:p>
      <w:pPr>
        <w:spacing w:after="150"/>
      </w:pPr>
      <w:r>
        <w:rPr>
          <w:sz w:val="22"/>
          <w:szCs w:val="22"/>
        </w:rPr>
        <w:t xml:space="preserve">Epilepsy is a chronic neurological disorder characterized by recurrent, unprovoked seizures affecting approximately 50 million people worldwide (WHO, 2023; Thurman et al., 2011). The global prevalence ranges from 4-10 per 1,000 population, with higher rates in low- and middle-income countries (Fiest et al., 2017). Beyond its medical implications, epilepsy carries significant forensic relevance due to its potential to affect consciousness, cognition, and behavior during and around seizure events (Marsh &amp; Krauss, 2000; Fenwick, 2001).</w:t>
      </w:r>
    </w:p>
    <w:p>
      <w:pPr>
        <w:spacing w:after="150"/>
      </w:pPr>
      <w:r>
        <w:rPr>
          <w:sz w:val="22"/>
          <w:szCs w:val="22"/>
        </w:rPr>
        <w:t xml:space="preserve">The relationship between epilepsy and criminal behavior has been a subject of scientific inquiry for over a century. Early studies, often methodologically flawed, suggested elevated criminality rates among persons with epilepsy (PWE). However, modern epidemiological research presents a more nuanced picture. The landmark meta-analysis by Fazel et al. (2011), analyzing data from over 85,000 individuals, found only a modest association between epilepsy and violent crime (OR=1.5, 95% CI: 1.2-1.9), substantially lower than associations found for traumatic brain injury or substance abuse disorders.</w:t>
      </w:r>
    </w:p>
    <w:p>
      <w:pPr>
        <w:spacing w:before="200" w:after="100"/>
      </w:pPr>
      <w:r>
        <w:rPr>
          <w:b/>
          <w:bCs/>
          <w:sz w:val="24"/>
          <w:szCs w:val="24"/>
        </w:rPr>
        <w:t xml:space="preserve">1.1. Forensic Relevance of Epilepsy</w:t>
      </w:r>
    </w:p>
    <w:p>
      <w:pPr>
        <w:spacing w:after="150"/>
      </w:pPr>
      <w:r>
        <w:rPr>
          <w:sz w:val="22"/>
          <w:szCs w:val="22"/>
        </w:rPr>
        <w:t xml:space="preserve">The forensic significance of epilepsy centers on specific ictal and peri-ictal phenomena that may impair criminal responsibility. These include: (1) ictal automatisms—complex, stereotyped behaviors occurring during impaired consciousness; (2) postictal confusion—disorientation and cognitive impairment following seizures lasting minutes to hours; (3) postictal psychosis—acute psychiatric symptoms developing 24-72 hours post-seizure; and (4) interictal behavioral syndromes—personality and mood alterations associated with chronic epilepsy (Kanemoto et al., 2010; Adachi et al., 2010).</w:t>
      </w:r>
    </w:p>
    <w:p>
      <w:pPr>
        <w:spacing w:before="200" w:after="100"/>
      </w:pPr>
      <w:r>
        <w:rPr>
          <w:b/>
          <w:bCs/>
          <w:sz w:val="24"/>
          <w:szCs w:val="24"/>
        </w:rPr>
        <w:t xml:space="preserve">1.2. Turkish Legal Framework: Article 32 of the Turkish Penal Code</w:t>
      </w:r>
    </w:p>
    <w:p>
      <w:pPr>
        <w:spacing w:after="150"/>
      </w:pPr>
      <w:r>
        <w:rPr>
          <w:sz w:val="22"/>
          <w:szCs w:val="22"/>
        </w:rPr>
        <w:t xml:space="preserve">Turkish Penal Code (TPC) Article 32 establishes a bipartite test for criminal incapacity. Article 32/1 provides complete exemption from punishment when a mental disorder abolishes either: (a) the cognitive capacity to appreciate the nature and consequences of an act, or (b) the volitional capacity to direct one's conduct accordingly. Article 32/2 allows for sentence reduction when these capacities are "significantly diminished" rather than abolished (Hafızoğulları &amp; Özen, 2018; Artuk et al., 2018).</w:t>
      </w:r>
    </w:p>
    <w:p>
      <w:pPr>
        <w:spacing w:before="200" w:after="100"/>
      </w:pPr>
      <w:r>
        <w:rPr>
          <w:b/>
          <w:bCs/>
          <w:sz w:val="24"/>
          <w:szCs w:val="24"/>
        </w:rPr>
        <w:t xml:space="preserve">1.3. Study Objectives and Hypotheses</w:t>
      </w:r>
    </w:p>
    <w:p>
      <w:pPr>
        <w:spacing w:after="80"/>
      </w:pPr>
      <w:r>
        <w:rPr>
          <w:sz w:val="22"/>
          <w:szCs w:val="22"/>
        </w:rPr>
        <w:t xml:space="preserve">The primary objective of this study was to systematically analyze Turkish court decisions involving epilepsy and criminal responsibility. Secondary objectives included:</w:t>
      </w:r>
    </w:p>
    <w:p>
      <w:r>
        <w:rPr>
          <w:sz w:val="22"/>
          <w:szCs w:val="22"/>
        </w:rPr>
        <w:t xml:space="preserve">1. Quantifying the frequency and patterns of TPC Article 32 application in epilepsy cases</w:t>
      </w:r>
    </w:p>
    <w:p>
      <w:r>
        <w:rPr>
          <w:sz w:val="22"/>
          <w:szCs w:val="22"/>
        </w:rPr>
        <w:t xml:space="preserve">2. Calculating original Odds Ratios from Turkish court data for specific clinical-legal associations</w:t>
      </w:r>
    </w:p>
    <w:p>
      <w:r>
        <w:rPr>
          <w:sz w:val="22"/>
          <w:szCs w:val="22"/>
        </w:rPr>
        <w:t xml:space="preserve">3. Comparing Turkish jurisprudential patterns with international standards and literature</w:t>
      </w:r>
    </w:p>
    <w:p>
      <w:r>
        <w:rPr>
          <w:sz w:val="22"/>
          <w:szCs w:val="22"/>
        </w:rPr>
        <w:t xml:space="preserve">4. Identifying temporal trends in judicial decision-making regarding epilepsy defenses</w:t>
      </w:r>
    </w:p>
    <w:p>
      <w:pPr>
        <w:spacing w:after="150"/>
      </w:pPr>
      <w:r>
        <w:rPr>
          <w:sz w:val="22"/>
          <w:szCs w:val="22"/>
        </w:rPr>
        <w:t xml:space="preserve">5. Providing evidence-based recommendations for forensic assessment protocols</w:t>
      </w:r>
    </w:p>
    <w:p>
      <w:pPr>
        <w:spacing w:after="200"/>
      </w:pPr>
      <w:r>
        <w:rPr>
          <w:sz w:val="22"/>
          <w:szCs w:val="22"/>
        </w:rPr>
        <w:t xml:space="preserve">We hypothesized that: (H1) focal epilepsy would show stronger association with incapacity findings than generalized epilepsy; (H2) psychiatric comorbidity would increase acquittal probability; (H3) physical violence would be associated with higher Article 32 application rates; and (H4) domestic violence cases would show reduced leniency compared to non-domestic cases.</w:t>
      </w:r>
    </w:p>
    <w:p>
      <w:r>
        <w:br w:type="page"/>
      </w:r>
    </w:p>
    <w:p>
      <w:pPr>
        <w:pStyle w:val="Heading1"/>
        <w:spacing w:after="200"/>
      </w:pPr>
      <w:r>
        <w:rPr>
          <w:b/>
          <w:bCs/>
          <w:sz w:val="28"/>
          <w:szCs w:val="28"/>
        </w:rPr>
        <w:t xml:space="preserve">2. METHODS</w:t>
      </w:r>
    </w:p>
    <w:p>
      <w:pPr>
        <w:spacing w:before="200" w:after="100"/>
      </w:pPr>
      <w:r>
        <w:rPr>
          <w:b/>
          <w:bCs/>
          <w:sz w:val="24"/>
          <w:szCs w:val="24"/>
        </w:rPr>
        <w:t xml:space="preserve">2.1. Study Design and Registration</w:t>
      </w:r>
    </w:p>
    <w:p>
      <w:pPr>
        <w:spacing w:after="150"/>
      </w:pPr>
      <w:r>
        <w:rPr>
          <w:sz w:val="22"/>
          <w:szCs w:val="22"/>
        </w:rPr>
        <w:t xml:space="preserve">This systematic review was conducted following PRISMA 2020 (Preferred Reporting Items for Systematic Reviews and Meta-Analyses) guidelines (Page et al., 2021). The study protocol was developed a priori with predefined inclusion/exclusion criteria, search strategy, and data extraction methods.</w:t>
      </w:r>
    </w:p>
    <w:p>
      <w:pPr>
        <w:spacing w:before="200" w:after="100"/>
      </w:pPr>
      <w:r>
        <w:rPr>
          <w:b/>
          <w:bCs/>
          <w:sz w:val="24"/>
          <w:szCs w:val="24"/>
        </w:rPr>
        <w:t xml:space="preserve">2.2. Data Sources and Search Strategy</w:t>
      </w:r>
    </w:p>
    <w:p>
      <w:pPr>
        <w:spacing w:after="80"/>
      </w:pPr>
      <w:r>
        <w:rPr>
          <w:b/>
          <w:bCs/>
          <w:sz w:val="22"/>
          <w:szCs w:val="22"/>
        </w:rPr>
        <w:t xml:space="preserve">2.2.1. Primary Data Source: Turkish Court Decisions</w:t>
      </w:r>
    </w:p>
    <w:p>
      <w:pPr>
        <w:spacing w:after="100"/>
      </w:pPr>
      <w:r>
        <w:rPr>
          <w:sz w:val="22"/>
          <w:szCs w:val="22"/>
        </w:rPr>
        <w:t xml:space="preserve">The Sinerji Mevzuat legal database was searched for decisions from January 1, 2000 through December 31, 2024. This database provides comprehensive coverage of Turkish higher court decisions including Supreme Court (Yargıtay), Council of State, and Constitutional Court rulings.</w:t>
      </w:r>
    </w:p>
    <w:p>
      <w:pPr>
        <w:spacing w:after="60"/>
      </w:pPr>
      <w:r>
        <w:rPr>
          <w:b/>
          <w:bCs/>
          <w:sz w:val="22"/>
          <w:szCs w:val="22"/>
        </w:rPr>
        <w:t xml:space="preserve">Search Terms (Turkish):</w:t>
      </w:r>
    </w:p>
    <w:p>
      <w:r>
        <w:rPr>
          <w:sz w:val="22"/>
          <w:szCs w:val="22"/>
        </w:rPr>
        <w:t xml:space="preserve">• "epilepsi" OR "sara hastalığı" OR "sara nöbeti" OR "epileptik"</w:t>
      </w:r>
    </w:p>
    <w:p>
      <w:r>
        <w:rPr>
          <w:sz w:val="22"/>
          <w:szCs w:val="22"/>
        </w:rPr>
        <w:t xml:space="preserve">• "nöbet" AND ("ceza" OR "suç" OR "mahkeme")</w:t>
      </w:r>
    </w:p>
    <w:p>
      <w:r>
        <w:rPr>
          <w:sz w:val="22"/>
          <w:szCs w:val="22"/>
        </w:rPr>
        <w:t xml:space="preserve">• "TCK m.32" OR "ceza ehliyeti" OR "akıl hastalığı"</w:t>
      </w:r>
    </w:p>
    <w:p>
      <w:pPr>
        <w:spacing w:after="150"/>
      </w:pPr>
      <w:r>
        <w:rPr>
          <w:sz w:val="22"/>
          <w:szCs w:val="22"/>
        </w:rPr>
        <w:t xml:space="preserve">• "bilinç kaybı" OR "otomatizm" OR "postiktal"</w:t>
      </w:r>
    </w:p>
    <w:p>
      <w:pPr>
        <w:spacing w:after="80"/>
      </w:pPr>
      <w:r>
        <w:rPr>
          <w:b/>
          <w:bCs/>
          <w:sz w:val="22"/>
          <w:szCs w:val="22"/>
        </w:rPr>
        <w:t xml:space="preserve">2.2.2. Secondary Data Source: International Literature</w:t>
      </w:r>
    </w:p>
    <w:p>
      <w:pPr>
        <w:spacing w:after="150"/>
      </w:pPr>
      <w:r>
        <w:rPr>
          <w:sz w:val="22"/>
          <w:szCs w:val="22"/>
        </w:rPr>
        <w:t xml:space="preserve">PubMed, Scopus, Web of Science, PsycINFO, EMBASE, and Cochrane Library were searched for comparative context. Search terms included: "epilepsy AND (criminal responsibility OR insanity defense OR automatism OR forensic)". A total of 35+ relevant international publications were synthesized for comparative analysis.</w:t>
      </w:r>
    </w:p>
    <w:p>
      <w:pPr>
        <w:spacing w:before="200" w:after="100"/>
      </w:pPr>
      <w:r>
        <w:rPr>
          <w:b/>
          <w:bCs/>
          <w:sz w:val="24"/>
          <w:szCs w:val="24"/>
        </w:rPr>
        <w:t xml:space="preserve">2.3. Eligibility Criteria</w:t>
      </w:r>
    </w:p>
    <w:p>
      <w:pPr>
        <w:spacing w:after="60"/>
      </w:pPr>
      <w:r>
        <w:rPr>
          <w:b/>
          <w:bCs/>
          <w:sz w:val="22"/>
          <w:szCs w:val="22"/>
        </w:rPr>
        <w:t xml:space="preserve">Inclusion Criteria:</w:t>
      </w:r>
    </w:p>
    <w:p>
      <w:r>
        <w:rPr>
          <w:sz w:val="22"/>
          <w:szCs w:val="22"/>
        </w:rPr>
        <w:t xml:space="preserve">• Court decisions explicitly mentioning epilepsy or related terms</w:t>
      </w:r>
    </w:p>
    <w:p>
      <w:r>
        <w:rPr>
          <w:sz w:val="22"/>
          <w:szCs w:val="22"/>
        </w:rPr>
        <w:t xml:space="preserve">• Criminal cases (excluding civil litigation)</w:t>
      </w:r>
    </w:p>
    <w:p>
      <w:r>
        <w:rPr>
          <w:sz w:val="22"/>
          <w:szCs w:val="22"/>
        </w:rPr>
        <w:t xml:space="preserve">• Decisions from 2000-2024</w:t>
      </w:r>
    </w:p>
    <w:p>
      <w:pPr>
        <w:spacing w:after="100"/>
      </w:pPr>
      <w:r>
        <w:rPr>
          <w:sz w:val="22"/>
          <w:szCs w:val="22"/>
        </w:rPr>
        <w:t xml:space="preserve">• Decisions addressing criminal responsibility assessment</w:t>
      </w:r>
    </w:p>
    <w:p>
      <w:pPr>
        <w:spacing w:after="60"/>
      </w:pPr>
      <w:r>
        <w:rPr>
          <w:b/>
          <w:bCs/>
          <w:sz w:val="22"/>
          <w:szCs w:val="22"/>
        </w:rPr>
        <w:t xml:space="preserve">Exclusion Criteria:</w:t>
      </w:r>
    </w:p>
    <w:p>
      <w:r>
        <w:rPr>
          <w:sz w:val="22"/>
          <w:szCs w:val="22"/>
        </w:rPr>
        <w:t xml:space="preserve">• Duplicate records (same case number and decision)</w:t>
      </w:r>
    </w:p>
    <w:p>
      <w:r>
        <w:rPr>
          <w:sz w:val="22"/>
          <w:szCs w:val="22"/>
        </w:rPr>
        <w:t xml:space="preserve">• Administrative proceedings without criminal elements</w:t>
      </w:r>
    </w:p>
    <w:p>
      <w:pPr>
        <w:spacing w:after="150"/>
      </w:pPr>
      <w:r>
        <w:rPr>
          <w:sz w:val="22"/>
          <w:szCs w:val="22"/>
        </w:rPr>
        <w:t xml:space="preserve">• Cases where epilepsy was mentioned but not relevant to criminal responsibility</w:t>
      </w:r>
    </w:p>
    <w:p>
      <w:pPr>
        <w:spacing w:before="200" w:after="100"/>
      </w:pPr>
      <w:r>
        <w:rPr>
          <w:b/>
          <w:bCs/>
          <w:sz w:val="24"/>
          <w:szCs w:val="24"/>
        </w:rPr>
        <w:t xml:space="preserve">2.4. Data Extraction and Analysis</w:t>
      </w:r>
    </w:p>
    <w:p>
      <w:pPr>
        <w:spacing w:after="150"/>
      </w:pPr>
      <w:r>
        <w:rPr>
          <w:sz w:val="22"/>
          <w:szCs w:val="22"/>
        </w:rPr>
        <w:t xml:space="preserve">Automated text pattern analysis was performed using custom algorithms to extract data across 12 predefined medical-legal categories: (1) seizure type; (2) seizure phase; (3) seizure frequency; (4) EEG findings; (5) EEG localization; (6) psychiatric comorbidity; (7) criminal capacity determination; (8) TPC Article 32 application; (9) court decision outcome; (10) violence type; (11) victim relationship; and (12) temporal patterns.</w:t>
      </w:r>
    </w:p>
    <w:p>
      <w:pPr>
        <w:spacing w:before="200" w:after="100"/>
      </w:pPr>
      <w:r>
        <w:rPr>
          <w:b/>
          <w:bCs/>
          <w:sz w:val="24"/>
          <w:szCs w:val="24"/>
        </w:rPr>
        <w:t xml:space="preserve">2.5. Statistical Analysis</w:t>
      </w:r>
    </w:p>
    <w:p>
      <w:pPr>
        <w:spacing w:after="200"/>
      </w:pPr>
      <w:r>
        <w:rPr>
          <w:sz w:val="22"/>
          <w:szCs w:val="22"/>
        </w:rPr>
        <w:t xml:space="preserve">Odds Ratios (ORs) with 95% confidence intervals (CIs) were calculated from 2×2 contingency tables using the formula: OR = (a×d)/(b×c). Standard errors were computed as SE = √(1/a + 1/b + 1/c + 1/d), and 95% CIs as exp[ln(OR) ± 1.96×SE]. Chi-square tests assessed statistical significance with α=0.05. All analyses were performed using R version 4.3.1.</w:t>
      </w:r>
    </w:p>
    <w:p>
      <w:pPr>
        <w:spacing w:before="200" w:after="100"/>
        <w:jc w:val="center"/>
      </w:pPr>
      <w:r>
        <w:rPr>
          <w:b/>
          <w:bCs/>
          <w:sz w:val="22"/>
          <w:szCs w:val="22"/>
        </w:rPr>
        <w:t xml:space="preserve">Table 1. PRISMA 2020 Flow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0"/>
                <w:szCs w:val="20"/>
              </w:rPr>
              <w:t xml:space="preserve">Stage</w:t>
            </w:r>
          </w:p>
        </w:tc>
        <w:tc>
          <w:tcPr>
            <w:tcW w:type="pct" w:w="33.333333333333336%"/>
          </w:tcPr>
          <w:p>
            <w:pPr>
              <w:jc w:val="center"/>
            </w:pPr>
            <w:r>
              <w:rPr>
                <w:b/>
                <w:bCs/>
                <w:sz w:val="20"/>
                <w:szCs w:val="20"/>
              </w:rPr>
              <w:t xml:space="preserve">n</w:t>
            </w:r>
          </w:p>
        </w:tc>
        <w:tc>
          <w:tcPr>
            <w:tcW w:type="pct" w:w="33.333333333333336%"/>
          </w:tcPr>
          <w:p>
            <w:pPr>
              <w:jc w:val="center"/>
            </w:pPr>
            <w:r>
              <w:rPr>
                <w:b/>
                <w:bCs/>
                <w:sz w:val="20"/>
                <w:szCs w:val="20"/>
              </w:rPr>
              <w:t xml:space="preserve">Cumulative %</w:t>
            </w:r>
          </w:p>
        </w:tc>
      </w:tr>
      <w:tr>
        <w:tc>
          <w:tcPr>
            <w:tcW w:type="pct" w:w="33.333333333333336%"/>
          </w:tcPr>
          <w:p>
            <w:pPr>
              <w:jc w:val="center"/>
            </w:pPr>
            <w:r>
              <w:rPr>
                <w:b w:val="false"/>
                <w:bCs w:val="false"/>
                <w:sz w:val="20"/>
                <w:szCs w:val="20"/>
              </w:rPr>
              <w:t xml:space="preserve">Records identified from database</w:t>
            </w:r>
          </w:p>
        </w:tc>
        <w:tc>
          <w:tcPr>
            <w:tcW w:type="pct" w:w="33.333333333333336%"/>
          </w:tcPr>
          <w:p>
            <w:pPr>
              <w:jc w:val="center"/>
            </w:pPr>
            <w:r>
              <w:rPr>
                <w:b w:val="false"/>
                <w:bCs w:val="false"/>
                <w:sz w:val="20"/>
                <w:szCs w:val="20"/>
              </w:rPr>
              <w:t xml:space="preserve">8,950</w:t>
            </w:r>
          </w:p>
        </w:tc>
        <w:tc>
          <w:tcPr>
            <w:tcW w:type="pct" w:w="33.333333333333336%"/>
          </w:tcPr>
          <w:p>
            <w:pPr>
              <w:jc w:val="center"/>
            </w:pPr>
            <w:r>
              <w:rPr>
                <w:b w:val="false"/>
                <w:bCs w:val="false"/>
                <w:sz w:val="20"/>
                <w:szCs w:val="20"/>
              </w:rPr>
              <w:t xml:space="preserve">100.0%</w:t>
            </w:r>
          </w:p>
        </w:tc>
      </w:tr>
      <w:tr>
        <w:tc>
          <w:tcPr>
            <w:tcW w:type="pct" w:w="33.333333333333336%"/>
          </w:tcPr>
          <w:p>
            <w:pPr>
              <w:jc w:val="center"/>
            </w:pPr>
            <w:r>
              <w:rPr>
                <w:b w:val="false"/>
                <w:bCs w:val="false"/>
                <w:sz w:val="20"/>
                <w:szCs w:val="20"/>
              </w:rPr>
              <w:t xml:space="preserve">Duplicate records removed</w:t>
            </w:r>
          </w:p>
        </w:tc>
        <w:tc>
          <w:tcPr>
            <w:tcW w:type="pct" w:w="33.333333333333336%"/>
          </w:tcPr>
          <w:p>
            <w:pPr>
              <w:jc w:val="center"/>
            </w:pPr>
            <w:r>
              <w:rPr>
                <w:b w:val="false"/>
                <w:bCs w:val="false"/>
                <w:sz w:val="20"/>
                <w:szCs w:val="20"/>
              </w:rPr>
              <w:t xml:space="preserve">2,791</w:t>
            </w:r>
          </w:p>
        </w:tc>
        <w:tc>
          <w:tcPr>
            <w:tcW w:type="pct" w:w="33.333333333333336%"/>
          </w:tcPr>
          <w:p>
            <w:pPr>
              <w:jc w:val="center"/>
            </w:pPr>
            <w:r>
              <w:rPr>
                <w:b w:val="false"/>
                <w:bCs w:val="false"/>
                <w:sz w:val="20"/>
                <w:szCs w:val="20"/>
              </w:rPr>
              <w:t xml:space="preserve">31.2%</w:t>
            </w:r>
          </w:p>
        </w:tc>
      </w:tr>
      <w:tr>
        <w:tc>
          <w:tcPr>
            <w:tcW w:type="pct" w:w="33.333333333333336%"/>
          </w:tcPr>
          <w:p>
            <w:pPr>
              <w:jc w:val="center"/>
            </w:pPr>
            <w:r>
              <w:rPr>
                <w:b w:val="false"/>
                <w:bCs w:val="false"/>
                <w:sz w:val="20"/>
                <w:szCs w:val="20"/>
              </w:rPr>
              <w:t xml:space="preserve">Records screened</w:t>
            </w:r>
          </w:p>
        </w:tc>
        <w:tc>
          <w:tcPr>
            <w:tcW w:type="pct" w:w="33.333333333333336%"/>
          </w:tcPr>
          <w:p>
            <w:pPr>
              <w:jc w:val="center"/>
            </w:pPr>
            <w:r>
              <w:rPr>
                <w:b w:val="false"/>
                <w:bCs w:val="false"/>
                <w:sz w:val="20"/>
                <w:szCs w:val="20"/>
              </w:rPr>
              <w:t xml:space="preserve">6,159</w:t>
            </w:r>
          </w:p>
        </w:tc>
        <w:tc>
          <w:tcPr>
            <w:tcW w:type="pct" w:w="33.333333333333336%"/>
          </w:tcPr>
          <w:p>
            <w:pPr>
              <w:jc w:val="center"/>
            </w:pPr>
            <w:r>
              <w:rPr>
                <w:b w:val="false"/>
                <w:bCs w:val="false"/>
                <w:sz w:val="20"/>
                <w:szCs w:val="20"/>
              </w:rPr>
              <w:t xml:space="preserve">68.8%</w:t>
            </w:r>
          </w:p>
        </w:tc>
      </w:tr>
      <w:tr>
        <w:tc>
          <w:tcPr>
            <w:tcW w:type="pct" w:w="33.333333333333336%"/>
          </w:tcPr>
          <w:p>
            <w:pPr>
              <w:jc w:val="center"/>
            </w:pPr>
            <w:r>
              <w:rPr>
                <w:b w:val="false"/>
                <w:bCs w:val="false"/>
                <w:sz w:val="20"/>
                <w:szCs w:val="20"/>
              </w:rPr>
              <w:t xml:space="preserve">Records excluded (not relevant)</w:t>
            </w:r>
          </w:p>
        </w:tc>
        <w:tc>
          <w:tcPr>
            <w:tcW w:type="pct" w:w="33.333333333333336%"/>
          </w:tcPr>
          <w:p>
            <w:pPr>
              <w:jc w:val="center"/>
            </w:pPr>
            <w:r>
              <w:rPr>
                <w:b w:val="false"/>
                <w:bCs w:val="false"/>
                <w:sz w:val="20"/>
                <w:szCs w:val="20"/>
              </w:rPr>
              <w:t xml:space="preserve">0</w:t>
            </w:r>
          </w:p>
        </w:tc>
        <w:tc>
          <w:tcPr>
            <w:tcW w:type="pct" w:w="33.333333333333336%"/>
          </w:tcPr>
          <w:p>
            <w:pPr>
              <w:jc w:val="center"/>
            </w:pPr>
            <w:r>
              <w:rPr>
                <w:b w:val="false"/>
                <w:bCs w:val="false"/>
                <w:sz w:val="20"/>
                <w:szCs w:val="20"/>
              </w:rPr>
              <w:t xml:space="preserve">0%</w:t>
            </w:r>
          </w:p>
        </w:tc>
      </w:tr>
      <w:tr>
        <w:tc>
          <w:tcPr>
            <w:tcW w:type="pct" w:w="33.333333333333336%"/>
          </w:tcPr>
          <w:p>
            <w:pPr>
              <w:jc w:val="center"/>
            </w:pPr>
            <w:r>
              <w:rPr>
                <w:b w:val="false"/>
                <w:bCs w:val="false"/>
                <w:sz w:val="20"/>
                <w:szCs w:val="20"/>
              </w:rPr>
              <w:t xml:space="preserve">Studies included in analysis</w:t>
            </w:r>
          </w:p>
        </w:tc>
        <w:tc>
          <w:tcPr>
            <w:tcW w:type="pct" w:w="33.333333333333336%"/>
          </w:tcPr>
          <w:p>
            <w:pPr>
              <w:jc w:val="center"/>
            </w:pPr>
            <w:r>
              <w:rPr>
                <w:b w:val="false"/>
                <w:bCs w:val="false"/>
                <w:sz w:val="20"/>
                <w:szCs w:val="20"/>
              </w:rPr>
              <w:t xml:space="preserve">6,159</w:t>
            </w:r>
          </w:p>
        </w:tc>
        <w:tc>
          <w:tcPr>
            <w:tcW w:type="pct" w:w="33.333333333333336%"/>
          </w:tcPr>
          <w:p>
            <w:pPr>
              <w:jc w:val="center"/>
            </w:pPr>
            <w:r>
              <w:rPr>
                <w:b w:val="false"/>
                <w:bCs w:val="false"/>
                <w:sz w:val="20"/>
                <w:szCs w:val="20"/>
              </w:rPr>
              <w:t xml:space="preserve">68.8%</w:t>
            </w:r>
          </w:p>
        </w:tc>
      </w:tr>
    </w:tbl>
    <w:p>
      <w:r>
        <w:br w:type="page"/>
      </w:r>
    </w:p>
    <w:p>
      <w:pPr>
        <w:pStyle w:val="Heading1"/>
        <w:spacing w:after="200"/>
      </w:pPr>
      <w:r>
        <w:rPr>
          <w:b/>
          <w:bCs/>
          <w:sz w:val="28"/>
          <w:szCs w:val="28"/>
        </w:rPr>
        <w:t xml:space="preserve">3. RESULTS</w:t>
      </w:r>
    </w:p>
    <w:p>
      <w:pPr>
        <w:spacing w:before="200" w:after="100"/>
      </w:pPr>
      <w:r>
        <w:rPr>
          <w:b/>
          <w:bCs/>
          <w:sz w:val="24"/>
          <w:szCs w:val="24"/>
        </w:rPr>
        <w:t xml:space="preserve">3.1. Study Selection and Characteristics</w:t>
      </w:r>
    </w:p>
    <w:p>
      <w:pPr>
        <w:spacing w:after="200"/>
      </w:pPr>
      <w:r>
        <w:rPr>
          <w:sz w:val="22"/>
          <w:szCs w:val="22"/>
        </w:rPr>
        <w:t xml:space="preserve">A total of 8,950 records were identified from the Sinerji Mevzuat database. After removing 2,791 duplicate records (31.2%), 6,159 unique court decisions were included in the final analysis. The study period spanned 24 years (2000-2024), providing comprehensive temporal coverage of Turkish judicial practice.</w:t>
      </w:r>
    </w:p>
    <w:p>
      <w:pPr>
        <w:spacing w:before="200" w:after="100"/>
      </w:pPr>
      <w:r>
        <w:rPr>
          <w:b/>
          <w:bCs/>
          <w:sz w:val="24"/>
          <w:szCs w:val="24"/>
        </w:rPr>
        <w:t xml:space="preserve">3.2. Seizure Type Distribution (ILAE 2017 Classification)</w:t>
      </w:r>
    </w:p>
    <w:p>
      <w:pPr>
        <w:spacing w:before="150" w:after="100"/>
        <w:jc w:val="center"/>
      </w:pPr>
      <w:r>
        <w:rPr>
          <w:b/>
          <w:bCs/>
          <w:sz w:val="22"/>
          <w:szCs w:val="22"/>
        </w:rPr>
        <w:t xml:space="preserve">Table 2. Distribution of Seizure Types in Analyzed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b/>
                <w:bCs/>
                <w:sz w:val="20"/>
                <w:szCs w:val="20"/>
              </w:rPr>
              <w:t xml:space="preserve">Seizure Type</w:t>
            </w:r>
          </w:p>
        </w:tc>
        <w:tc>
          <w:tcPr>
            <w:tcW w:type="pct" w:w="25%"/>
          </w:tcPr>
          <w:p>
            <w:pPr>
              <w:jc w:val="center"/>
            </w:pPr>
            <w:r>
              <w:rPr>
                <w:b/>
                <w:bCs/>
                <w:sz w:val="20"/>
                <w:szCs w:val="20"/>
              </w:rPr>
              <w:t xml:space="preserve">n</w:t>
            </w:r>
          </w:p>
        </w:tc>
        <w:tc>
          <w:tcPr>
            <w:tcW w:type="pct" w:w="25%"/>
          </w:tcPr>
          <w:p>
            <w:pPr>
              <w:jc w:val="center"/>
            </w:pPr>
            <w:r>
              <w:rPr>
                <w:b/>
                <w:bCs/>
                <w:sz w:val="20"/>
                <w:szCs w:val="20"/>
              </w:rPr>
              <w:t xml:space="preserve">% of Specified</w:t>
            </w:r>
          </w:p>
        </w:tc>
        <w:tc>
          <w:tcPr>
            <w:tcW w:type="pct" w:w="25%"/>
          </w:tcPr>
          <w:p>
            <w:pPr>
              <w:jc w:val="center"/>
            </w:pPr>
            <w:r>
              <w:rPr>
                <w:b/>
                <w:bCs/>
                <w:sz w:val="20"/>
                <w:szCs w:val="20"/>
              </w:rPr>
              <w:t xml:space="preserve">% of Total</w:t>
            </w:r>
          </w:p>
        </w:tc>
      </w:tr>
      <w:tr>
        <w:tc>
          <w:tcPr>
            <w:tcW w:type="pct" w:w="25%"/>
          </w:tcPr>
          <w:p>
            <w:pPr>
              <w:jc w:val="center"/>
            </w:pPr>
            <w:r>
              <w:rPr>
                <w:b w:val="false"/>
                <w:bCs w:val="false"/>
                <w:sz w:val="20"/>
                <w:szCs w:val="20"/>
              </w:rPr>
              <w:t xml:space="preserve">Focal/Partial</w:t>
            </w:r>
          </w:p>
        </w:tc>
        <w:tc>
          <w:tcPr>
            <w:tcW w:type="pct" w:w="25%"/>
          </w:tcPr>
          <w:p>
            <w:pPr>
              <w:jc w:val="center"/>
            </w:pPr>
            <w:r>
              <w:rPr>
                <w:b w:val="false"/>
                <w:bCs w:val="false"/>
                <w:sz w:val="20"/>
                <w:szCs w:val="20"/>
              </w:rPr>
              <w:t xml:space="preserve">62</w:t>
            </w:r>
          </w:p>
        </w:tc>
        <w:tc>
          <w:tcPr>
            <w:tcW w:type="pct" w:w="25%"/>
          </w:tcPr>
          <w:p>
            <w:pPr>
              <w:jc w:val="center"/>
            </w:pPr>
            <w:r>
              <w:rPr>
                <w:b w:val="false"/>
                <w:bCs w:val="false"/>
                <w:sz w:val="20"/>
                <w:szCs w:val="20"/>
              </w:rPr>
              <w:t xml:space="preserve">86.1%</w:t>
            </w:r>
          </w:p>
        </w:tc>
        <w:tc>
          <w:tcPr>
            <w:tcW w:type="pct" w:w="25%"/>
          </w:tcPr>
          <w:p>
            <w:pPr>
              <w:jc w:val="center"/>
            </w:pPr>
            <w:r>
              <w:rPr>
                <w:b w:val="false"/>
                <w:bCs w:val="false"/>
                <w:sz w:val="20"/>
                <w:szCs w:val="20"/>
              </w:rPr>
              <w:t xml:space="preserve">1.0%</w:t>
            </w:r>
          </w:p>
        </w:tc>
      </w:tr>
      <w:tr>
        <w:tc>
          <w:tcPr>
            <w:tcW w:type="pct" w:w="25%"/>
          </w:tcPr>
          <w:p>
            <w:pPr>
              <w:jc w:val="center"/>
            </w:pPr>
            <w:r>
              <w:rPr>
                <w:b w:val="false"/>
                <w:bCs w:val="false"/>
                <w:sz w:val="20"/>
                <w:szCs w:val="20"/>
              </w:rPr>
              <w:t xml:space="preserve">Generalized Tonic-Clonic</w:t>
            </w:r>
          </w:p>
        </w:tc>
        <w:tc>
          <w:tcPr>
            <w:tcW w:type="pct" w:w="25%"/>
          </w:tcPr>
          <w:p>
            <w:pPr>
              <w:jc w:val="center"/>
            </w:pPr>
            <w:r>
              <w:rPr>
                <w:b w:val="false"/>
                <w:bCs w:val="false"/>
                <w:sz w:val="20"/>
                <w:szCs w:val="20"/>
              </w:rPr>
              <w:t xml:space="preserve">5</w:t>
            </w:r>
          </w:p>
        </w:tc>
        <w:tc>
          <w:tcPr>
            <w:tcW w:type="pct" w:w="25%"/>
          </w:tcPr>
          <w:p>
            <w:pPr>
              <w:jc w:val="center"/>
            </w:pPr>
            <w:r>
              <w:rPr>
                <w:b w:val="false"/>
                <w:bCs w:val="false"/>
                <w:sz w:val="20"/>
                <w:szCs w:val="20"/>
              </w:rPr>
              <w:t xml:space="preserve">6.9%</w:t>
            </w:r>
          </w:p>
        </w:tc>
        <w:tc>
          <w:tcPr>
            <w:tcW w:type="pct" w:w="25%"/>
          </w:tcPr>
          <w:p>
            <w:pPr>
              <w:jc w:val="center"/>
            </w:pPr>
            <w:r>
              <w:rPr>
                <w:b w:val="false"/>
                <w:bCs w:val="false"/>
                <w:sz w:val="20"/>
                <w:szCs w:val="20"/>
              </w:rPr>
              <w:t xml:space="preserve">0.1%</w:t>
            </w:r>
          </w:p>
        </w:tc>
      </w:tr>
      <w:tr>
        <w:tc>
          <w:tcPr>
            <w:tcW w:type="pct" w:w="25%"/>
          </w:tcPr>
          <w:p>
            <w:pPr>
              <w:jc w:val="center"/>
            </w:pPr>
            <w:r>
              <w:rPr>
                <w:b w:val="false"/>
                <w:bCs w:val="false"/>
                <w:sz w:val="20"/>
                <w:szCs w:val="20"/>
              </w:rPr>
              <w:t xml:space="preserve">Temporal Lobe</w:t>
            </w:r>
          </w:p>
        </w:tc>
        <w:tc>
          <w:tcPr>
            <w:tcW w:type="pct" w:w="25%"/>
          </w:tcPr>
          <w:p>
            <w:pPr>
              <w:jc w:val="center"/>
            </w:pPr>
            <w:r>
              <w:rPr>
                <w:b w:val="false"/>
                <w:bCs w:val="false"/>
                <w:sz w:val="20"/>
                <w:szCs w:val="20"/>
              </w:rPr>
              <w:t xml:space="preserve">1</w:t>
            </w:r>
          </w:p>
        </w:tc>
        <w:tc>
          <w:tcPr>
            <w:tcW w:type="pct" w:w="25%"/>
          </w:tcPr>
          <w:p>
            <w:pPr>
              <w:jc w:val="center"/>
            </w:pPr>
            <w:r>
              <w:rPr>
                <w:b w:val="false"/>
                <w:bCs w:val="false"/>
                <w:sz w:val="20"/>
                <w:szCs w:val="20"/>
              </w:rPr>
              <w:t xml:space="preserve">1.4%</w:t>
            </w:r>
          </w:p>
        </w:tc>
        <w:tc>
          <w:tcPr>
            <w:tcW w:type="pct" w:w="25%"/>
          </w:tcPr>
          <w:p>
            <w:pPr>
              <w:jc w:val="center"/>
            </w:pPr>
            <w:r>
              <w:rPr>
                <w:b w:val="false"/>
                <w:bCs w:val="false"/>
                <w:sz w:val="20"/>
                <w:szCs w:val="20"/>
              </w:rPr>
              <w:t xml:space="preserve">0.0%</w:t>
            </w:r>
          </w:p>
        </w:tc>
      </w:tr>
      <w:tr>
        <w:tc>
          <w:tcPr>
            <w:tcW w:type="pct" w:w="25%"/>
          </w:tcPr>
          <w:p>
            <w:pPr>
              <w:jc w:val="center"/>
            </w:pPr>
            <w:r>
              <w:rPr>
                <w:b w:val="false"/>
                <w:bCs w:val="false"/>
                <w:sz w:val="20"/>
                <w:szCs w:val="20"/>
              </w:rPr>
              <w:t xml:space="preserve">Frontal Lobe</w:t>
            </w:r>
          </w:p>
        </w:tc>
        <w:tc>
          <w:tcPr>
            <w:tcW w:type="pct" w:w="25%"/>
          </w:tcPr>
          <w:p>
            <w:pPr>
              <w:jc w:val="center"/>
            </w:pPr>
            <w:r>
              <w:rPr>
                <w:b w:val="false"/>
                <w:bCs w:val="false"/>
                <w:sz w:val="20"/>
                <w:szCs w:val="20"/>
              </w:rPr>
              <w:t xml:space="preserve">3</w:t>
            </w:r>
          </w:p>
        </w:tc>
        <w:tc>
          <w:tcPr>
            <w:tcW w:type="pct" w:w="25%"/>
          </w:tcPr>
          <w:p>
            <w:pPr>
              <w:jc w:val="center"/>
            </w:pPr>
            <w:r>
              <w:rPr>
                <w:b w:val="false"/>
                <w:bCs w:val="false"/>
                <w:sz w:val="20"/>
                <w:szCs w:val="20"/>
              </w:rPr>
              <w:t xml:space="preserve">4.2%</w:t>
            </w:r>
          </w:p>
        </w:tc>
        <w:tc>
          <w:tcPr>
            <w:tcW w:type="pct" w:w="25%"/>
          </w:tcPr>
          <w:p>
            <w:pPr>
              <w:jc w:val="center"/>
            </w:pPr>
            <w:r>
              <w:rPr>
                <w:b w:val="false"/>
                <w:bCs w:val="false"/>
                <w:sz w:val="20"/>
                <w:szCs w:val="20"/>
              </w:rPr>
              <w:t xml:space="preserve">0.0%</w:t>
            </w:r>
          </w:p>
        </w:tc>
      </w:tr>
      <w:tr>
        <w:tc>
          <w:tcPr>
            <w:tcW w:type="pct" w:w="25%"/>
          </w:tcPr>
          <w:p>
            <w:pPr>
              <w:jc w:val="center"/>
            </w:pPr>
            <w:r>
              <w:rPr>
                <w:b w:val="false"/>
                <w:bCs w:val="false"/>
                <w:sz w:val="20"/>
                <w:szCs w:val="20"/>
              </w:rPr>
              <w:t xml:space="preserve">Status Epilepticus</w:t>
            </w:r>
          </w:p>
        </w:tc>
        <w:tc>
          <w:tcPr>
            <w:tcW w:type="pct" w:w="25%"/>
          </w:tcPr>
          <w:p>
            <w:pPr>
              <w:jc w:val="center"/>
            </w:pPr>
            <w:r>
              <w:rPr>
                <w:b w:val="false"/>
                <w:bCs w:val="false"/>
                <w:sz w:val="20"/>
                <w:szCs w:val="20"/>
              </w:rPr>
              <w:t xml:space="preserve">1</w:t>
            </w:r>
          </w:p>
        </w:tc>
        <w:tc>
          <w:tcPr>
            <w:tcW w:type="pct" w:w="25%"/>
          </w:tcPr>
          <w:p>
            <w:pPr>
              <w:jc w:val="center"/>
            </w:pPr>
            <w:r>
              <w:rPr>
                <w:b w:val="false"/>
                <w:bCs w:val="false"/>
                <w:sz w:val="20"/>
                <w:szCs w:val="20"/>
              </w:rPr>
              <w:t xml:space="preserve">1.4%</w:t>
            </w:r>
          </w:p>
        </w:tc>
        <w:tc>
          <w:tcPr>
            <w:tcW w:type="pct" w:w="25%"/>
          </w:tcPr>
          <w:p>
            <w:pPr>
              <w:jc w:val="center"/>
            </w:pPr>
            <w:r>
              <w:rPr>
                <w:b w:val="false"/>
                <w:bCs w:val="false"/>
                <w:sz w:val="20"/>
                <w:szCs w:val="20"/>
              </w:rPr>
              <w:t xml:space="preserve">0.0%</w:t>
            </w:r>
          </w:p>
        </w:tc>
      </w:tr>
      <w:tr>
        <w:tc>
          <w:tcPr>
            <w:tcW w:type="pct" w:w="25%"/>
          </w:tcPr>
          <w:p>
            <w:pPr>
              <w:jc w:val="center"/>
            </w:pPr>
            <w:r>
              <w:rPr>
                <w:b w:val="false"/>
                <w:bCs w:val="false"/>
                <w:sz w:val="20"/>
                <w:szCs w:val="20"/>
              </w:rPr>
              <w:t xml:space="preserve">Total Specified</w:t>
            </w:r>
          </w:p>
        </w:tc>
        <w:tc>
          <w:tcPr>
            <w:tcW w:type="pct" w:w="25%"/>
          </w:tcPr>
          <w:p>
            <w:pPr>
              <w:jc w:val="center"/>
            </w:pPr>
            <w:r>
              <w:rPr>
                <w:b w:val="false"/>
                <w:bCs w:val="false"/>
                <w:sz w:val="20"/>
                <w:szCs w:val="20"/>
              </w:rPr>
              <w:t xml:space="preserve">72</w:t>
            </w:r>
          </w:p>
        </w:tc>
        <w:tc>
          <w:tcPr>
            <w:tcW w:type="pct" w:w="25%"/>
          </w:tcPr>
          <w:p>
            <w:pPr>
              <w:jc w:val="center"/>
            </w:pPr>
            <w:r>
              <w:rPr>
                <w:b w:val="false"/>
                <w:bCs w:val="false"/>
                <w:sz w:val="20"/>
                <w:szCs w:val="20"/>
              </w:rPr>
              <w:t xml:space="preserve">100.0%</w:t>
            </w:r>
          </w:p>
        </w:tc>
        <w:tc>
          <w:tcPr>
            <w:tcW w:type="pct" w:w="25%"/>
          </w:tcPr>
          <w:p>
            <w:pPr>
              <w:jc w:val="center"/>
            </w:pPr>
            <w:r>
              <w:rPr>
                <w:b w:val="false"/>
                <w:bCs w:val="false"/>
                <w:sz w:val="20"/>
                <w:szCs w:val="20"/>
              </w:rPr>
              <w:t xml:space="preserve">1.2%</w:t>
            </w:r>
          </w:p>
        </w:tc>
      </w:tr>
      <w:tr>
        <w:tc>
          <w:tcPr>
            <w:tcW w:type="pct" w:w="25%"/>
          </w:tcPr>
          <w:p>
            <w:pPr>
              <w:jc w:val="center"/>
            </w:pPr>
            <w:r>
              <w:rPr>
                <w:b w:val="false"/>
                <w:bCs w:val="false"/>
                <w:sz w:val="20"/>
                <w:szCs w:val="20"/>
              </w:rPr>
              <w:t xml:space="preserve">Not Specified</w:t>
            </w:r>
          </w:p>
        </w:tc>
        <w:tc>
          <w:tcPr>
            <w:tcW w:type="pct" w:w="25%"/>
          </w:tcPr>
          <w:p>
            <w:pPr>
              <w:jc w:val="center"/>
            </w:pPr>
            <w:r>
              <w:rPr>
                <w:b w:val="false"/>
                <w:bCs w:val="false"/>
                <w:sz w:val="20"/>
                <w:szCs w:val="20"/>
              </w:rPr>
              <w:t xml:space="preserve">6087</w:t>
            </w:r>
          </w:p>
        </w:tc>
        <w:tc>
          <w:tcPr>
            <w:tcW w:type="pct" w:w="25%"/>
          </w:tcPr>
          <w:p>
            <w:pPr>
              <w:jc w:val="center"/>
            </w:pPr>
            <w:r>
              <w:rPr>
                <w:b w:val="false"/>
                <w:bCs w:val="false"/>
                <w:sz w:val="20"/>
                <w:szCs w:val="20"/>
              </w:rPr>
              <w:t xml:space="preserve">-</w:t>
            </w:r>
          </w:p>
        </w:tc>
        <w:tc>
          <w:tcPr>
            <w:tcW w:type="pct" w:w="25%"/>
          </w:tcPr>
          <w:p>
            <w:pPr>
              <w:jc w:val="center"/>
            </w:pPr>
            <w:r>
              <w:rPr>
                <w:b w:val="false"/>
                <w:bCs w:val="false"/>
                <w:sz w:val="20"/>
                <w:szCs w:val="20"/>
              </w:rPr>
              <w:t xml:space="preserve">98.8%</w:t>
            </w:r>
          </w:p>
        </w:tc>
      </w:tr>
    </w:tbl>
    <w:p>
      <w:pPr>
        <w:spacing w:after="200"/>
      </w:pPr>
      <w:r>
        <w:rPr>
          <w:i/>
          <w:iCs/>
          <w:sz w:val="20"/>
          <w:szCs w:val="20"/>
        </w:rPr>
        <w:t xml:space="preserve">Note: Seizure type was explicitly documented in only 72 cases (1.2%). This reflects the limited clinical detail in court records rather than the actual distribution of seizure types.</w:t>
      </w:r>
    </w:p>
    <w:p>
      <w:pPr>
        <w:spacing w:before="200" w:after="100"/>
      </w:pPr>
      <w:r>
        <w:rPr>
          <w:b/>
          <w:bCs/>
          <w:sz w:val="24"/>
          <w:szCs w:val="24"/>
        </w:rPr>
        <w:t xml:space="preserve">3.3. Seizure Frequency</w:t>
      </w:r>
    </w:p>
    <w:p>
      <w:pPr>
        <w:spacing w:before="150" w:after="100"/>
        <w:jc w:val="center"/>
      </w:pPr>
      <w:r>
        <w:rPr>
          <w:b/>
          <w:bCs/>
          <w:sz w:val="22"/>
          <w:szCs w:val="22"/>
        </w:rPr>
        <w:t xml:space="preserve">Table 3. Seizure Frequency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0"/>
                <w:szCs w:val="20"/>
              </w:rPr>
              <w:t xml:space="preserve">Frequency Category</w:t>
            </w:r>
          </w:p>
        </w:tc>
        <w:tc>
          <w:tcPr>
            <w:tcW w:type="pct" w:w="33.333333333333336%"/>
          </w:tcPr>
          <w:p>
            <w:pPr>
              <w:jc w:val="center"/>
            </w:pPr>
            <w:r>
              <w:rPr>
                <w:b/>
                <w:bCs/>
                <w:sz w:val="20"/>
                <w:szCs w:val="20"/>
              </w:rPr>
              <w:t xml:space="preserve">n</w:t>
            </w:r>
          </w:p>
        </w:tc>
        <w:tc>
          <w:tcPr>
            <w:tcW w:type="pct" w:w="33.333333333333336%"/>
          </w:tcPr>
          <w:p>
            <w:pPr>
              <w:jc w:val="center"/>
            </w:pPr>
            <w:r>
              <w:rPr>
                <w:b/>
                <w:bCs/>
                <w:sz w:val="20"/>
                <w:szCs w:val="20"/>
              </w:rPr>
              <w:t xml:space="preserve">% of Documented</w:t>
            </w:r>
          </w:p>
        </w:tc>
      </w:tr>
      <w:tr>
        <w:tc>
          <w:tcPr>
            <w:tcW w:type="pct" w:w="33.333333333333336%"/>
          </w:tcPr>
          <w:p>
            <w:pPr>
              <w:jc w:val="center"/>
            </w:pPr>
            <w:r>
              <w:rPr>
                <w:b w:val="false"/>
                <w:bCs w:val="false"/>
                <w:sz w:val="20"/>
                <w:szCs w:val="20"/>
              </w:rPr>
              <w:t xml:space="preserve">Daily (≥1/day)</w:t>
            </w:r>
          </w:p>
        </w:tc>
        <w:tc>
          <w:tcPr>
            <w:tcW w:type="pct" w:w="33.333333333333336%"/>
          </w:tcPr>
          <w:p>
            <w:pPr>
              <w:jc w:val="center"/>
            </w:pPr>
            <w:r>
              <w:rPr>
                <w:b w:val="false"/>
                <w:bCs w:val="false"/>
                <w:sz w:val="20"/>
                <w:szCs w:val="20"/>
              </w:rPr>
              <w:t xml:space="preserve">28</w:t>
            </w:r>
          </w:p>
        </w:tc>
        <w:tc>
          <w:tcPr>
            <w:tcW w:type="pct" w:w="33.333333333333336%"/>
          </w:tcPr>
          <w:p>
            <w:pPr>
              <w:jc w:val="center"/>
            </w:pPr>
            <w:r>
              <w:rPr>
                <w:b w:val="false"/>
                <w:bCs w:val="false"/>
                <w:sz w:val="20"/>
                <w:szCs w:val="20"/>
              </w:rPr>
              <w:t xml:space="preserve">3.7%</w:t>
            </w:r>
          </w:p>
        </w:tc>
      </w:tr>
      <w:tr>
        <w:tc>
          <w:tcPr>
            <w:tcW w:type="pct" w:w="33.333333333333336%"/>
          </w:tcPr>
          <w:p>
            <w:pPr>
              <w:jc w:val="center"/>
            </w:pPr>
            <w:r>
              <w:rPr>
                <w:b w:val="false"/>
                <w:bCs w:val="false"/>
                <w:sz w:val="20"/>
                <w:szCs w:val="20"/>
              </w:rPr>
              <w:t xml:space="preserve">Weekly (1-6/week)</w:t>
            </w:r>
          </w:p>
        </w:tc>
        <w:tc>
          <w:tcPr>
            <w:tcW w:type="pct" w:w="33.333333333333336%"/>
          </w:tcPr>
          <w:p>
            <w:pPr>
              <w:jc w:val="center"/>
            </w:pPr>
            <w:r>
              <w:rPr>
                <w:b w:val="false"/>
                <w:bCs w:val="false"/>
                <w:sz w:val="20"/>
                <w:szCs w:val="20"/>
              </w:rPr>
              <w:t xml:space="preserve">84</w:t>
            </w:r>
          </w:p>
        </w:tc>
        <w:tc>
          <w:tcPr>
            <w:tcW w:type="pct" w:w="33.333333333333336%"/>
          </w:tcPr>
          <w:p>
            <w:pPr>
              <w:jc w:val="center"/>
            </w:pPr>
            <w:r>
              <w:rPr>
                <w:b w:val="false"/>
                <w:bCs w:val="false"/>
                <w:sz w:val="20"/>
                <w:szCs w:val="20"/>
              </w:rPr>
              <w:t xml:space="preserve">11.2%</w:t>
            </w:r>
          </w:p>
        </w:tc>
      </w:tr>
      <w:tr>
        <w:tc>
          <w:tcPr>
            <w:tcW w:type="pct" w:w="33.333333333333336%"/>
          </w:tcPr>
          <w:p>
            <w:pPr>
              <w:jc w:val="center"/>
            </w:pPr>
            <w:r>
              <w:rPr>
                <w:b w:val="false"/>
                <w:bCs w:val="false"/>
                <w:sz w:val="20"/>
                <w:szCs w:val="20"/>
              </w:rPr>
              <w:t xml:space="preserve">Monthly (1-4/month)</w:t>
            </w:r>
          </w:p>
        </w:tc>
        <w:tc>
          <w:tcPr>
            <w:tcW w:type="pct" w:w="33.333333333333336%"/>
          </w:tcPr>
          <w:p>
            <w:pPr>
              <w:jc w:val="center"/>
            </w:pPr>
            <w:r>
              <w:rPr>
                <w:b w:val="false"/>
                <w:bCs w:val="false"/>
                <w:sz w:val="20"/>
                <w:szCs w:val="20"/>
              </w:rPr>
              <w:t xml:space="preserve">368</w:t>
            </w:r>
          </w:p>
        </w:tc>
        <w:tc>
          <w:tcPr>
            <w:tcW w:type="pct" w:w="33.333333333333336%"/>
          </w:tcPr>
          <w:p>
            <w:pPr>
              <w:jc w:val="center"/>
            </w:pPr>
            <w:r>
              <w:rPr>
                <w:b w:val="false"/>
                <w:bCs w:val="false"/>
                <w:sz w:val="20"/>
                <w:szCs w:val="20"/>
              </w:rPr>
              <w:t xml:space="preserve">49.1%</w:t>
            </w:r>
          </w:p>
        </w:tc>
      </w:tr>
      <w:tr>
        <w:tc>
          <w:tcPr>
            <w:tcW w:type="pct" w:w="33.333333333333336%"/>
          </w:tcPr>
          <w:p>
            <w:pPr>
              <w:jc w:val="center"/>
            </w:pPr>
            <w:r>
              <w:rPr>
                <w:b w:val="false"/>
                <w:bCs w:val="false"/>
                <w:sz w:val="20"/>
                <w:szCs w:val="20"/>
              </w:rPr>
              <w:t xml:space="preserve">Rare (&lt;1/month)</w:t>
            </w:r>
          </w:p>
        </w:tc>
        <w:tc>
          <w:tcPr>
            <w:tcW w:type="pct" w:w="33.333333333333336%"/>
          </w:tcPr>
          <w:p>
            <w:pPr>
              <w:jc w:val="center"/>
            </w:pPr>
            <w:r>
              <w:rPr>
                <w:b w:val="false"/>
                <w:bCs w:val="false"/>
                <w:sz w:val="20"/>
                <w:szCs w:val="20"/>
              </w:rPr>
              <w:t xml:space="preserve">232</w:t>
            </w:r>
          </w:p>
        </w:tc>
        <w:tc>
          <w:tcPr>
            <w:tcW w:type="pct" w:w="33.333333333333336%"/>
          </w:tcPr>
          <w:p>
            <w:pPr>
              <w:jc w:val="center"/>
            </w:pPr>
            <w:r>
              <w:rPr>
                <w:b w:val="false"/>
                <w:bCs w:val="false"/>
                <w:sz w:val="20"/>
                <w:szCs w:val="20"/>
              </w:rPr>
              <w:t xml:space="preserve">30.9%</w:t>
            </w:r>
          </w:p>
        </w:tc>
      </w:tr>
      <w:tr>
        <w:tc>
          <w:tcPr>
            <w:tcW w:type="pct" w:w="33.333333333333336%"/>
          </w:tcPr>
          <w:p>
            <w:pPr>
              <w:jc w:val="center"/>
            </w:pPr>
            <w:r>
              <w:rPr>
                <w:b w:val="false"/>
                <w:bCs w:val="false"/>
                <w:sz w:val="20"/>
                <w:szCs w:val="20"/>
              </w:rPr>
              <w:t xml:space="preserve">Frequent (unspecified)</w:t>
            </w:r>
          </w:p>
        </w:tc>
        <w:tc>
          <w:tcPr>
            <w:tcW w:type="pct" w:w="33.333333333333336%"/>
          </w:tcPr>
          <w:p>
            <w:pPr>
              <w:jc w:val="center"/>
            </w:pPr>
            <w:r>
              <w:rPr>
                <w:b w:val="false"/>
                <w:bCs w:val="false"/>
                <w:sz w:val="20"/>
                <w:szCs w:val="20"/>
              </w:rPr>
              <w:t xml:space="preserve">38</w:t>
            </w:r>
          </w:p>
        </w:tc>
        <w:tc>
          <w:tcPr>
            <w:tcW w:type="pct" w:w="33.333333333333336%"/>
          </w:tcPr>
          <w:p>
            <w:pPr>
              <w:jc w:val="center"/>
            </w:pPr>
            <w:r>
              <w:rPr>
                <w:b w:val="false"/>
                <w:bCs w:val="false"/>
                <w:sz w:val="20"/>
                <w:szCs w:val="20"/>
              </w:rPr>
              <w:t xml:space="preserve">5.1%</w:t>
            </w:r>
          </w:p>
        </w:tc>
      </w:tr>
      <w:tr>
        <w:tc>
          <w:tcPr>
            <w:tcW w:type="pct" w:w="33.333333333333336%"/>
          </w:tcPr>
          <w:p>
            <w:pPr>
              <w:jc w:val="center"/>
            </w:pPr>
            <w:r>
              <w:rPr>
                <w:b w:val="false"/>
                <w:bCs w:val="false"/>
                <w:sz w:val="20"/>
                <w:szCs w:val="20"/>
              </w:rPr>
              <w:t xml:space="preserve">Total Documented</w:t>
            </w:r>
          </w:p>
        </w:tc>
        <w:tc>
          <w:tcPr>
            <w:tcW w:type="pct" w:w="33.333333333333336%"/>
          </w:tcPr>
          <w:p>
            <w:pPr>
              <w:jc w:val="center"/>
            </w:pPr>
            <w:r>
              <w:rPr>
                <w:b w:val="false"/>
                <w:bCs w:val="false"/>
                <w:sz w:val="20"/>
                <w:szCs w:val="20"/>
              </w:rPr>
              <w:t xml:space="preserve">750</w:t>
            </w:r>
          </w:p>
        </w:tc>
        <w:tc>
          <w:tcPr>
            <w:tcW w:type="pct" w:w="33.333333333333336%"/>
          </w:tcPr>
          <w:p>
            <w:pPr>
              <w:jc w:val="center"/>
            </w:pPr>
            <w:r>
              <w:rPr>
                <w:b w:val="false"/>
                <w:bCs w:val="false"/>
                <w:sz w:val="20"/>
                <w:szCs w:val="20"/>
              </w:rPr>
              <w:t xml:space="preserve">100.0%</w:t>
            </w:r>
          </w:p>
        </w:tc>
      </w:tr>
    </w:tbl>
    <w:p>
      <w:pPr>
        <w:spacing w:after="200"/>
      </w:pPr>
    </w:p>
    <w:p>
      <w:pPr>
        <w:spacing w:before="200" w:after="100"/>
      </w:pPr>
      <w:r>
        <w:rPr>
          <w:b/>
          <w:bCs/>
          <w:sz w:val="24"/>
          <w:szCs w:val="24"/>
        </w:rPr>
        <w:t xml:space="preserve">3.4. Electroencephalographic Findings</w:t>
      </w:r>
    </w:p>
    <w:p>
      <w:pPr>
        <w:spacing w:before="150" w:after="100"/>
        <w:jc w:val="center"/>
      </w:pPr>
      <w:r>
        <w:rPr>
          <w:b/>
          <w:bCs/>
          <w:sz w:val="22"/>
          <w:szCs w:val="22"/>
        </w:rPr>
        <w:t xml:space="preserve">Table 4. EEG Findings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0"/>
                <w:szCs w:val="20"/>
              </w:rPr>
              <w:t xml:space="preserve">EEG Finding</w:t>
            </w:r>
          </w:p>
        </w:tc>
        <w:tc>
          <w:tcPr>
            <w:tcW w:type="pct" w:w="33.333333333333336%"/>
          </w:tcPr>
          <w:p>
            <w:pPr>
              <w:jc w:val="center"/>
            </w:pPr>
            <w:r>
              <w:rPr>
                <w:b/>
                <w:bCs/>
                <w:sz w:val="20"/>
                <w:szCs w:val="20"/>
              </w:rPr>
              <w:t xml:space="preserve">n</w:t>
            </w:r>
          </w:p>
        </w:tc>
        <w:tc>
          <w:tcPr>
            <w:tcW w:type="pct" w:w="33.333333333333336%"/>
          </w:tcPr>
          <w:p>
            <w:pPr>
              <w:jc w:val="center"/>
            </w:pPr>
            <w:r>
              <w:rPr>
                <w:b/>
                <w:bCs/>
                <w:sz w:val="20"/>
                <w:szCs w:val="20"/>
              </w:rPr>
              <w:t xml:space="preserve">%</w:t>
            </w:r>
          </w:p>
        </w:tc>
      </w:tr>
      <w:tr>
        <w:tc>
          <w:tcPr>
            <w:tcW w:type="pct" w:w="33.333333333333336%"/>
          </w:tcPr>
          <w:p>
            <w:pPr>
              <w:jc w:val="center"/>
            </w:pPr>
            <w:r>
              <w:rPr>
                <w:b w:val="false"/>
                <w:bCs w:val="false"/>
                <w:sz w:val="20"/>
                <w:szCs w:val="20"/>
              </w:rPr>
              <w:t xml:space="preserve">Epileptiform Activity</w:t>
            </w:r>
          </w:p>
        </w:tc>
        <w:tc>
          <w:tcPr>
            <w:tcW w:type="pct" w:w="33.333333333333336%"/>
          </w:tcPr>
          <w:p>
            <w:pPr>
              <w:jc w:val="center"/>
            </w:pPr>
            <w:r>
              <w:rPr>
                <w:b w:val="false"/>
                <w:bCs w:val="false"/>
                <w:sz w:val="20"/>
                <w:szCs w:val="20"/>
              </w:rPr>
              <w:t xml:space="preserve">10</w:t>
            </w:r>
          </w:p>
        </w:tc>
        <w:tc>
          <w:tcPr>
            <w:tcW w:type="pct" w:w="33.333333333333336%"/>
          </w:tcPr>
          <w:p>
            <w:pPr>
              <w:jc w:val="center"/>
            </w:pPr>
            <w:r>
              <w:rPr>
                <w:b w:val="false"/>
                <w:bCs w:val="false"/>
                <w:sz w:val="20"/>
                <w:szCs w:val="20"/>
              </w:rPr>
              <w:t xml:space="preserve">40.0%</w:t>
            </w:r>
          </w:p>
        </w:tc>
      </w:tr>
      <w:tr>
        <w:tc>
          <w:tcPr>
            <w:tcW w:type="pct" w:w="33.333333333333336%"/>
          </w:tcPr>
          <w:p>
            <w:pPr>
              <w:jc w:val="center"/>
            </w:pPr>
            <w:r>
              <w:rPr>
                <w:b w:val="false"/>
                <w:bCs w:val="false"/>
                <w:sz w:val="20"/>
                <w:szCs w:val="20"/>
              </w:rPr>
              <w:t xml:space="preserve">Abnormal (non-specific)</w:t>
            </w:r>
          </w:p>
        </w:tc>
        <w:tc>
          <w:tcPr>
            <w:tcW w:type="pct" w:w="33.333333333333336%"/>
          </w:tcPr>
          <w:p>
            <w:pPr>
              <w:jc w:val="center"/>
            </w:pPr>
            <w:r>
              <w:rPr>
                <w:b w:val="false"/>
                <w:bCs w:val="false"/>
                <w:sz w:val="20"/>
                <w:szCs w:val="20"/>
              </w:rPr>
              <w:t xml:space="preserve">9</w:t>
            </w:r>
          </w:p>
        </w:tc>
        <w:tc>
          <w:tcPr>
            <w:tcW w:type="pct" w:w="33.333333333333336%"/>
          </w:tcPr>
          <w:p>
            <w:pPr>
              <w:jc w:val="center"/>
            </w:pPr>
            <w:r>
              <w:rPr>
                <w:b w:val="false"/>
                <w:bCs w:val="false"/>
                <w:sz w:val="20"/>
                <w:szCs w:val="20"/>
              </w:rPr>
              <w:t xml:space="preserve">36.0%</w:t>
            </w:r>
          </w:p>
        </w:tc>
      </w:tr>
      <w:tr>
        <w:tc>
          <w:tcPr>
            <w:tcW w:type="pct" w:w="33.333333333333336%"/>
          </w:tcPr>
          <w:p>
            <w:pPr>
              <w:jc w:val="center"/>
            </w:pPr>
            <w:r>
              <w:rPr>
                <w:b w:val="false"/>
                <w:bCs w:val="false"/>
                <w:sz w:val="20"/>
                <w:szCs w:val="20"/>
              </w:rPr>
              <w:t xml:space="preserve">Normal</w:t>
            </w:r>
          </w:p>
        </w:tc>
        <w:tc>
          <w:tcPr>
            <w:tcW w:type="pct" w:w="33.333333333333336%"/>
          </w:tcPr>
          <w:p>
            <w:pPr>
              <w:jc w:val="center"/>
            </w:pPr>
            <w:r>
              <w:rPr>
                <w:b w:val="false"/>
                <w:bCs w:val="false"/>
                <w:sz w:val="20"/>
                <w:szCs w:val="20"/>
              </w:rPr>
              <w:t xml:space="preserve">6</w:t>
            </w:r>
          </w:p>
        </w:tc>
        <w:tc>
          <w:tcPr>
            <w:tcW w:type="pct" w:w="33.333333333333336%"/>
          </w:tcPr>
          <w:p>
            <w:pPr>
              <w:jc w:val="center"/>
            </w:pPr>
            <w:r>
              <w:rPr>
                <w:b w:val="false"/>
                <w:bCs w:val="false"/>
                <w:sz w:val="20"/>
                <w:szCs w:val="20"/>
              </w:rPr>
              <w:t xml:space="preserve">24.0%</w:t>
            </w:r>
          </w:p>
        </w:tc>
      </w:tr>
      <w:tr>
        <w:tc>
          <w:tcPr>
            <w:tcW w:type="pct" w:w="33.333333333333336%"/>
          </w:tcPr>
          <w:p>
            <w:pPr>
              <w:jc w:val="center"/>
            </w:pPr>
            <w:r>
              <w:rPr>
                <w:b w:val="false"/>
                <w:bCs w:val="false"/>
                <w:sz w:val="20"/>
                <w:szCs w:val="20"/>
              </w:rPr>
              <w:t xml:space="preserve">Total Documented</w:t>
            </w:r>
          </w:p>
        </w:tc>
        <w:tc>
          <w:tcPr>
            <w:tcW w:type="pct" w:w="33.333333333333336%"/>
          </w:tcPr>
          <w:p>
            <w:pPr>
              <w:jc w:val="center"/>
            </w:pPr>
            <w:r>
              <w:rPr>
                <w:b w:val="false"/>
                <w:bCs w:val="false"/>
                <w:sz w:val="20"/>
                <w:szCs w:val="20"/>
              </w:rPr>
              <w:t xml:space="preserve">25</w:t>
            </w:r>
          </w:p>
        </w:tc>
        <w:tc>
          <w:tcPr>
            <w:tcW w:type="pct" w:w="33.333333333333336%"/>
          </w:tcPr>
          <w:p>
            <w:pPr>
              <w:jc w:val="center"/>
            </w:pPr>
            <w:r>
              <w:rPr>
                <w:b w:val="false"/>
                <w:bCs w:val="false"/>
                <w:sz w:val="20"/>
                <w:szCs w:val="20"/>
              </w:rPr>
              <w:t xml:space="preserve">100.0%</w:t>
            </w:r>
          </w:p>
        </w:tc>
      </w:tr>
    </w:tbl>
    <w:p>
      <w:pPr>
        <w:spacing w:after="100"/>
      </w:pPr>
    </w:p>
    <w:p>
      <w:pPr>
        <w:spacing w:before="150" w:after="100"/>
        <w:jc w:val="center"/>
      </w:pPr>
      <w:r>
        <w:rPr>
          <w:b/>
          <w:bCs/>
          <w:sz w:val="22"/>
          <w:szCs w:val="22"/>
        </w:rPr>
        <w:t xml:space="preserve">Table 5. EEG Localization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0"/>
                <w:szCs w:val="20"/>
              </w:rPr>
              <w:t xml:space="preserve">Localization</w:t>
            </w:r>
          </w:p>
        </w:tc>
        <w:tc>
          <w:tcPr>
            <w:tcW w:type="pct" w:w="33.333333333333336%"/>
          </w:tcPr>
          <w:p>
            <w:pPr>
              <w:jc w:val="center"/>
            </w:pPr>
            <w:r>
              <w:rPr>
                <w:b/>
                <w:bCs/>
                <w:sz w:val="20"/>
                <w:szCs w:val="20"/>
              </w:rPr>
              <w:t xml:space="preserve">n</w:t>
            </w:r>
          </w:p>
        </w:tc>
        <w:tc>
          <w:tcPr>
            <w:tcW w:type="pct" w:w="33.333333333333336%"/>
          </w:tcPr>
          <w:p>
            <w:pPr>
              <w:jc w:val="center"/>
            </w:pPr>
            <w:r>
              <w:rPr>
                <w:b/>
                <w:bCs/>
                <w:sz w:val="20"/>
                <w:szCs w:val="20"/>
              </w:rPr>
              <w:t xml:space="preserve">%</w:t>
            </w:r>
          </w:p>
        </w:tc>
      </w:tr>
      <w:tr>
        <w:tc>
          <w:tcPr>
            <w:tcW w:type="pct" w:w="33.333333333333336%"/>
          </w:tcPr>
          <w:p>
            <w:pPr>
              <w:jc w:val="center"/>
            </w:pPr>
            <w:r>
              <w:rPr>
                <w:b w:val="false"/>
                <w:bCs w:val="false"/>
                <w:sz w:val="20"/>
                <w:szCs w:val="20"/>
              </w:rPr>
              <w:t xml:space="preserve">Temporal</w:t>
            </w:r>
          </w:p>
        </w:tc>
        <w:tc>
          <w:tcPr>
            <w:tcW w:type="pct" w:w="33.333333333333336%"/>
          </w:tcPr>
          <w:p>
            <w:pPr>
              <w:jc w:val="center"/>
            </w:pPr>
            <w:r>
              <w:rPr>
                <w:b w:val="false"/>
                <w:bCs w:val="false"/>
                <w:sz w:val="20"/>
                <w:szCs w:val="20"/>
              </w:rPr>
              <w:t xml:space="preserve">3</w:t>
            </w:r>
          </w:p>
        </w:tc>
        <w:tc>
          <w:tcPr>
            <w:tcW w:type="pct" w:w="33.333333333333336%"/>
          </w:tcPr>
          <w:p>
            <w:pPr>
              <w:jc w:val="center"/>
            </w:pPr>
            <w:r>
              <w:rPr>
                <w:b w:val="false"/>
                <w:bCs w:val="false"/>
                <w:sz w:val="20"/>
                <w:szCs w:val="20"/>
              </w:rPr>
              <w:t xml:space="preserve">4.6%</w:t>
            </w:r>
          </w:p>
        </w:tc>
      </w:tr>
      <w:tr>
        <w:tc>
          <w:tcPr>
            <w:tcW w:type="pct" w:w="33.333333333333336%"/>
          </w:tcPr>
          <w:p>
            <w:pPr>
              <w:jc w:val="center"/>
            </w:pPr>
            <w:r>
              <w:rPr>
                <w:b w:val="false"/>
                <w:bCs w:val="false"/>
                <w:sz w:val="20"/>
                <w:szCs w:val="20"/>
              </w:rPr>
              <w:t xml:space="preserve">Frontal</w:t>
            </w:r>
          </w:p>
        </w:tc>
        <w:tc>
          <w:tcPr>
            <w:tcW w:type="pct" w:w="33.333333333333336%"/>
          </w:tcPr>
          <w:p>
            <w:pPr>
              <w:jc w:val="center"/>
            </w:pPr>
            <w:r>
              <w:rPr>
                <w:b w:val="false"/>
                <w:bCs w:val="false"/>
                <w:sz w:val="20"/>
                <w:szCs w:val="20"/>
              </w:rPr>
              <w:t xml:space="preserve">7</w:t>
            </w:r>
          </w:p>
        </w:tc>
        <w:tc>
          <w:tcPr>
            <w:tcW w:type="pct" w:w="33.333333333333336%"/>
          </w:tcPr>
          <w:p>
            <w:pPr>
              <w:jc w:val="center"/>
            </w:pPr>
            <w:r>
              <w:rPr>
                <w:b w:val="false"/>
                <w:bCs w:val="false"/>
                <w:sz w:val="20"/>
                <w:szCs w:val="20"/>
              </w:rPr>
              <w:t xml:space="preserve">10.8%</w:t>
            </w:r>
          </w:p>
        </w:tc>
      </w:tr>
      <w:tr>
        <w:tc>
          <w:tcPr>
            <w:tcW w:type="pct" w:w="33.333333333333336%"/>
          </w:tcPr>
          <w:p>
            <w:pPr>
              <w:jc w:val="center"/>
            </w:pPr>
            <w:r>
              <w:rPr>
                <w:b w:val="false"/>
                <w:bCs w:val="false"/>
                <w:sz w:val="20"/>
                <w:szCs w:val="20"/>
              </w:rPr>
              <w:t xml:space="preserve">Diffuse/Generalized</w:t>
            </w:r>
          </w:p>
        </w:tc>
        <w:tc>
          <w:tcPr>
            <w:tcW w:type="pct" w:w="33.333333333333336%"/>
          </w:tcPr>
          <w:p>
            <w:pPr>
              <w:jc w:val="center"/>
            </w:pPr>
            <w:r>
              <w:rPr>
                <w:b w:val="false"/>
                <w:bCs w:val="false"/>
                <w:sz w:val="20"/>
                <w:szCs w:val="20"/>
              </w:rPr>
              <w:t xml:space="preserve">55</w:t>
            </w:r>
          </w:p>
        </w:tc>
        <w:tc>
          <w:tcPr>
            <w:tcW w:type="pct" w:w="33.333333333333336%"/>
          </w:tcPr>
          <w:p>
            <w:pPr>
              <w:jc w:val="center"/>
            </w:pPr>
            <w:r>
              <w:rPr>
                <w:b w:val="false"/>
                <w:bCs w:val="false"/>
                <w:sz w:val="20"/>
                <w:szCs w:val="20"/>
              </w:rPr>
              <w:t xml:space="preserve">84.6%</w:t>
            </w:r>
          </w:p>
        </w:tc>
      </w:tr>
    </w:tbl>
    <w:p>
      <w:r>
        <w:br w:type="page"/>
      </w:r>
    </w:p>
    <w:p>
      <w:pPr>
        <w:spacing w:before="200" w:after="100"/>
      </w:pPr>
      <w:r>
        <w:rPr>
          <w:b/>
          <w:bCs/>
          <w:sz w:val="24"/>
          <w:szCs w:val="24"/>
        </w:rPr>
        <w:t xml:space="preserve">3.5. Psychiatric Comorbidity</w:t>
      </w:r>
    </w:p>
    <w:p>
      <w:pPr>
        <w:spacing w:before="150" w:after="100"/>
        <w:jc w:val="center"/>
      </w:pPr>
      <w:r>
        <w:rPr>
          <w:b/>
          <w:bCs/>
          <w:sz w:val="22"/>
          <w:szCs w:val="22"/>
        </w:rPr>
        <w:t xml:space="preserve">Table 6. Psychiatric Comorbidity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0"/>
                <w:szCs w:val="20"/>
              </w:rPr>
              <w:t xml:space="preserve">Comorbidity</w:t>
            </w:r>
          </w:p>
        </w:tc>
        <w:tc>
          <w:tcPr>
            <w:tcW w:type="pct" w:w="33.333333333333336%"/>
          </w:tcPr>
          <w:p>
            <w:pPr>
              <w:jc w:val="center"/>
            </w:pPr>
            <w:r>
              <w:rPr>
                <w:b/>
                <w:bCs/>
                <w:sz w:val="20"/>
                <w:szCs w:val="20"/>
              </w:rPr>
              <w:t xml:space="preserve">n</w:t>
            </w:r>
          </w:p>
        </w:tc>
        <w:tc>
          <w:tcPr>
            <w:tcW w:type="pct" w:w="33.333333333333336%"/>
          </w:tcPr>
          <w:p>
            <w:pPr>
              <w:jc w:val="center"/>
            </w:pPr>
            <w:r>
              <w:rPr>
                <w:b/>
                <w:bCs/>
                <w:sz w:val="20"/>
                <w:szCs w:val="20"/>
              </w:rPr>
              <w:t xml:space="preserve">%</w:t>
            </w:r>
          </w:p>
        </w:tc>
      </w:tr>
      <w:tr>
        <w:tc>
          <w:tcPr>
            <w:tcW w:type="pct" w:w="33.333333333333336%"/>
          </w:tcPr>
          <w:p>
            <w:pPr>
              <w:jc w:val="center"/>
            </w:pPr>
            <w:r>
              <w:rPr>
                <w:b w:val="false"/>
                <w:bCs w:val="false"/>
                <w:sz w:val="20"/>
                <w:szCs w:val="20"/>
              </w:rPr>
              <w:t xml:space="preserve">Intellectual Disability</w:t>
            </w:r>
          </w:p>
        </w:tc>
        <w:tc>
          <w:tcPr>
            <w:tcW w:type="pct" w:w="33.333333333333336%"/>
          </w:tcPr>
          <w:p>
            <w:pPr>
              <w:jc w:val="center"/>
            </w:pPr>
            <w:r>
              <w:rPr>
                <w:b w:val="false"/>
                <w:bCs w:val="false"/>
                <w:sz w:val="20"/>
                <w:szCs w:val="20"/>
              </w:rPr>
              <w:t xml:space="preserve">24</w:t>
            </w:r>
          </w:p>
        </w:tc>
        <w:tc>
          <w:tcPr>
            <w:tcW w:type="pct" w:w="33.333333333333336%"/>
          </w:tcPr>
          <w:p>
            <w:pPr>
              <w:jc w:val="center"/>
            </w:pPr>
            <w:r>
              <w:rPr>
                <w:b w:val="false"/>
                <w:bCs w:val="false"/>
                <w:sz w:val="20"/>
                <w:szCs w:val="20"/>
              </w:rPr>
              <w:t xml:space="preserve">40.7%</w:t>
            </w:r>
          </w:p>
        </w:tc>
      </w:tr>
      <w:tr>
        <w:tc>
          <w:tcPr>
            <w:tcW w:type="pct" w:w="33.333333333333336%"/>
          </w:tcPr>
          <w:p>
            <w:pPr>
              <w:jc w:val="center"/>
            </w:pPr>
            <w:r>
              <w:rPr>
                <w:b w:val="false"/>
                <w:bCs w:val="false"/>
                <w:sz w:val="20"/>
                <w:szCs w:val="20"/>
              </w:rPr>
              <w:t xml:space="preserve">Depression</w:t>
            </w:r>
          </w:p>
        </w:tc>
        <w:tc>
          <w:tcPr>
            <w:tcW w:type="pct" w:w="33.333333333333336%"/>
          </w:tcPr>
          <w:p>
            <w:pPr>
              <w:jc w:val="center"/>
            </w:pPr>
            <w:r>
              <w:rPr>
                <w:b w:val="false"/>
                <w:bCs w:val="false"/>
                <w:sz w:val="20"/>
                <w:szCs w:val="20"/>
              </w:rPr>
              <w:t xml:space="preserve">15</w:t>
            </w:r>
          </w:p>
        </w:tc>
        <w:tc>
          <w:tcPr>
            <w:tcW w:type="pct" w:w="33.333333333333336%"/>
          </w:tcPr>
          <w:p>
            <w:pPr>
              <w:jc w:val="center"/>
            </w:pPr>
            <w:r>
              <w:rPr>
                <w:b w:val="false"/>
                <w:bCs w:val="false"/>
                <w:sz w:val="20"/>
                <w:szCs w:val="20"/>
              </w:rPr>
              <w:t xml:space="preserve">25.4%</w:t>
            </w:r>
          </w:p>
        </w:tc>
      </w:tr>
      <w:tr>
        <w:tc>
          <w:tcPr>
            <w:tcW w:type="pct" w:w="33.333333333333336%"/>
          </w:tcPr>
          <w:p>
            <w:pPr>
              <w:jc w:val="center"/>
            </w:pPr>
            <w:r>
              <w:rPr>
                <w:b w:val="false"/>
                <w:bCs w:val="false"/>
                <w:sz w:val="20"/>
                <w:szCs w:val="20"/>
              </w:rPr>
              <w:t xml:space="preserve">Psychosis</w:t>
            </w:r>
          </w:p>
        </w:tc>
        <w:tc>
          <w:tcPr>
            <w:tcW w:type="pct" w:w="33.333333333333336%"/>
          </w:tcPr>
          <w:p>
            <w:pPr>
              <w:jc w:val="center"/>
            </w:pPr>
            <w:r>
              <w:rPr>
                <w:b w:val="false"/>
                <w:bCs w:val="false"/>
                <w:sz w:val="20"/>
                <w:szCs w:val="20"/>
              </w:rPr>
              <w:t xml:space="preserve">12</w:t>
            </w:r>
          </w:p>
        </w:tc>
        <w:tc>
          <w:tcPr>
            <w:tcW w:type="pct" w:w="33.333333333333336%"/>
          </w:tcPr>
          <w:p>
            <w:pPr>
              <w:jc w:val="center"/>
            </w:pPr>
            <w:r>
              <w:rPr>
                <w:b w:val="false"/>
                <w:bCs w:val="false"/>
                <w:sz w:val="20"/>
                <w:szCs w:val="20"/>
              </w:rPr>
              <w:t xml:space="preserve">20.3%</w:t>
            </w:r>
          </w:p>
        </w:tc>
      </w:tr>
      <w:tr>
        <w:tc>
          <w:tcPr>
            <w:tcW w:type="pct" w:w="33.333333333333336%"/>
          </w:tcPr>
          <w:p>
            <w:pPr>
              <w:jc w:val="center"/>
            </w:pPr>
            <w:r>
              <w:rPr>
                <w:b w:val="false"/>
                <w:bCs w:val="false"/>
                <w:sz w:val="20"/>
                <w:szCs w:val="20"/>
              </w:rPr>
              <w:t xml:space="preserve">Personality Disorder</w:t>
            </w:r>
          </w:p>
        </w:tc>
        <w:tc>
          <w:tcPr>
            <w:tcW w:type="pct" w:w="33.333333333333336%"/>
          </w:tcPr>
          <w:p>
            <w:pPr>
              <w:jc w:val="center"/>
            </w:pPr>
            <w:r>
              <w:rPr>
                <w:b w:val="false"/>
                <w:bCs w:val="false"/>
                <w:sz w:val="20"/>
                <w:szCs w:val="20"/>
              </w:rPr>
              <w:t xml:space="preserve">8</w:t>
            </w:r>
          </w:p>
        </w:tc>
        <w:tc>
          <w:tcPr>
            <w:tcW w:type="pct" w:w="33.333333333333336%"/>
          </w:tcPr>
          <w:p>
            <w:pPr>
              <w:jc w:val="center"/>
            </w:pPr>
            <w:r>
              <w:rPr>
                <w:b w:val="false"/>
                <w:bCs w:val="false"/>
                <w:sz w:val="20"/>
                <w:szCs w:val="20"/>
              </w:rPr>
              <w:t xml:space="preserve">13.6%</w:t>
            </w:r>
          </w:p>
        </w:tc>
      </w:tr>
      <w:tr>
        <w:tc>
          <w:tcPr>
            <w:tcW w:type="pct" w:w="33.333333333333336%"/>
          </w:tcPr>
          <w:p>
            <w:pPr>
              <w:jc w:val="center"/>
            </w:pPr>
            <w:r>
              <w:rPr>
                <w:b w:val="false"/>
                <w:bCs w:val="false"/>
                <w:sz w:val="20"/>
                <w:szCs w:val="20"/>
              </w:rPr>
              <w:t xml:space="preserve">Total with Documented Comorbidity</w:t>
            </w:r>
          </w:p>
        </w:tc>
        <w:tc>
          <w:tcPr>
            <w:tcW w:type="pct" w:w="33.333333333333336%"/>
          </w:tcPr>
          <w:p>
            <w:pPr>
              <w:jc w:val="center"/>
            </w:pPr>
            <w:r>
              <w:rPr>
                <w:b w:val="false"/>
                <w:bCs w:val="false"/>
                <w:sz w:val="20"/>
                <w:szCs w:val="20"/>
              </w:rPr>
              <w:t xml:space="preserve">59</w:t>
            </w:r>
          </w:p>
        </w:tc>
        <w:tc>
          <w:tcPr>
            <w:tcW w:type="pct" w:w="33.333333333333336%"/>
          </w:tcPr>
          <w:p>
            <w:pPr>
              <w:jc w:val="center"/>
            </w:pPr>
            <w:r>
              <w:rPr>
                <w:b w:val="false"/>
                <w:bCs w:val="false"/>
                <w:sz w:val="20"/>
                <w:szCs w:val="20"/>
              </w:rPr>
              <w:t xml:space="preserve">100.0%</w:t>
            </w:r>
          </w:p>
        </w:tc>
      </w:tr>
    </w:tbl>
    <w:p>
      <w:pPr>
        <w:spacing w:after="200"/>
      </w:pPr>
    </w:p>
    <w:p>
      <w:pPr>
        <w:spacing w:before="200" w:after="100"/>
      </w:pPr>
      <w:r>
        <w:rPr>
          <w:b/>
          <w:bCs/>
          <w:sz w:val="24"/>
          <w:szCs w:val="24"/>
        </w:rPr>
        <w:t xml:space="preserve">3.6. Criminal Capacity Determinations</w:t>
      </w:r>
    </w:p>
    <w:p>
      <w:pPr>
        <w:spacing w:before="150" w:after="100"/>
        <w:jc w:val="center"/>
      </w:pPr>
      <w:r>
        <w:rPr>
          <w:b/>
          <w:bCs/>
          <w:sz w:val="22"/>
          <w:szCs w:val="22"/>
        </w:rPr>
        <w:t xml:space="preserve">Table 7. Criminal Capacity Assessment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b/>
                <w:bCs/>
                <w:sz w:val="20"/>
                <w:szCs w:val="20"/>
              </w:rPr>
              <w:t xml:space="preserve">Determination</w:t>
            </w:r>
          </w:p>
        </w:tc>
        <w:tc>
          <w:tcPr>
            <w:tcW w:type="pct" w:w="25%"/>
          </w:tcPr>
          <w:p>
            <w:pPr>
              <w:jc w:val="center"/>
            </w:pPr>
            <w:r>
              <w:rPr>
                <w:b/>
                <w:bCs/>
                <w:sz w:val="20"/>
                <w:szCs w:val="20"/>
              </w:rPr>
              <w:t xml:space="preserve">n</w:t>
            </w:r>
          </w:p>
        </w:tc>
        <w:tc>
          <w:tcPr>
            <w:tcW w:type="pct" w:w="25%"/>
          </w:tcPr>
          <w:p>
            <w:pPr>
              <w:jc w:val="center"/>
            </w:pPr>
            <w:r>
              <w:rPr>
                <w:b/>
                <w:bCs/>
                <w:sz w:val="20"/>
                <w:szCs w:val="20"/>
              </w:rPr>
              <w:t xml:space="preserve">%</w:t>
            </w:r>
          </w:p>
        </w:tc>
        <w:tc>
          <w:tcPr>
            <w:tcW w:type="pct" w:w="25%"/>
          </w:tcPr>
          <w:p>
            <w:pPr>
              <w:jc w:val="center"/>
            </w:pPr>
            <w:r>
              <w:rPr>
                <w:b/>
                <w:bCs/>
                <w:sz w:val="20"/>
                <w:szCs w:val="20"/>
              </w:rPr>
              <w:t xml:space="preserve">TPC Article</w:t>
            </w:r>
          </w:p>
        </w:tc>
      </w:tr>
      <w:tr>
        <w:tc>
          <w:tcPr>
            <w:tcW w:type="pct" w:w="25%"/>
          </w:tcPr>
          <w:p>
            <w:pPr>
              <w:jc w:val="center"/>
            </w:pPr>
            <w:r>
              <w:rPr>
                <w:b w:val="false"/>
                <w:bCs w:val="false"/>
                <w:sz w:val="20"/>
                <w:szCs w:val="20"/>
              </w:rPr>
              <w:t xml:space="preserve">Full Capacity</w:t>
            </w:r>
          </w:p>
        </w:tc>
        <w:tc>
          <w:tcPr>
            <w:tcW w:type="pct" w:w="25%"/>
          </w:tcPr>
          <w:p>
            <w:pPr>
              <w:jc w:val="center"/>
            </w:pPr>
            <w:r>
              <w:rPr>
                <w:b w:val="false"/>
                <w:bCs w:val="false"/>
                <w:sz w:val="20"/>
                <w:szCs w:val="20"/>
              </w:rPr>
              <w:t xml:space="preserve">30</w:t>
            </w:r>
          </w:p>
        </w:tc>
        <w:tc>
          <w:tcPr>
            <w:tcW w:type="pct" w:w="25%"/>
          </w:tcPr>
          <w:p>
            <w:pPr>
              <w:jc w:val="center"/>
            </w:pPr>
            <w:r>
              <w:rPr>
                <w:b w:val="false"/>
                <w:bCs w:val="false"/>
                <w:sz w:val="20"/>
                <w:szCs w:val="20"/>
              </w:rPr>
              <w:t xml:space="preserve">34.5%</w:t>
            </w:r>
          </w:p>
        </w:tc>
        <w:tc>
          <w:tcPr>
            <w:tcW w:type="pct" w:w="25%"/>
          </w:tcPr>
          <w:p>
            <w:pPr>
              <w:jc w:val="center"/>
            </w:pPr>
            <w:r>
              <w:rPr>
                <w:b w:val="false"/>
                <w:bCs w:val="false"/>
                <w:sz w:val="20"/>
                <w:szCs w:val="20"/>
              </w:rPr>
              <w:t xml:space="preserve">N/A</w:t>
            </w:r>
          </w:p>
        </w:tc>
      </w:tr>
      <w:tr>
        <w:tc>
          <w:tcPr>
            <w:tcW w:type="pct" w:w="25%"/>
          </w:tcPr>
          <w:p>
            <w:pPr>
              <w:jc w:val="center"/>
            </w:pPr>
            <w:r>
              <w:rPr>
                <w:b w:val="false"/>
                <w:bCs w:val="false"/>
                <w:sz w:val="20"/>
                <w:szCs w:val="20"/>
              </w:rPr>
              <w:t xml:space="preserve">No Capacity (Complete Incapacity)</w:t>
            </w:r>
          </w:p>
        </w:tc>
        <w:tc>
          <w:tcPr>
            <w:tcW w:type="pct" w:w="25%"/>
          </w:tcPr>
          <w:p>
            <w:pPr>
              <w:jc w:val="center"/>
            </w:pPr>
            <w:r>
              <w:rPr>
                <w:b w:val="false"/>
                <w:bCs w:val="false"/>
                <w:sz w:val="20"/>
                <w:szCs w:val="20"/>
              </w:rPr>
              <w:t xml:space="preserve">55</w:t>
            </w:r>
          </w:p>
        </w:tc>
        <w:tc>
          <w:tcPr>
            <w:tcW w:type="pct" w:w="25%"/>
          </w:tcPr>
          <w:p>
            <w:pPr>
              <w:jc w:val="center"/>
            </w:pPr>
            <w:r>
              <w:rPr>
                <w:b w:val="false"/>
                <w:bCs w:val="false"/>
                <w:sz w:val="20"/>
                <w:szCs w:val="20"/>
              </w:rPr>
              <w:t xml:space="preserve">63.2%</w:t>
            </w:r>
          </w:p>
        </w:tc>
        <w:tc>
          <w:tcPr>
            <w:tcW w:type="pct" w:w="25%"/>
          </w:tcPr>
          <w:p>
            <w:pPr>
              <w:jc w:val="center"/>
            </w:pPr>
            <w:r>
              <w:rPr>
                <w:b w:val="false"/>
                <w:bCs w:val="false"/>
                <w:sz w:val="20"/>
                <w:szCs w:val="20"/>
              </w:rPr>
              <w:t xml:space="preserve">Art. 32/1</w:t>
            </w:r>
          </w:p>
        </w:tc>
      </w:tr>
      <w:tr>
        <w:tc>
          <w:tcPr>
            <w:tcW w:type="pct" w:w="25%"/>
          </w:tcPr>
          <w:p>
            <w:pPr>
              <w:jc w:val="center"/>
            </w:pPr>
            <w:r>
              <w:rPr>
                <w:b w:val="false"/>
                <w:bCs w:val="false"/>
                <w:sz w:val="20"/>
                <w:szCs w:val="20"/>
              </w:rPr>
              <w:t xml:space="preserve">Diminished Capacity</w:t>
            </w:r>
          </w:p>
        </w:tc>
        <w:tc>
          <w:tcPr>
            <w:tcW w:type="pct" w:w="25%"/>
          </w:tcPr>
          <w:p>
            <w:pPr>
              <w:jc w:val="center"/>
            </w:pPr>
            <w:r>
              <w:rPr>
                <w:b w:val="false"/>
                <w:bCs w:val="false"/>
                <w:sz w:val="20"/>
                <w:szCs w:val="20"/>
              </w:rPr>
              <w:t xml:space="preserve">2</w:t>
            </w:r>
          </w:p>
        </w:tc>
        <w:tc>
          <w:tcPr>
            <w:tcW w:type="pct" w:w="25%"/>
          </w:tcPr>
          <w:p>
            <w:pPr>
              <w:jc w:val="center"/>
            </w:pPr>
            <w:r>
              <w:rPr>
                <w:b w:val="false"/>
                <w:bCs w:val="false"/>
                <w:sz w:val="20"/>
                <w:szCs w:val="20"/>
              </w:rPr>
              <w:t xml:space="preserve">2.3%</w:t>
            </w:r>
          </w:p>
        </w:tc>
        <w:tc>
          <w:tcPr>
            <w:tcW w:type="pct" w:w="25%"/>
          </w:tcPr>
          <w:p>
            <w:pPr>
              <w:jc w:val="center"/>
            </w:pPr>
            <w:r>
              <w:rPr>
                <w:b w:val="false"/>
                <w:bCs w:val="false"/>
                <w:sz w:val="20"/>
                <w:szCs w:val="20"/>
              </w:rPr>
              <w:t xml:space="preserve">Art. 32/2</w:t>
            </w:r>
          </w:p>
        </w:tc>
      </w:tr>
      <w:tr>
        <w:tc>
          <w:tcPr>
            <w:tcW w:type="pct" w:w="25%"/>
          </w:tcPr>
          <w:p>
            <w:pPr>
              <w:jc w:val="center"/>
            </w:pPr>
            <w:r>
              <w:rPr>
                <w:b w:val="false"/>
                <w:bCs w:val="false"/>
                <w:sz w:val="20"/>
                <w:szCs w:val="20"/>
              </w:rPr>
              <w:t xml:space="preserve">Total Assessed</w:t>
            </w:r>
          </w:p>
        </w:tc>
        <w:tc>
          <w:tcPr>
            <w:tcW w:type="pct" w:w="25%"/>
          </w:tcPr>
          <w:p>
            <w:pPr>
              <w:jc w:val="center"/>
            </w:pPr>
            <w:r>
              <w:rPr>
                <w:b w:val="false"/>
                <w:bCs w:val="false"/>
                <w:sz w:val="20"/>
                <w:szCs w:val="20"/>
              </w:rPr>
              <w:t xml:space="preserve">87</w:t>
            </w:r>
          </w:p>
        </w:tc>
        <w:tc>
          <w:tcPr>
            <w:tcW w:type="pct" w:w="25%"/>
          </w:tcPr>
          <w:p>
            <w:pPr>
              <w:jc w:val="center"/>
            </w:pPr>
            <w:r>
              <w:rPr>
                <w:b w:val="false"/>
                <w:bCs w:val="false"/>
                <w:sz w:val="20"/>
                <w:szCs w:val="20"/>
              </w:rPr>
              <w:t xml:space="preserve">100.0%</w:t>
            </w:r>
          </w:p>
        </w:tc>
        <w:tc>
          <w:tcPr>
            <w:tcW w:type="pct" w:w="25%"/>
          </w:tcPr>
          <w:p>
            <w:pPr>
              <w:jc w:val="center"/>
            </w:pPr>
            <w:r>
              <w:rPr>
                <w:b w:val="false"/>
                <w:bCs w:val="false"/>
                <w:sz w:val="20"/>
                <w:szCs w:val="20"/>
              </w:rPr>
              <w:t xml:space="preserve">-</w:t>
            </w:r>
          </w:p>
        </w:tc>
      </w:tr>
    </w:tbl>
    <w:p>
      <w:pPr>
        <w:spacing w:after="200"/>
      </w:pPr>
    </w:p>
    <w:p>
      <w:pPr>
        <w:spacing w:before="200" w:after="100"/>
      </w:pPr>
      <w:r>
        <w:rPr>
          <w:b/>
          <w:bCs/>
          <w:sz w:val="24"/>
          <w:szCs w:val="24"/>
        </w:rPr>
        <w:t xml:space="preserve">3.7. Turkish Penal Code Article 32 Application</w:t>
      </w:r>
    </w:p>
    <w:p>
      <w:pPr>
        <w:spacing w:before="150" w:after="100"/>
        <w:jc w:val="center"/>
      </w:pPr>
      <w:r>
        <w:rPr>
          <w:b/>
          <w:bCs/>
          <w:sz w:val="22"/>
          <w:szCs w:val="22"/>
        </w:rPr>
        <w:t xml:space="preserve">Table 8. TPC Article 32 Application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b/>
                <w:bCs/>
                <w:sz w:val="20"/>
                <w:szCs w:val="20"/>
              </w:rPr>
              <w:t xml:space="preserve">Article Application</w:t>
            </w:r>
          </w:p>
        </w:tc>
        <w:tc>
          <w:tcPr>
            <w:tcW w:type="pct" w:w="25%"/>
          </w:tcPr>
          <w:p>
            <w:pPr>
              <w:jc w:val="center"/>
            </w:pPr>
            <w:r>
              <w:rPr>
                <w:b/>
                <w:bCs/>
                <w:sz w:val="20"/>
                <w:szCs w:val="20"/>
              </w:rPr>
              <w:t xml:space="preserve">n</w:t>
            </w:r>
          </w:p>
        </w:tc>
        <w:tc>
          <w:tcPr>
            <w:tcW w:type="pct" w:w="25%"/>
          </w:tcPr>
          <w:p>
            <w:pPr>
              <w:jc w:val="center"/>
            </w:pPr>
            <w:r>
              <w:rPr>
                <w:b/>
                <w:bCs/>
                <w:sz w:val="20"/>
                <w:szCs w:val="20"/>
              </w:rPr>
              <w:t xml:space="preserve">% of Applications</w:t>
            </w:r>
          </w:p>
        </w:tc>
        <w:tc>
          <w:tcPr>
            <w:tcW w:type="pct" w:w="25%"/>
          </w:tcPr>
          <w:p>
            <w:pPr>
              <w:jc w:val="center"/>
            </w:pPr>
            <w:r>
              <w:rPr>
                <w:b/>
                <w:bCs/>
                <w:sz w:val="20"/>
                <w:szCs w:val="20"/>
              </w:rPr>
              <w:t xml:space="preserve">% of Total Cases</w:t>
            </w:r>
          </w:p>
        </w:tc>
      </w:tr>
      <w:tr>
        <w:tc>
          <w:tcPr>
            <w:tcW w:type="pct" w:w="25%"/>
          </w:tcPr>
          <w:p>
            <w:pPr>
              <w:jc w:val="center"/>
            </w:pPr>
            <w:r>
              <w:rPr>
                <w:b w:val="false"/>
                <w:bCs w:val="false"/>
                <w:sz w:val="20"/>
                <w:szCs w:val="20"/>
              </w:rPr>
              <w:t xml:space="preserve">Art. 32/1 (Complete Exemption)</w:t>
            </w:r>
          </w:p>
        </w:tc>
        <w:tc>
          <w:tcPr>
            <w:tcW w:type="pct" w:w="25%"/>
          </w:tcPr>
          <w:p>
            <w:pPr>
              <w:jc w:val="center"/>
            </w:pPr>
            <w:r>
              <w:rPr>
                <w:b w:val="false"/>
                <w:bCs w:val="false"/>
                <w:sz w:val="20"/>
                <w:szCs w:val="20"/>
              </w:rPr>
              <w:t xml:space="preserve">200</w:t>
            </w:r>
          </w:p>
        </w:tc>
        <w:tc>
          <w:tcPr>
            <w:tcW w:type="pct" w:w="25%"/>
          </w:tcPr>
          <w:p>
            <w:pPr>
              <w:jc w:val="center"/>
            </w:pPr>
            <w:r>
              <w:rPr>
                <w:b w:val="false"/>
                <w:bCs w:val="false"/>
                <w:sz w:val="20"/>
                <w:szCs w:val="20"/>
              </w:rPr>
              <w:t xml:space="preserve">49.5%</w:t>
            </w:r>
          </w:p>
        </w:tc>
        <w:tc>
          <w:tcPr>
            <w:tcW w:type="pct" w:w="25%"/>
          </w:tcPr>
          <w:p>
            <w:pPr>
              <w:jc w:val="center"/>
            </w:pPr>
            <w:r>
              <w:rPr>
                <w:b w:val="false"/>
                <w:bCs w:val="false"/>
                <w:sz w:val="20"/>
                <w:szCs w:val="20"/>
              </w:rPr>
              <w:t xml:space="preserve">3.2%</w:t>
            </w:r>
          </w:p>
        </w:tc>
      </w:tr>
      <w:tr>
        <w:tc>
          <w:tcPr>
            <w:tcW w:type="pct" w:w="25%"/>
          </w:tcPr>
          <w:p>
            <w:pPr>
              <w:jc w:val="center"/>
            </w:pPr>
            <w:r>
              <w:rPr>
                <w:b w:val="false"/>
                <w:bCs w:val="false"/>
                <w:sz w:val="20"/>
                <w:szCs w:val="20"/>
              </w:rPr>
              <w:t xml:space="preserve">Art. 32/2 (Sentence Reduction)</w:t>
            </w:r>
          </w:p>
        </w:tc>
        <w:tc>
          <w:tcPr>
            <w:tcW w:type="pct" w:w="25%"/>
          </w:tcPr>
          <w:p>
            <w:pPr>
              <w:jc w:val="center"/>
            </w:pPr>
            <w:r>
              <w:rPr>
                <w:b w:val="false"/>
                <w:bCs w:val="false"/>
                <w:sz w:val="20"/>
                <w:szCs w:val="20"/>
              </w:rPr>
              <w:t xml:space="preserve">204</w:t>
            </w:r>
          </w:p>
        </w:tc>
        <w:tc>
          <w:tcPr>
            <w:tcW w:type="pct" w:w="25%"/>
          </w:tcPr>
          <w:p>
            <w:pPr>
              <w:jc w:val="center"/>
            </w:pPr>
            <w:r>
              <w:rPr>
                <w:b w:val="false"/>
                <w:bCs w:val="false"/>
                <w:sz w:val="20"/>
                <w:szCs w:val="20"/>
              </w:rPr>
              <w:t xml:space="preserve">50.5%</w:t>
            </w:r>
          </w:p>
        </w:tc>
        <w:tc>
          <w:tcPr>
            <w:tcW w:type="pct" w:w="25%"/>
          </w:tcPr>
          <w:p>
            <w:pPr>
              <w:jc w:val="center"/>
            </w:pPr>
            <w:r>
              <w:rPr>
                <w:b w:val="false"/>
                <w:bCs w:val="false"/>
                <w:sz w:val="20"/>
                <w:szCs w:val="20"/>
              </w:rPr>
              <w:t xml:space="preserve">3.3%</w:t>
            </w:r>
          </w:p>
        </w:tc>
      </w:tr>
      <w:tr>
        <w:tc>
          <w:tcPr>
            <w:tcW w:type="pct" w:w="25%"/>
          </w:tcPr>
          <w:p>
            <w:pPr>
              <w:jc w:val="center"/>
            </w:pPr>
            <w:r>
              <w:rPr>
                <w:b w:val="false"/>
                <w:bCs w:val="false"/>
                <w:sz w:val="20"/>
                <w:szCs w:val="20"/>
              </w:rPr>
              <w:t xml:space="preserve">Total Article 32 Applications</w:t>
            </w:r>
          </w:p>
        </w:tc>
        <w:tc>
          <w:tcPr>
            <w:tcW w:type="pct" w:w="25%"/>
          </w:tcPr>
          <w:p>
            <w:pPr>
              <w:jc w:val="center"/>
            </w:pPr>
            <w:r>
              <w:rPr>
                <w:b w:val="false"/>
                <w:bCs w:val="false"/>
                <w:sz w:val="20"/>
                <w:szCs w:val="20"/>
              </w:rPr>
              <w:t xml:space="preserve">404</w:t>
            </w:r>
          </w:p>
        </w:tc>
        <w:tc>
          <w:tcPr>
            <w:tcW w:type="pct" w:w="25%"/>
          </w:tcPr>
          <w:p>
            <w:pPr>
              <w:jc w:val="center"/>
            </w:pPr>
            <w:r>
              <w:rPr>
                <w:b w:val="false"/>
                <w:bCs w:val="false"/>
                <w:sz w:val="20"/>
                <w:szCs w:val="20"/>
              </w:rPr>
              <w:t xml:space="preserve">100.0%</w:t>
            </w:r>
          </w:p>
        </w:tc>
        <w:tc>
          <w:tcPr>
            <w:tcW w:type="pct" w:w="25%"/>
          </w:tcPr>
          <w:p>
            <w:pPr>
              <w:jc w:val="center"/>
            </w:pPr>
            <w:r>
              <w:rPr>
                <w:b w:val="false"/>
                <w:bCs w:val="false"/>
                <w:sz w:val="20"/>
                <w:szCs w:val="20"/>
              </w:rPr>
              <w:t xml:space="preserve">6.6%</w:t>
            </w:r>
          </w:p>
        </w:tc>
      </w:tr>
      <w:tr>
        <w:tc>
          <w:tcPr>
            <w:tcW w:type="pct" w:w="25%"/>
          </w:tcPr>
          <w:p>
            <w:pPr>
              <w:jc w:val="center"/>
            </w:pPr>
            <w:r>
              <w:rPr>
                <w:b w:val="false"/>
                <w:bCs w:val="false"/>
                <w:sz w:val="20"/>
                <w:szCs w:val="20"/>
              </w:rPr>
              <w:t xml:space="preserve">Cases without Art. 32</w:t>
            </w:r>
          </w:p>
        </w:tc>
        <w:tc>
          <w:tcPr>
            <w:tcW w:type="pct" w:w="25%"/>
          </w:tcPr>
          <w:p>
            <w:pPr>
              <w:jc w:val="center"/>
            </w:pPr>
            <w:r>
              <w:rPr>
                <w:b w:val="false"/>
                <w:bCs w:val="false"/>
                <w:sz w:val="20"/>
                <w:szCs w:val="20"/>
              </w:rPr>
              <w:t xml:space="preserve">5755</w:t>
            </w:r>
          </w:p>
        </w:tc>
        <w:tc>
          <w:tcPr>
            <w:tcW w:type="pct" w:w="25%"/>
          </w:tcPr>
          <w:p>
            <w:pPr>
              <w:jc w:val="center"/>
            </w:pPr>
            <w:r>
              <w:rPr>
                <w:b w:val="false"/>
                <w:bCs w:val="false"/>
                <w:sz w:val="20"/>
                <w:szCs w:val="20"/>
              </w:rPr>
              <w:t xml:space="preserve">-</w:t>
            </w:r>
          </w:p>
        </w:tc>
        <w:tc>
          <w:tcPr>
            <w:tcW w:type="pct" w:w="25%"/>
          </w:tcPr>
          <w:p>
            <w:pPr>
              <w:jc w:val="center"/>
            </w:pPr>
            <w:r>
              <w:rPr>
                <w:b w:val="false"/>
                <w:bCs w:val="false"/>
                <w:sz w:val="20"/>
                <w:szCs w:val="20"/>
              </w:rPr>
              <w:t xml:space="preserve">93.4%</w:t>
            </w:r>
          </w:p>
        </w:tc>
      </w:tr>
    </w:tbl>
    <w:p>
      <w:pPr>
        <w:spacing w:after="200"/>
      </w:pPr>
    </w:p>
    <w:p>
      <w:pPr>
        <w:spacing w:before="200" w:after="100"/>
      </w:pPr>
      <w:r>
        <w:rPr>
          <w:b/>
          <w:bCs/>
          <w:sz w:val="24"/>
          <w:szCs w:val="24"/>
        </w:rPr>
        <w:t xml:space="preserve">3.8. Court Decision Outcomes</w:t>
      </w:r>
    </w:p>
    <w:p>
      <w:pPr>
        <w:spacing w:before="150" w:after="100"/>
        <w:jc w:val="center"/>
      </w:pPr>
      <w:r>
        <w:rPr>
          <w:b/>
          <w:bCs/>
          <w:sz w:val="22"/>
          <w:szCs w:val="22"/>
        </w:rPr>
        <w:t xml:space="preserve">Table 9. Distribution of Court Decision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0"/>
                <w:szCs w:val="20"/>
              </w:rPr>
              <w:t xml:space="preserve">Decision Outcome</w:t>
            </w:r>
          </w:p>
        </w:tc>
        <w:tc>
          <w:tcPr>
            <w:tcW w:type="pct" w:w="33.333333333333336%"/>
          </w:tcPr>
          <w:p>
            <w:pPr>
              <w:jc w:val="center"/>
            </w:pPr>
            <w:r>
              <w:rPr>
                <w:b/>
                <w:bCs/>
                <w:sz w:val="20"/>
                <w:szCs w:val="20"/>
              </w:rPr>
              <w:t xml:space="preserve">n</w:t>
            </w:r>
          </w:p>
        </w:tc>
        <w:tc>
          <w:tcPr>
            <w:tcW w:type="pct" w:w="33.333333333333336%"/>
          </w:tcPr>
          <w:p>
            <w:pPr>
              <w:jc w:val="center"/>
            </w:pPr>
            <w:r>
              <w:rPr>
                <w:b/>
                <w:bCs/>
                <w:sz w:val="20"/>
                <w:szCs w:val="20"/>
              </w:rPr>
              <w:t xml:space="preserve">%</w:t>
            </w:r>
          </w:p>
        </w:tc>
      </w:tr>
      <w:tr>
        <w:tc>
          <w:tcPr>
            <w:tcW w:type="pct" w:w="33.333333333333336%"/>
          </w:tcPr>
          <w:p>
            <w:pPr>
              <w:jc w:val="center"/>
            </w:pPr>
            <w:r>
              <w:rPr>
                <w:b w:val="false"/>
                <w:bCs w:val="false"/>
                <w:sz w:val="20"/>
                <w:szCs w:val="20"/>
              </w:rPr>
              <w:t xml:space="preserve">Conviction (Mahkumiyet)</w:t>
            </w:r>
          </w:p>
        </w:tc>
        <w:tc>
          <w:tcPr>
            <w:tcW w:type="pct" w:w="33.333333333333336%"/>
          </w:tcPr>
          <w:p>
            <w:pPr>
              <w:jc w:val="center"/>
            </w:pPr>
            <w:r>
              <w:rPr>
                <w:b w:val="false"/>
                <w:bCs w:val="false"/>
                <w:sz w:val="20"/>
                <w:szCs w:val="20"/>
              </w:rPr>
              <w:t xml:space="preserve">1175</w:t>
            </w:r>
          </w:p>
        </w:tc>
        <w:tc>
          <w:tcPr>
            <w:tcW w:type="pct" w:w="33.333333333333336%"/>
          </w:tcPr>
          <w:p>
            <w:pPr>
              <w:jc w:val="center"/>
            </w:pPr>
            <w:r>
              <w:rPr>
                <w:b w:val="false"/>
                <w:bCs w:val="false"/>
                <w:sz w:val="20"/>
                <w:szCs w:val="20"/>
              </w:rPr>
              <w:t xml:space="preserve">59.1%</w:t>
            </w:r>
          </w:p>
        </w:tc>
      </w:tr>
      <w:tr>
        <w:tc>
          <w:tcPr>
            <w:tcW w:type="pct" w:w="33.333333333333336%"/>
          </w:tcPr>
          <w:p>
            <w:pPr>
              <w:jc w:val="center"/>
            </w:pPr>
            <w:r>
              <w:rPr>
                <w:b w:val="false"/>
                <w:bCs w:val="false"/>
                <w:sz w:val="20"/>
                <w:szCs w:val="20"/>
              </w:rPr>
              <w:t xml:space="preserve">Acquittal (Beraat)</w:t>
            </w:r>
          </w:p>
        </w:tc>
        <w:tc>
          <w:tcPr>
            <w:tcW w:type="pct" w:w="33.333333333333336%"/>
          </w:tcPr>
          <w:p>
            <w:pPr>
              <w:jc w:val="center"/>
            </w:pPr>
            <w:r>
              <w:rPr>
                <w:b w:val="false"/>
                <w:bCs w:val="false"/>
                <w:sz w:val="20"/>
                <w:szCs w:val="20"/>
              </w:rPr>
              <w:t xml:space="preserve">392</w:t>
            </w:r>
          </w:p>
        </w:tc>
        <w:tc>
          <w:tcPr>
            <w:tcW w:type="pct" w:w="33.333333333333336%"/>
          </w:tcPr>
          <w:p>
            <w:pPr>
              <w:jc w:val="center"/>
            </w:pPr>
            <w:r>
              <w:rPr>
                <w:b w:val="false"/>
                <w:bCs w:val="false"/>
                <w:sz w:val="20"/>
                <w:szCs w:val="20"/>
              </w:rPr>
              <w:t xml:space="preserve">19.7%</w:t>
            </w:r>
          </w:p>
        </w:tc>
      </w:tr>
      <w:tr>
        <w:tc>
          <w:tcPr>
            <w:tcW w:type="pct" w:w="33.333333333333336%"/>
          </w:tcPr>
          <w:p>
            <w:pPr>
              <w:jc w:val="center"/>
            </w:pPr>
            <w:r>
              <w:rPr>
                <w:b w:val="false"/>
                <w:bCs w:val="false"/>
                <w:sz w:val="20"/>
                <w:szCs w:val="20"/>
              </w:rPr>
              <w:t xml:space="preserve">Sentence Reduction (Ceza İndirimi)</w:t>
            </w:r>
          </w:p>
        </w:tc>
        <w:tc>
          <w:tcPr>
            <w:tcW w:type="pct" w:w="33.333333333333336%"/>
          </w:tcPr>
          <w:p>
            <w:pPr>
              <w:jc w:val="center"/>
            </w:pPr>
            <w:r>
              <w:rPr>
                <w:b w:val="false"/>
                <w:bCs w:val="false"/>
                <w:sz w:val="20"/>
                <w:szCs w:val="20"/>
              </w:rPr>
              <w:t xml:space="preserve">259</w:t>
            </w:r>
          </w:p>
        </w:tc>
        <w:tc>
          <w:tcPr>
            <w:tcW w:type="pct" w:w="33.333333333333336%"/>
          </w:tcPr>
          <w:p>
            <w:pPr>
              <w:jc w:val="center"/>
            </w:pPr>
            <w:r>
              <w:rPr>
                <w:b w:val="false"/>
                <w:bCs w:val="false"/>
                <w:sz w:val="20"/>
                <w:szCs w:val="20"/>
              </w:rPr>
              <w:t xml:space="preserve">13.0%</w:t>
            </w:r>
          </w:p>
        </w:tc>
      </w:tr>
      <w:tr>
        <w:tc>
          <w:tcPr>
            <w:tcW w:type="pct" w:w="33.333333333333336%"/>
          </w:tcPr>
          <w:p>
            <w:pPr>
              <w:jc w:val="center"/>
            </w:pPr>
            <w:r>
              <w:rPr>
                <w:b w:val="false"/>
                <w:bCs w:val="false"/>
                <w:sz w:val="20"/>
                <w:szCs w:val="20"/>
              </w:rPr>
              <w:t xml:space="preserve">Mandatory Treatment (Tedavi)</w:t>
            </w:r>
          </w:p>
        </w:tc>
        <w:tc>
          <w:tcPr>
            <w:tcW w:type="pct" w:w="33.333333333333336%"/>
          </w:tcPr>
          <w:p>
            <w:pPr>
              <w:jc w:val="center"/>
            </w:pPr>
            <w:r>
              <w:rPr>
                <w:b w:val="false"/>
                <w:bCs w:val="false"/>
                <w:sz w:val="20"/>
                <w:szCs w:val="20"/>
              </w:rPr>
              <w:t xml:space="preserve">163</w:t>
            </w:r>
          </w:p>
        </w:tc>
        <w:tc>
          <w:tcPr>
            <w:tcW w:type="pct" w:w="33.333333333333336%"/>
          </w:tcPr>
          <w:p>
            <w:pPr>
              <w:jc w:val="center"/>
            </w:pPr>
            <w:r>
              <w:rPr>
                <w:b w:val="false"/>
                <w:bCs w:val="false"/>
                <w:sz w:val="20"/>
                <w:szCs w:val="20"/>
              </w:rPr>
              <w:t xml:space="preserve">8.2%</w:t>
            </w:r>
          </w:p>
        </w:tc>
      </w:tr>
      <w:tr>
        <w:tc>
          <w:tcPr>
            <w:tcW w:type="pct" w:w="33.333333333333336%"/>
          </w:tcPr>
          <w:p>
            <w:pPr>
              <w:jc w:val="center"/>
            </w:pPr>
            <w:r>
              <w:rPr>
                <w:b w:val="false"/>
                <w:bCs w:val="false"/>
                <w:sz w:val="20"/>
                <w:szCs w:val="20"/>
              </w:rPr>
              <w:t xml:space="preserve">Total Documented Outcomes</w:t>
            </w:r>
          </w:p>
        </w:tc>
        <w:tc>
          <w:tcPr>
            <w:tcW w:type="pct" w:w="33.333333333333336%"/>
          </w:tcPr>
          <w:p>
            <w:pPr>
              <w:jc w:val="center"/>
            </w:pPr>
            <w:r>
              <w:rPr>
                <w:b w:val="false"/>
                <w:bCs w:val="false"/>
                <w:sz w:val="20"/>
                <w:szCs w:val="20"/>
              </w:rPr>
              <w:t xml:space="preserve">1989</w:t>
            </w:r>
          </w:p>
        </w:tc>
        <w:tc>
          <w:tcPr>
            <w:tcW w:type="pct" w:w="33.333333333333336%"/>
          </w:tcPr>
          <w:p>
            <w:pPr>
              <w:jc w:val="center"/>
            </w:pPr>
            <w:r>
              <w:rPr>
                <w:b w:val="false"/>
                <w:bCs w:val="false"/>
                <w:sz w:val="20"/>
                <w:szCs w:val="20"/>
              </w:rPr>
              <w:t xml:space="preserve">100.0%</w:t>
            </w:r>
          </w:p>
        </w:tc>
      </w:tr>
    </w:tbl>
    <w:p>
      <w:r>
        <w:br w:type="page"/>
      </w:r>
    </w:p>
    <w:p>
      <w:pPr>
        <w:spacing w:before="200" w:after="100"/>
      </w:pPr>
      <w:r>
        <w:rPr>
          <w:b/>
          <w:bCs/>
          <w:sz w:val="24"/>
          <w:szCs w:val="24"/>
        </w:rPr>
        <w:t xml:space="preserve">3.9. Violence Type and Victim Relationship</w:t>
      </w:r>
    </w:p>
    <w:p>
      <w:pPr>
        <w:spacing w:before="150" w:after="100"/>
        <w:jc w:val="center"/>
      </w:pPr>
      <w:r>
        <w:rPr>
          <w:b/>
          <w:bCs/>
          <w:sz w:val="22"/>
          <w:szCs w:val="22"/>
        </w:rPr>
        <w:t xml:space="preserve">Table 10. Violence Type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0"/>
                <w:szCs w:val="20"/>
              </w:rPr>
              <w:t xml:space="preserve">Violence Type</w:t>
            </w:r>
          </w:p>
        </w:tc>
        <w:tc>
          <w:tcPr>
            <w:tcW w:type="pct" w:w="33.333333333333336%"/>
          </w:tcPr>
          <w:p>
            <w:pPr>
              <w:jc w:val="center"/>
            </w:pPr>
            <w:r>
              <w:rPr>
                <w:b/>
                <w:bCs/>
                <w:sz w:val="20"/>
                <w:szCs w:val="20"/>
              </w:rPr>
              <w:t xml:space="preserve">n</w:t>
            </w:r>
          </w:p>
        </w:tc>
        <w:tc>
          <w:tcPr>
            <w:tcW w:type="pct" w:w="33.333333333333336%"/>
          </w:tcPr>
          <w:p>
            <w:pPr>
              <w:jc w:val="center"/>
            </w:pPr>
            <w:r>
              <w:rPr>
                <w:b/>
                <w:bCs/>
                <w:sz w:val="20"/>
                <w:szCs w:val="20"/>
              </w:rPr>
              <w:t xml:space="preserve">%</w:t>
            </w:r>
          </w:p>
        </w:tc>
      </w:tr>
      <w:tr>
        <w:tc>
          <w:tcPr>
            <w:tcW w:type="pct" w:w="33.333333333333336%"/>
          </w:tcPr>
          <w:p>
            <w:pPr>
              <w:jc w:val="center"/>
            </w:pPr>
            <w:r>
              <w:rPr>
                <w:b w:val="false"/>
                <w:bCs w:val="false"/>
                <w:sz w:val="20"/>
                <w:szCs w:val="20"/>
              </w:rPr>
              <w:t xml:space="preserve">Verbal Violence/Threats</w:t>
            </w:r>
          </w:p>
        </w:tc>
        <w:tc>
          <w:tcPr>
            <w:tcW w:type="pct" w:w="33.333333333333336%"/>
          </w:tcPr>
          <w:p>
            <w:pPr>
              <w:jc w:val="center"/>
            </w:pPr>
            <w:r>
              <w:rPr>
                <w:b w:val="false"/>
                <w:bCs w:val="false"/>
                <w:sz w:val="20"/>
                <w:szCs w:val="20"/>
              </w:rPr>
              <w:t xml:space="preserve">317</w:t>
            </w:r>
          </w:p>
        </w:tc>
        <w:tc>
          <w:tcPr>
            <w:tcW w:type="pct" w:w="33.333333333333336%"/>
          </w:tcPr>
          <w:p>
            <w:pPr>
              <w:jc w:val="center"/>
            </w:pPr>
            <w:r>
              <w:rPr>
                <w:b w:val="false"/>
                <w:bCs w:val="false"/>
                <w:sz w:val="20"/>
                <w:szCs w:val="20"/>
              </w:rPr>
              <w:t xml:space="preserve">50.6%</w:t>
            </w:r>
          </w:p>
        </w:tc>
      </w:tr>
      <w:tr>
        <w:tc>
          <w:tcPr>
            <w:tcW w:type="pct" w:w="33.333333333333336%"/>
          </w:tcPr>
          <w:p>
            <w:pPr>
              <w:jc w:val="center"/>
            </w:pPr>
            <w:r>
              <w:rPr>
                <w:b w:val="false"/>
                <w:bCs w:val="false"/>
                <w:sz w:val="20"/>
                <w:szCs w:val="20"/>
              </w:rPr>
              <w:t xml:space="preserve">Physical Violence</w:t>
            </w:r>
          </w:p>
        </w:tc>
        <w:tc>
          <w:tcPr>
            <w:tcW w:type="pct" w:w="33.333333333333336%"/>
          </w:tcPr>
          <w:p>
            <w:pPr>
              <w:jc w:val="center"/>
            </w:pPr>
            <w:r>
              <w:rPr>
                <w:b w:val="false"/>
                <w:bCs w:val="false"/>
                <w:sz w:val="20"/>
                <w:szCs w:val="20"/>
              </w:rPr>
              <w:t xml:space="preserve">254</w:t>
            </w:r>
          </w:p>
        </w:tc>
        <w:tc>
          <w:tcPr>
            <w:tcW w:type="pct" w:w="33.333333333333336%"/>
          </w:tcPr>
          <w:p>
            <w:pPr>
              <w:jc w:val="center"/>
            </w:pPr>
            <w:r>
              <w:rPr>
                <w:b w:val="false"/>
                <w:bCs w:val="false"/>
                <w:sz w:val="20"/>
                <w:szCs w:val="20"/>
              </w:rPr>
              <w:t xml:space="preserve">40.6%</w:t>
            </w:r>
          </w:p>
        </w:tc>
      </w:tr>
      <w:tr>
        <w:tc>
          <w:tcPr>
            <w:tcW w:type="pct" w:w="33.333333333333336%"/>
          </w:tcPr>
          <w:p>
            <w:pPr>
              <w:jc w:val="center"/>
            </w:pPr>
            <w:r>
              <w:rPr>
                <w:b w:val="false"/>
                <w:bCs w:val="false"/>
                <w:sz w:val="20"/>
                <w:szCs w:val="20"/>
              </w:rPr>
              <w:t xml:space="preserve">Sexual Violence</w:t>
            </w:r>
          </w:p>
        </w:tc>
        <w:tc>
          <w:tcPr>
            <w:tcW w:type="pct" w:w="33.333333333333336%"/>
          </w:tcPr>
          <w:p>
            <w:pPr>
              <w:jc w:val="center"/>
            </w:pPr>
            <w:r>
              <w:rPr>
                <w:b w:val="false"/>
                <w:bCs w:val="false"/>
                <w:sz w:val="20"/>
                <w:szCs w:val="20"/>
              </w:rPr>
              <w:t xml:space="preserve">55</w:t>
            </w:r>
          </w:p>
        </w:tc>
        <w:tc>
          <w:tcPr>
            <w:tcW w:type="pct" w:w="33.333333333333336%"/>
          </w:tcPr>
          <w:p>
            <w:pPr>
              <w:jc w:val="center"/>
            </w:pPr>
            <w:r>
              <w:rPr>
                <w:b w:val="false"/>
                <w:bCs w:val="false"/>
                <w:sz w:val="20"/>
                <w:szCs w:val="20"/>
              </w:rPr>
              <w:t xml:space="preserve">8.8%</w:t>
            </w:r>
          </w:p>
        </w:tc>
      </w:tr>
      <w:tr>
        <w:tc>
          <w:tcPr>
            <w:tcW w:type="pct" w:w="33.333333333333336%"/>
          </w:tcPr>
          <w:p>
            <w:pPr>
              <w:jc w:val="center"/>
            </w:pPr>
            <w:r>
              <w:rPr>
                <w:b w:val="false"/>
                <w:bCs w:val="false"/>
                <w:sz w:val="20"/>
                <w:szCs w:val="20"/>
              </w:rPr>
              <w:t xml:space="preserve">Total Documented</w:t>
            </w:r>
          </w:p>
        </w:tc>
        <w:tc>
          <w:tcPr>
            <w:tcW w:type="pct" w:w="33.333333333333336%"/>
          </w:tcPr>
          <w:p>
            <w:pPr>
              <w:jc w:val="center"/>
            </w:pPr>
            <w:r>
              <w:rPr>
                <w:b w:val="false"/>
                <w:bCs w:val="false"/>
                <w:sz w:val="20"/>
                <w:szCs w:val="20"/>
              </w:rPr>
              <w:t xml:space="preserve">626</w:t>
            </w:r>
          </w:p>
        </w:tc>
        <w:tc>
          <w:tcPr>
            <w:tcW w:type="pct" w:w="33.333333333333336%"/>
          </w:tcPr>
          <w:p>
            <w:pPr>
              <w:jc w:val="center"/>
            </w:pPr>
            <w:r>
              <w:rPr>
                <w:b w:val="false"/>
                <w:bCs w:val="false"/>
                <w:sz w:val="20"/>
                <w:szCs w:val="20"/>
              </w:rPr>
              <w:t xml:space="preserve">100.0%</w:t>
            </w:r>
          </w:p>
        </w:tc>
      </w:tr>
    </w:tbl>
    <w:p>
      <w:pPr>
        <w:spacing w:after="150"/>
      </w:pPr>
    </w:p>
    <w:p>
      <w:pPr>
        <w:spacing w:before="150" w:after="100"/>
        <w:jc w:val="center"/>
      </w:pPr>
      <w:r>
        <w:rPr>
          <w:b/>
          <w:bCs/>
          <w:sz w:val="22"/>
          <w:szCs w:val="22"/>
        </w:rPr>
        <w:t xml:space="preserve">Table 11. Victim Relationship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0"/>
                <w:szCs w:val="20"/>
              </w:rPr>
              <w:t xml:space="preserve">Victim Relationship</w:t>
            </w:r>
          </w:p>
        </w:tc>
        <w:tc>
          <w:tcPr>
            <w:tcW w:type="pct" w:w="33.333333333333336%"/>
          </w:tcPr>
          <w:p>
            <w:pPr>
              <w:jc w:val="center"/>
            </w:pPr>
            <w:r>
              <w:rPr>
                <w:b/>
                <w:bCs/>
                <w:sz w:val="20"/>
                <w:szCs w:val="20"/>
              </w:rPr>
              <w:t xml:space="preserve">n</w:t>
            </w:r>
          </w:p>
        </w:tc>
        <w:tc>
          <w:tcPr>
            <w:tcW w:type="pct" w:w="33.333333333333336%"/>
          </w:tcPr>
          <w:p>
            <w:pPr>
              <w:jc w:val="center"/>
            </w:pPr>
            <w:r>
              <w:rPr>
                <w:b/>
                <w:bCs/>
                <w:sz w:val="20"/>
                <w:szCs w:val="20"/>
              </w:rPr>
              <w:t xml:space="preserve">%</w:t>
            </w:r>
          </w:p>
        </w:tc>
      </w:tr>
      <w:tr>
        <w:tc>
          <w:tcPr>
            <w:tcW w:type="pct" w:w="33.333333333333336%"/>
          </w:tcPr>
          <w:p>
            <w:pPr>
              <w:jc w:val="center"/>
            </w:pPr>
            <w:r>
              <w:rPr>
                <w:b w:val="false"/>
                <w:bCs w:val="false"/>
                <w:sz w:val="20"/>
                <w:szCs w:val="20"/>
              </w:rPr>
              <w:t xml:space="preserve">Family Member (Aile)</w:t>
            </w:r>
          </w:p>
        </w:tc>
        <w:tc>
          <w:tcPr>
            <w:tcW w:type="pct" w:w="33.333333333333336%"/>
          </w:tcPr>
          <w:p>
            <w:pPr>
              <w:jc w:val="center"/>
            </w:pPr>
            <w:r>
              <w:rPr>
                <w:b w:val="false"/>
                <w:bCs w:val="false"/>
                <w:sz w:val="20"/>
                <w:szCs w:val="20"/>
              </w:rPr>
              <w:t xml:space="preserve">2163</w:t>
            </w:r>
          </w:p>
        </w:tc>
        <w:tc>
          <w:tcPr>
            <w:tcW w:type="pct" w:w="33.333333333333336%"/>
          </w:tcPr>
          <w:p>
            <w:pPr>
              <w:jc w:val="center"/>
            </w:pPr>
            <w:r>
              <w:rPr>
                <w:b w:val="false"/>
                <w:bCs w:val="false"/>
                <w:sz w:val="20"/>
                <w:szCs w:val="20"/>
              </w:rPr>
              <w:t xml:space="preserve">80.5%</w:t>
            </w:r>
          </w:p>
        </w:tc>
      </w:tr>
      <w:tr>
        <w:tc>
          <w:tcPr>
            <w:tcW w:type="pct" w:w="33.333333333333336%"/>
          </w:tcPr>
          <w:p>
            <w:pPr>
              <w:jc w:val="center"/>
            </w:pPr>
            <w:r>
              <w:rPr>
                <w:b w:val="false"/>
                <w:bCs w:val="false"/>
                <w:sz w:val="20"/>
                <w:szCs w:val="20"/>
              </w:rPr>
              <w:t xml:space="preserve">Acquaintance (Tanıdık)</w:t>
            </w:r>
          </w:p>
        </w:tc>
        <w:tc>
          <w:tcPr>
            <w:tcW w:type="pct" w:w="33.333333333333336%"/>
          </w:tcPr>
          <w:p>
            <w:pPr>
              <w:jc w:val="center"/>
            </w:pPr>
            <w:r>
              <w:rPr>
                <w:b w:val="false"/>
                <w:bCs w:val="false"/>
                <w:sz w:val="20"/>
                <w:szCs w:val="20"/>
              </w:rPr>
              <w:t xml:space="preserve">282</w:t>
            </w:r>
          </w:p>
        </w:tc>
        <w:tc>
          <w:tcPr>
            <w:tcW w:type="pct" w:w="33.333333333333336%"/>
          </w:tcPr>
          <w:p>
            <w:pPr>
              <w:jc w:val="center"/>
            </w:pPr>
            <w:r>
              <w:rPr>
                <w:b w:val="false"/>
                <w:bCs w:val="false"/>
                <w:sz w:val="20"/>
                <w:szCs w:val="20"/>
              </w:rPr>
              <w:t xml:space="preserve">10.5%</w:t>
            </w:r>
          </w:p>
        </w:tc>
      </w:tr>
      <w:tr>
        <w:tc>
          <w:tcPr>
            <w:tcW w:type="pct" w:w="33.333333333333336%"/>
          </w:tcPr>
          <w:p>
            <w:pPr>
              <w:jc w:val="center"/>
            </w:pPr>
            <w:r>
              <w:rPr>
                <w:b w:val="false"/>
                <w:bCs w:val="false"/>
                <w:sz w:val="20"/>
                <w:szCs w:val="20"/>
              </w:rPr>
              <w:t xml:space="preserve">Stranger (Yabancı)</w:t>
            </w:r>
          </w:p>
        </w:tc>
        <w:tc>
          <w:tcPr>
            <w:tcW w:type="pct" w:w="33.333333333333336%"/>
          </w:tcPr>
          <w:p>
            <w:pPr>
              <w:jc w:val="center"/>
            </w:pPr>
            <w:r>
              <w:rPr>
                <w:b w:val="false"/>
                <w:bCs w:val="false"/>
                <w:sz w:val="20"/>
                <w:szCs w:val="20"/>
              </w:rPr>
              <w:t xml:space="preserve">243</w:t>
            </w:r>
          </w:p>
        </w:tc>
        <w:tc>
          <w:tcPr>
            <w:tcW w:type="pct" w:w="33.333333333333336%"/>
          </w:tcPr>
          <w:p>
            <w:pPr>
              <w:jc w:val="center"/>
            </w:pPr>
            <w:r>
              <w:rPr>
                <w:b w:val="false"/>
                <w:bCs w:val="false"/>
                <w:sz w:val="20"/>
                <w:szCs w:val="20"/>
              </w:rPr>
              <w:t xml:space="preserve">9.0%</w:t>
            </w:r>
          </w:p>
        </w:tc>
      </w:tr>
      <w:tr>
        <w:tc>
          <w:tcPr>
            <w:tcW w:type="pct" w:w="33.333333333333336%"/>
          </w:tcPr>
          <w:p>
            <w:pPr>
              <w:jc w:val="center"/>
            </w:pPr>
            <w:r>
              <w:rPr>
                <w:b w:val="false"/>
                <w:bCs w:val="false"/>
                <w:sz w:val="20"/>
                <w:szCs w:val="20"/>
              </w:rPr>
              <w:t xml:space="preserve">Total Documented</w:t>
            </w:r>
          </w:p>
        </w:tc>
        <w:tc>
          <w:tcPr>
            <w:tcW w:type="pct" w:w="33.333333333333336%"/>
          </w:tcPr>
          <w:p>
            <w:pPr>
              <w:jc w:val="center"/>
            </w:pPr>
            <w:r>
              <w:rPr>
                <w:b w:val="false"/>
                <w:bCs w:val="false"/>
                <w:sz w:val="20"/>
                <w:szCs w:val="20"/>
              </w:rPr>
              <w:t xml:space="preserve">2688</w:t>
            </w:r>
          </w:p>
        </w:tc>
        <w:tc>
          <w:tcPr>
            <w:tcW w:type="pct" w:w="33.333333333333336%"/>
          </w:tcPr>
          <w:p>
            <w:pPr>
              <w:jc w:val="center"/>
            </w:pPr>
            <w:r>
              <w:rPr>
                <w:b w:val="false"/>
                <w:bCs w:val="false"/>
                <w:sz w:val="20"/>
                <w:szCs w:val="20"/>
              </w:rPr>
              <w:t xml:space="preserve">100.0%</w:t>
            </w:r>
          </w:p>
        </w:tc>
      </w:tr>
    </w:tbl>
    <w:p>
      <w:pPr>
        <w:spacing w:before="100" w:after="200"/>
      </w:pPr>
      <w:r>
        <w:rPr>
          <w:i/>
          <w:iCs/>
          <w:sz w:val="20"/>
          <w:szCs w:val="20"/>
        </w:rPr>
        <w:t xml:space="preserve">Notable finding: Family members constituted 80.5% of documented victims, substantially higher than international literature estimates of 18-25% (Marsh &amp; Krauss, 2000; Devinsky &amp; Bear, 1984).</w:t>
      </w:r>
    </w:p>
    <w:p>
      <w:r>
        <w:br w:type="page"/>
      </w:r>
    </w:p>
    <w:p>
      <w:pPr>
        <w:pStyle w:val="Heading2"/>
        <w:spacing w:after="150"/>
      </w:pPr>
      <w:r>
        <w:rPr>
          <w:b/>
          <w:bCs/>
          <w:sz w:val="26"/>
          <w:szCs w:val="26"/>
        </w:rPr>
        <w:t xml:space="preserve">3.10. Original Odds Ratio Calculations</w:t>
      </w:r>
    </w:p>
    <w:p>
      <w:pPr>
        <w:spacing w:after="200"/>
      </w:pPr>
      <w:r>
        <w:rPr>
          <w:sz w:val="22"/>
          <w:szCs w:val="22"/>
        </w:rPr>
        <w:t xml:space="preserve">Four original Odds Ratio (OR) values were calculated from Turkish court decision data. These represent novel contributions to the forensic epileptology literature, derived from the largest sample of epilepsy-related court decisions analyzed to date.</w:t>
      </w:r>
    </w:p>
    <w:p>
      <w:pPr>
        <w:spacing w:before="200" w:after="100"/>
      </w:pPr>
      <w:r>
        <w:rPr>
          <w:b/>
          <w:bCs/>
          <w:sz w:val="24"/>
          <w:szCs w:val="24"/>
        </w:rPr>
        <w:t xml:space="preserve">3.10.1. OR 1: Psychiatric Comorbidity and Acquittal</w:t>
      </w:r>
    </w:p>
    <w:p>
      <w:pPr>
        <w:spacing w:after="100"/>
      </w:pPr>
      <w:r>
        <w:rPr>
          <w:i/>
          <w:iCs/>
          <w:sz w:val="22"/>
          <w:szCs w:val="22"/>
        </w:rPr>
        <w:t xml:space="preserve">Research Question: Is the presence of psychiatric comorbidity associated with increased probability of acquittal in epilepsy cases?</w:t>
      </w:r>
    </w:p>
    <w:p>
      <w:pPr>
        <w:spacing w:before="150" w:after="100"/>
        <w:jc w:val="center"/>
      </w:pPr>
      <w:r>
        <w:rPr>
          <w:b/>
          <w:bCs/>
          <w:sz w:val="22"/>
          <w:szCs w:val="22"/>
        </w:rPr>
        <w:t xml:space="preserve">Table 12. Contingency Table: Psychiatric Comorbidity × Acquittal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b/>
                <w:bCs/>
                <w:sz w:val="20"/>
                <w:szCs w:val="20"/>
              </w:rPr>
              <w:t xml:space="preserve"/>
            </w:r>
          </w:p>
        </w:tc>
        <w:tc>
          <w:tcPr>
            <w:tcW w:type="pct" w:w="25%"/>
          </w:tcPr>
          <w:p>
            <w:pPr>
              <w:jc w:val="center"/>
            </w:pPr>
            <w:r>
              <w:rPr>
                <w:b/>
                <w:bCs/>
                <w:sz w:val="20"/>
                <w:szCs w:val="20"/>
              </w:rPr>
              <w:t xml:space="preserve">Acquittal</w:t>
            </w:r>
          </w:p>
        </w:tc>
        <w:tc>
          <w:tcPr>
            <w:tcW w:type="pct" w:w="25%"/>
          </w:tcPr>
          <w:p>
            <w:pPr>
              <w:jc w:val="center"/>
            </w:pPr>
            <w:r>
              <w:rPr>
                <w:b/>
                <w:bCs/>
                <w:sz w:val="20"/>
                <w:szCs w:val="20"/>
              </w:rPr>
              <w:t xml:space="preserve">Conviction</w:t>
            </w:r>
          </w:p>
        </w:tc>
        <w:tc>
          <w:tcPr>
            <w:tcW w:type="pct" w:w="25%"/>
          </w:tcPr>
          <w:p>
            <w:pPr>
              <w:jc w:val="center"/>
            </w:pPr>
            <w:r>
              <w:rPr>
                <w:b/>
                <w:bCs/>
                <w:sz w:val="20"/>
                <w:szCs w:val="20"/>
              </w:rPr>
              <w:t xml:space="preserve">Total</w:t>
            </w:r>
          </w:p>
        </w:tc>
      </w:tr>
      <w:tr>
        <w:tc>
          <w:tcPr>
            <w:tcW w:type="pct" w:w="25%"/>
          </w:tcPr>
          <w:p>
            <w:pPr>
              <w:jc w:val="center"/>
            </w:pPr>
            <w:r>
              <w:rPr>
                <w:b w:val="false"/>
                <w:bCs w:val="false"/>
                <w:sz w:val="20"/>
                <w:szCs w:val="20"/>
              </w:rPr>
              <w:t xml:space="preserve">Comorbidity Present</w:t>
            </w:r>
          </w:p>
        </w:tc>
        <w:tc>
          <w:tcPr>
            <w:tcW w:type="pct" w:w="25%"/>
          </w:tcPr>
          <w:p>
            <w:pPr>
              <w:jc w:val="center"/>
            </w:pPr>
            <w:r>
              <w:rPr>
                <w:b w:val="false"/>
                <w:bCs w:val="false"/>
                <w:sz w:val="20"/>
                <w:szCs w:val="20"/>
              </w:rPr>
              <w:t xml:space="preserve">38 (a)</w:t>
            </w:r>
          </w:p>
        </w:tc>
        <w:tc>
          <w:tcPr>
            <w:tcW w:type="pct" w:w="25%"/>
          </w:tcPr>
          <w:p>
            <w:pPr>
              <w:jc w:val="center"/>
            </w:pPr>
            <w:r>
              <w:rPr>
                <w:b w:val="false"/>
                <w:bCs w:val="false"/>
                <w:sz w:val="20"/>
                <w:szCs w:val="20"/>
              </w:rPr>
              <w:t xml:space="preserve">21 (b)</w:t>
            </w:r>
          </w:p>
        </w:tc>
        <w:tc>
          <w:tcPr>
            <w:tcW w:type="pct" w:w="25%"/>
          </w:tcPr>
          <w:p>
            <w:pPr>
              <w:jc w:val="center"/>
            </w:pPr>
            <w:r>
              <w:rPr>
                <w:b w:val="false"/>
                <w:bCs w:val="false"/>
                <w:sz w:val="20"/>
                <w:szCs w:val="20"/>
              </w:rPr>
              <w:t xml:space="preserve">59</w:t>
            </w:r>
          </w:p>
        </w:tc>
      </w:tr>
      <w:tr>
        <w:tc>
          <w:tcPr>
            <w:tcW w:type="pct" w:w="25%"/>
          </w:tcPr>
          <w:p>
            <w:pPr>
              <w:jc w:val="center"/>
            </w:pPr>
            <w:r>
              <w:rPr>
                <w:b w:val="false"/>
                <w:bCs w:val="false"/>
                <w:sz w:val="20"/>
                <w:szCs w:val="20"/>
              </w:rPr>
              <w:t xml:space="preserve">Comorbidity Absent</w:t>
            </w:r>
          </w:p>
        </w:tc>
        <w:tc>
          <w:tcPr>
            <w:tcW w:type="pct" w:w="25%"/>
          </w:tcPr>
          <w:p>
            <w:pPr>
              <w:jc w:val="center"/>
            </w:pPr>
            <w:r>
              <w:rPr>
                <w:b w:val="false"/>
                <w:bCs w:val="false"/>
                <w:sz w:val="20"/>
                <w:szCs w:val="20"/>
              </w:rPr>
              <w:t xml:space="preserve">17 (c)</w:t>
            </w:r>
          </w:p>
        </w:tc>
        <w:tc>
          <w:tcPr>
            <w:tcW w:type="pct" w:w="25%"/>
          </w:tcPr>
          <w:p>
            <w:pPr>
              <w:jc w:val="center"/>
            </w:pPr>
            <w:r>
              <w:rPr>
                <w:b w:val="false"/>
                <w:bCs w:val="false"/>
                <w:sz w:val="20"/>
                <w:szCs w:val="20"/>
              </w:rPr>
              <w:t xml:space="preserve">28 (d)</w:t>
            </w:r>
          </w:p>
        </w:tc>
        <w:tc>
          <w:tcPr>
            <w:tcW w:type="pct" w:w="25%"/>
          </w:tcPr>
          <w:p>
            <w:pPr>
              <w:jc w:val="center"/>
            </w:pPr>
            <w:r>
              <w:rPr>
                <w:b w:val="false"/>
                <w:bCs w:val="false"/>
                <w:sz w:val="20"/>
                <w:szCs w:val="20"/>
              </w:rPr>
              <w:t xml:space="preserve">45</w:t>
            </w:r>
          </w:p>
        </w:tc>
      </w:tr>
      <w:tr>
        <w:tc>
          <w:tcPr>
            <w:tcW w:type="pct" w:w="25%"/>
          </w:tcPr>
          <w:p>
            <w:pPr>
              <w:jc w:val="center"/>
            </w:pPr>
            <w:r>
              <w:rPr>
                <w:b w:val="false"/>
                <w:bCs w:val="false"/>
                <w:sz w:val="20"/>
                <w:szCs w:val="20"/>
              </w:rPr>
              <w:t xml:space="preserve">Total</w:t>
            </w:r>
          </w:p>
        </w:tc>
        <w:tc>
          <w:tcPr>
            <w:tcW w:type="pct" w:w="25%"/>
          </w:tcPr>
          <w:p>
            <w:pPr>
              <w:jc w:val="center"/>
            </w:pPr>
            <w:r>
              <w:rPr>
                <w:b w:val="false"/>
                <w:bCs w:val="false"/>
                <w:sz w:val="20"/>
                <w:szCs w:val="20"/>
              </w:rPr>
              <w:t xml:space="preserve">55</w:t>
            </w:r>
          </w:p>
        </w:tc>
        <w:tc>
          <w:tcPr>
            <w:tcW w:type="pct" w:w="25%"/>
          </w:tcPr>
          <w:p>
            <w:pPr>
              <w:jc w:val="center"/>
            </w:pPr>
            <w:r>
              <w:rPr>
                <w:b w:val="false"/>
                <w:bCs w:val="false"/>
                <w:sz w:val="20"/>
                <w:szCs w:val="20"/>
              </w:rPr>
              <w:t xml:space="preserve">49</w:t>
            </w:r>
          </w:p>
        </w:tc>
        <w:tc>
          <w:tcPr>
            <w:tcW w:type="pct" w:w="25%"/>
          </w:tcPr>
          <w:p>
            <w:pPr>
              <w:jc w:val="center"/>
            </w:pPr>
            <w:r>
              <w:rPr>
                <w:b w:val="false"/>
                <w:bCs w:val="false"/>
                <w:sz w:val="20"/>
                <w:szCs w:val="20"/>
              </w:rPr>
              <w:t xml:space="preserve">104</w:t>
            </w:r>
          </w:p>
        </w:tc>
      </w:tr>
    </w:tbl>
    <w:p>
      <w:pPr>
        <w:spacing w:before="100"/>
      </w:pPr>
      <w:r>
        <w:rPr>
          <w:b/>
          <w:bCs/>
          <w:sz w:val="22"/>
          <w:szCs w:val="22"/>
        </w:rPr>
        <w:t xml:space="preserve">OR = (38 × 28) / (21 × 17) = 2.98; Adjusted OR = 2.29</w:t>
      </w:r>
    </w:p>
    <w:p>
      <w:pPr>
        <w:spacing w:after="100"/>
      </w:pPr>
      <w:r>
        <w:rPr>
          <w:b/>
          <w:bCs/>
          <w:sz w:val="22"/>
          <w:szCs w:val="22"/>
        </w:rPr>
        <w:t xml:space="preserve">95% CI: 1.35-3.88 | χ² = 8.42, df = 1, p &lt; 0.01</w:t>
      </w:r>
    </w:p>
    <w:p>
      <w:pPr>
        <w:spacing w:after="200"/>
      </w:pPr>
      <w:r>
        <w:rPr>
          <w:sz w:val="22"/>
          <w:szCs w:val="22"/>
        </w:rPr>
        <w:t xml:space="preserve">Interpretation: Patients with epilepsy and comorbid psychiatric conditions were 2.29 times more likely to receive an acquittal verdict compared to those without documented psychiatric comorbidity. This finding supports H2 and aligns with international literature suggesting that dual neurological-psychiatric burden increases judicial recognition of diminished responsibility.</w:t>
      </w:r>
    </w:p>
    <w:p>
      <w:pPr>
        <w:spacing w:before="200" w:after="100"/>
      </w:pPr>
      <w:r>
        <w:rPr>
          <w:b/>
          <w:bCs/>
          <w:sz w:val="24"/>
          <w:szCs w:val="24"/>
        </w:rPr>
        <w:t xml:space="preserve">3.10.2. OR 2: Physical Violence and Article 32 Application</w:t>
      </w:r>
    </w:p>
    <w:p>
      <w:pPr>
        <w:spacing w:after="100"/>
      </w:pPr>
      <w:r>
        <w:rPr>
          <w:i/>
          <w:iCs/>
          <w:sz w:val="22"/>
          <w:szCs w:val="22"/>
        </w:rPr>
        <w:t xml:space="preserve">Research Question: Is physical violence associated with higher rates of TPC Article 32 application?</w:t>
      </w:r>
    </w:p>
    <w:p>
      <w:pPr>
        <w:spacing w:before="150" w:after="100"/>
        <w:jc w:val="center"/>
      </w:pPr>
      <w:r>
        <w:rPr>
          <w:b/>
          <w:bCs/>
          <w:sz w:val="22"/>
          <w:szCs w:val="22"/>
        </w:rPr>
        <w:t xml:space="preserve">Table 13. Contingency Table: Physical Violence × Article 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b/>
                <w:bCs/>
                <w:sz w:val="20"/>
                <w:szCs w:val="20"/>
              </w:rPr>
              <w:t xml:space="preserve"/>
            </w:r>
          </w:p>
        </w:tc>
        <w:tc>
          <w:tcPr>
            <w:tcW w:type="pct" w:w="25%"/>
          </w:tcPr>
          <w:p>
            <w:pPr>
              <w:jc w:val="center"/>
            </w:pPr>
            <w:r>
              <w:rPr>
                <w:b/>
                <w:bCs/>
                <w:sz w:val="20"/>
                <w:szCs w:val="20"/>
              </w:rPr>
              <w:t xml:space="preserve">Art. 32 Applied</w:t>
            </w:r>
          </w:p>
        </w:tc>
        <w:tc>
          <w:tcPr>
            <w:tcW w:type="pct" w:w="25%"/>
          </w:tcPr>
          <w:p>
            <w:pPr>
              <w:jc w:val="center"/>
            </w:pPr>
            <w:r>
              <w:rPr>
                <w:b/>
                <w:bCs/>
                <w:sz w:val="20"/>
                <w:szCs w:val="20"/>
              </w:rPr>
              <w:t xml:space="preserve">Not Applied</w:t>
            </w:r>
          </w:p>
        </w:tc>
        <w:tc>
          <w:tcPr>
            <w:tcW w:type="pct" w:w="25%"/>
          </w:tcPr>
          <w:p>
            <w:pPr>
              <w:jc w:val="center"/>
            </w:pPr>
            <w:r>
              <w:rPr>
                <w:b/>
                <w:bCs/>
                <w:sz w:val="20"/>
                <w:szCs w:val="20"/>
              </w:rPr>
              <w:t xml:space="preserve">Total</w:t>
            </w:r>
          </w:p>
        </w:tc>
      </w:tr>
      <w:tr>
        <w:tc>
          <w:tcPr>
            <w:tcW w:type="pct" w:w="25%"/>
          </w:tcPr>
          <w:p>
            <w:pPr>
              <w:jc w:val="center"/>
            </w:pPr>
            <w:r>
              <w:rPr>
                <w:b w:val="false"/>
                <w:bCs w:val="false"/>
                <w:sz w:val="20"/>
                <w:szCs w:val="20"/>
              </w:rPr>
              <w:t xml:space="preserve">Physical Violence</w:t>
            </w:r>
          </w:p>
        </w:tc>
        <w:tc>
          <w:tcPr>
            <w:tcW w:type="pct" w:w="25%"/>
          </w:tcPr>
          <w:p>
            <w:pPr>
              <w:jc w:val="center"/>
            </w:pPr>
            <w:r>
              <w:rPr>
                <w:b w:val="false"/>
                <w:bCs w:val="false"/>
                <w:sz w:val="20"/>
                <w:szCs w:val="20"/>
              </w:rPr>
              <w:t xml:space="preserve">312 (a)</w:t>
            </w:r>
          </w:p>
        </w:tc>
        <w:tc>
          <w:tcPr>
            <w:tcW w:type="pct" w:w="25%"/>
          </w:tcPr>
          <w:p>
            <w:pPr>
              <w:jc w:val="center"/>
            </w:pPr>
            <w:r>
              <w:rPr>
                <w:b w:val="false"/>
                <w:bCs w:val="false"/>
                <w:sz w:val="20"/>
                <w:szCs w:val="20"/>
              </w:rPr>
              <w:t xml:space="preserve">1,847 (b)</w:t>
            </w:r>
          </w:p>
        </w:tc>
        <w:tc>
          <w:tcPr>
            <w:tcW w:type="pct" w:w="25%"/>
          </w:tcPr>
          <w:p>
            <w:pPr>
              <w:jc w:val="center"/>
            </w:pPr>
            <w:r>
              <w:rPr>
                <w:b w:val="false"/>
                <w:bCs w:val="false"/>
                <w:sz w:val="20"/>
                <w:szCs w:val="20"/>
              </w:rPr>
              <w:t xml:space="preserve">2,159</w:t>
            </w:r>
          </w:p>
        </w:tc>
      </w:tr>
      <w:tr>
        <w:tc>
          <w:tcPr>
            <w:tcW w:type="pct" w:w="25%"/>
          </w:tcPr>
          <w:p>
            <w:pPr>
              <w:jc w:val="center"/>
            </w:pPr>
            <w:r>
              <w:rPr>
                <w:b w:val="false"/>
                <w:bCs w:val="false"/>
                <w:sz w:val="20"/>
                <w:szCs w:val="20"/>
              </w:rPr>
              <w:t xml:space="preserve">Other Offenses</w:t>
            </w:r>
          </w:p>
        </w:tc>
        <w:tc>
          <w:tcPr>
            <w:tcW w:type="pct" w:w="25%"/>
          </w:tcPr>
          <w:p>
            <w:pPr>
              <w:jc w:val="center"/>
            </w:pPr>
            <w:r>
              <w:rPr>
                <w:b w:val="false"/>
                <w:bCs w:val="false"/>
                <w:sz w:val="20"/>
                <w:szCs w:val="20"/>
              </w:rPr>
              <w:t xml:space="preserve">92 (c)</w:t>
            </w:r>
          </w:p>
        </w:tc>
        <w:tc>
          <w:tcPr>
            <w:tcW w:type="pct" w:w="25%"/>
          </w:tcPr>
          <w:p>
            <w:pPr>
              <w:jc w:val="center"/>
            </w:pPr>
            <w:r>
              <w:rPr>
                <w:b w:val="false"/>
                <w:bCs w:val="false"/>
                <w:sz w:val="20"/>
                <w:szCs w:val="20"/>
              </w:rPr>
              <w:t xml:space="preserve">4,908 (d)</w:t>
            </w:r>
          </w:p>
        </w:tc>
        <w:tc>
          <w:tcPr>
            <w:tcW w:type="pct" w:w="25%"/>
          </w:tcPr>
          <w:p>
            <w:pPr>
              <w:jc w:val="center"/>
            </w:pPr>
            <w:r>
              <w:rPr>
                <w:b w:val="false"/>
                <w:bCs w:val="false"/>
                <w:sz w:val="20"/>
                <w:szCs w:val="20"/>
              </w:rPr>
              <w:t xml:space="preserve">5,000</w:t>
            </w:r>
          </w:p>
        </w:tc>
      </w:tr>
      <w:tr>
        <w:tc>
          <w:tcPr>
            <w:tcW w:type="pct" w:w="25%"/>
          </w:tcPr>
          <w:p>
            <w:pPr>
              <w:jc w:val="center"/>
            </w:pPr>
            <w:r>
              <w:rPr>
                <w:b w:val="false"/>
                <w:bCs w:val="false"/>
                <w:sz w:val="20"/>
                <w:szCs w:val="20"/>
              </w:rPr>
              <w:t xml:space="preserve">Total</w:t>
            </w:r>
          </w:p>
        </w:tc>
        <w:tc>
          <w:tcPr>
            <w:tcW w:type="pct" w:w="25%"/>
          </w:tcPr>
          <w:p>
            <w:pPr>
              <w:jc w:val="center"/>
            </w:pPr>
            <w:r>
              <w:rPr>
                <w:b w:val="false"/>
                <w:bCs w:val="false"/>
                <w:sz w:val="20"/>
                <w:szCs w:val="20"/>
              </w:rPr>
              <w:t xml:space="preserve">404</w:t>
            </w:r>
          </w:p>
        </w:tc>
        <w:tc>
          <w:tcPr>
            <w:tcW w:type="pct" w:w="25%"/>
          </w:tcPr>
          <w:p>
            <w:pPr>
              <w:jc w:val="center"/>
            </w:pPr>
            <w:r>
              <w:rPr>
                <w:b w:val="false"/>
                <w:bCs w:val="false"/>
                <w:sz w:val="20"/>
                <w:szCs w:val="20"/>
              </w:rPr>
              <w:t xml:space="preserve">6,755</w:t>
            </w:r>
          </w:p>
        </w:tc>
        <w:tc>
          <w:tcPr>
            <w:tcW w:type="pct" w:w="25%"/>
          </w:tcPr>
          <w:p>
            <w:pPr>
              <w:jc w:val="center"/>
            </w:pPr>
            <w:r>
              <w:rPr>
                <w:b w:val="false"/>
                <w:bCs w:val="false"/>
                <w:sz w:val="20"/>
                <w:szCs w:val="20"/>
              </w:rPr>
              <w:t xml:space="preserve">7,159</w:t>
            </w:r>
          </w:p>
        </w:tc>
      </w:tr>
    </w:tbl>
    <w:p>
      <w:pPr>
        <w:spacing w:before="100" w:after="100"/>
      </w:pPr>
      <w:r>
        <w:rPr>
          <w:b/>
          <w:bCs/>
          <w:sz w:val="22"/>
          <w:szCs w:val="22"/>
        </w:rPr>
        <w:t xml:space="preserve">OR = 8.81 | 95% CI: 6.63-11.70 | χ² = 421.6, df = 1, p &lt; 0.001</w:t>
      </w:r>
    </w:p>
    <w:p>
      <w:pPr>
        <w:spacing w:after="200"/>
      </w:pPr>
      <w:r>
        <w:rPr>
          <w:sz w:val="22"/>
          <w:szCs w:val="22"/>
        </w:rPr>
        <w:t xml:space="preserve">Interpretation: Cases involving physical violence showed 8.81-fold increased odds of Article 32 application compared to non-violent offenses. This strong association suggests that Turkish courts recognize the particular relevance of ictal and peri-ictal phenomena in violent behavior, consistent with the automatism defense rationale.</w:t>
      </w:r>
    </w:p>
    <w:p>
      <w:pPr>
        <w:spacing w:before="200" w:after="100"/>
      </w:pPr>
      <w:r>
        <w:rPr>
          <w:b/>
          <w:bCs/>
          <w:sz w:val="24"/>
          <w:szCs w:val="24"/>
        </w:rPr>
        <w:t xml:space="preserve">3.10.3. OR 3: Domestic Violence and Sentence Reduction</w:t>
      </w:r>
    </w:p>
    <w:p>
      <w:pPr>
        <w:spacing w:after="100"/>
      </w:pPr>
      <w:r>
        <w:rPr>
          <w:i/>
          <w:iCs/>
          <w:sz w:val="22"/>
          <w:szCs w:val="22"/>
        </w:rPr>
        <w:t xml:space="preserve">Research Question: Are domestic violence cases less likely to receive sentence reductions based on epilepsy?</w:t>
      </w:r>
    </w:p>
    <w:p>
      <w:pPr>
        <w:spacing w:before="150" w:after="100"/>
        <w:jc w:val="center"/>
      </w:pPr>
      <w:r>
        <w:rPr>
          <w:b/>
          <w:bCs/>
          <w:sz w:val="22"/>
          <w:szCs w:val="22"/>
        </w:rPr>
        <w:t xml:space="preserve">Table 14. Contingency Table: Family Victim × Sentence Reduction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b/>
                <w:bCs/>
                <w:sz w:val="20"/>
                <w:szCs w:val="20"/>
              </w:rPr>
              <w:t xml:space="preserve"/>
            </w:r>
          </w:p>
        </w:tc>
        <w:tc>
          <w:tcPr>
            <w:tcW w:type="pct" w:w="25%"/>
          </w:tcPr>
          <w:p>
            <w:pPr>
              <w:jc w:val="center"/>
            </w:pPr>
            <w:r>
              <w:rPr>
                <w:b/>
                <w:bCs/>
                <w:sz w:val="20"/>
                <w:szCs w:val="20"/>
              </w:rPr>
              <w:t xml:space="preserve">Reduction Granted</w:t>
            </w:r>
          </w:p>
        </w:tc>
        <w:tc>
          <w:tcPr>
            <w:tcW w:type="pct" w:w="25%"/>
          </w:tcPr>
          <w:p>
            <w:pPr>
              <w:jc w:val="center"/>
            </w:pPr>
            <w:r>
              <w:rPr>
                <w:b/>
                <w:bCs/>
                <w:sz w:val="20"/>
                <w:szCs w:val="20"/>
              </w:rPr>
              <w:t xml:space="preserve">No Reduction</w:t>
            </w:r>
          </w:p>
        </w:tc>
        <w:tc>
          <w:tcPr>
            <w:tcW w:type="pct" w:w="25%"/>
          </w:tcPr>
          <w:p>
            <w:pPr>
              <w:jc w:val="center"/>
            </w:pPr>
            <w:r>
              <w:rPr>
                <w:b/>
                <w:bCs/>
                <w:sz w:val="20"/>
                <w:szCs w:val="20"/>
              </w:rPr>
              <w:t xml:space="preserve">Total</w:t>
            </w:r>
          </w:p>
        </w:tc>
      </w:tr>
      <w:tr>
        <w:tc>
          <w:tcPr>
            <w:tcW w:type="pct" w:w="25%"/>
          </w:tcPr>
          <w:p>
            <w:pPr>
              <w:jc w:val="center"/>
            </w:pPr>
            <w:r>
              <w:rPr>
                <w:b w:val="false"/>
                <w:bCs w:val="false"/>
                <w:sz w:val="20"/>
                <w:szCs w:val="20"/>
              </w:rPr>
              <w:t xml:space="preserve">Family Victim</w:t>
            </w:r>
          </w:p>
        </w:tc>
        <w:tc>
          <w:tcPr>
            <w:tcW w:type="pct" w:w="25%"/>
          </w:tcPr>
          <w:p>
            <w:pPr>
              <w:jc w:val="center"/>
            </w:pPr>
            <w:r>
              <w:rPr>
                <w:b w:val="false"/>
                <w:bCs w:val="false"/>
                <w:sz w:val="20"/>
                <w:szCs w:val="20"/>
              </w:rPr>
              <w:t xml:space="preserve">89 (a)</w:t>
            </w:r>
          </w:p>
        </w:tc>
        <w:tc>
          <w:tcPr>
            <w:tcW w:type="pct" w:w="25%"/>
          </w:tcPr>
          <w:p>
            <w:pPr>
              <w:jc w:val="center"/>
            </w:pPr>
            <w:r>
              <w:rPr>
                <w:b w:val="false"/>
                <w:bCs w:val="false"/>
                <w:sz w:val="20"/>
                <w:szCs w:val="20"/>
              </w:rPr>
              <w:t xml:space="preserve">1,142 (b)</w:t>
            </w:r>
          </w:p>
        </w:tc>
        <w:tc>
          <w:tcPr>
            <w:tcW w:type="pct" w:w="25%"/>
          </w:tcPr>
          <w:p>
            <w:pPr>
              <w:jc w:val="center"/>
            </w:pPr>
            <w:r>
              <w:rPr>
                <w:b w:val="false"/>
                <w:bCs w:val="false"/>
                <w:sz w:val="20"/>
                <w:szCs w:val="20"/>
              </w:rPr>
              <w:t xml:space="preserve">1,231</w:t>
            </w:r>
          </w:p>
        </w:tc>
      </w:tr>
      <w:tr>
        <w:tc>
          <w:tcPr>
            <w:tcW w:type="pct" w:w="25%"/>
          </w:tcPr>
          <w:p>
            <w:pPr>
              <w:jc w:val="center"/>
            </w:pPr>
            <w:r>
              <w:rPr>
                <w:b w:val="false"/>
                <w:bCs w:val="false"/>
                <w:sz w:val="20"/>
                <w:szCs w:val="20"/>
              </w:rPr>
              <w:t xml:space="preserve">Non-Family Victim</w:t>
            </w:r>
          </w:p>
        </w:tc>
        <w:tc>
          <w:tcPr>
            <w:tcW w:type="pct" w:w="25%"/>
          </w:tcPr>
          <w:p>
            <w:pPr>
              <w:jc w:val="center"/>
            </w:pPr>
            <w:r>
              <w:rPr>
                <w:b w:val="false"/>
                <w:bCs w:val="false"/>
                <w:sz w:val="20"/>
                <w:szCs w:val="20"/>
              </w:rPr>
              <w:t xml:space="preserve">156 (c)</w:t>
            </w:r>
          </w:p>
        </w:tc>
        <w:tc>
          <w:tcPr>
            <w:tcW w:type="pct" w:w="25%"/>
          </w:tcPr>
          <w:p>
            <w:pPr>
              <w:jc w:val="center"/>
            </w:pPr>
            <w:r>
              <w:rPr>
                <w:b w:val="false"/>
                <w:bCs w:val="false"/>
                <w:sz w:val="20"/>
                <w:szCs w:val="20"/>
              </w:rPr>
              <w:t xml:space="preserve">941 (d)</w:t>
            </w:r>
          </w:p>
        </w:tc>
        <w:tc>
          <w:tcPr>
            <w:tcW w:type="pct" w:w="25%"/>
          </w:tcPr>
          <w:p>
            <w:pPr>
              <w:jc w:val="center"/>
            </w:pPr>
            <w:r>
              <w:rPr>
                <w:b w:val="false"/>
                <w:bCs w:val="false"/>
                <w:sz w:val="20"/>
                <w:szCs w:val="20"/>
              </w:rPr>
              <w:t xml:space="preserve">1,097</w:t>
            </w:r>
          </w:p>
        </w:tc>
      </w:tr>
      <w:tr>
        <w:tc>
          <w:tcPr>
            <w:tcW w:type="pct" w:w="25%"/>
          </w:tcPr>
          <w:p>
            <w:pPr>
              <w:jc w:val="center"/>
            </w:pPr>
            <w:r>
              <w:rPr>
                <w:b w:val="false"/>
                <w:bCs w:val="false"/>
                <w:sz w:val="20"/>
                <w:szCs w:val="20"/>
              </w:rPr>
              <w:t xml:space="preserve">Total</w:t>
            </w:r>
          </w:p>
        </w:tc>
        <w:tc>
          <w:tcPr>
            <w:tcW w:type="pct" w:w="25%"/>
          </w:tcPr>
          <w:p>
            <w:pPr>
              <w:jc w:val="center"/>
            </w:pPr>
            <w:r>
              <w:rPr>
                <w:b w:val="false"/>
                <w:bCs w:val="false"/>
                <w:sz w:val="20"/>
                <w:szCs w:val="20"/>
              </w:rPr>
              <w:t xml:space="preserve">245</w:t>
            </w:r>
          </w:p>
        </w:tc>
        <w:tc>
          <w:tcPr>
            <w:tcW w:type="pct" w:w="25%"/>
          </w:tcPr>
          <w:p>
            <w:pPr>
              <w:jc w:val="center"/>
            </w:pPr>
            <w:r>
              <w:rPr>
                <w:b w:val="false"/>
                <w:bCs w:val="false"/>
                <w:sz w:val="20"/>
                <w:szCs w:val="20"/>
              </w:rPr>
              <w:t xml:space="preserve">2,083</w:t>
            </w:r>
          </w:p>
        </w:tc>
        <w:tc>
          <w:tcPr>
            <w:tcW w:type="pct" w:w="25%"/>
          </w:tcPr>
          <w:p>
            <w:pPr>
              <w:jc w:val="center"/>
            </w:pPr>
            <w:r>
              <w:rPr>
                <w:b w:val="false"/>
                <w:bCs w:val="false"/>
                <w:sz w:val="20"/>
                <w:szCs w:val="20"/>
              </w:rPr>
              <w:t xml:space="preserve">2,328</w:t>
            </w:r>
          </w:p>
        </w:tc>
      </w:tr>
    </w:tbl>
    <w:p>
      <w:pPr>
        <w:spacing w:before="100" w:after="100"/>
      </w:pPr>
      <w:r>
        <w:rPr>
          <w:b/>
          <w:bCs/>
          <w:sz w:val="22"/>
          <w:szCs w:val="22"/>
        </w:rPr>
        <w:t xml:space="preserve">OR = 0.51 | 95% CI: 0.38-0.68 | χ² = 27.3, df = 1, p &lt; 0.001</w:t>
      </w:r>
    </w:p>
    <w:p>
      <w:pPr>
        <w:spacing w:after="200"/>
      </w:pPr>
      <w:r>
        <w:rPr>
          <w:sz w:val="22"/>
          <w:szCs w:val="22"/>
        </w:rPr>
        <w:t xml:space="preserve">Interpretation: When the victim was a family member, the odds of receiving an epilepsy-based sentence reduction were 49% lower (OR &lt; 1.0). This finding confirms H4 and reflects Turkish courts' reluctance to extend forensic mitigation in domestic violence contexts, prioritizing victim protection within family structures.</w:t>
      </w:r>
    </w:p>
    <w:p>
      <w:r>
        <w:br w:type="page"/>
      </w:r>
    </w:p>
    <w:p>
      <w:pPr>
        <w:spacing w:before="200" w:after="100"/>
      </w:pPr>
      <w:r>
        <w:rPr>
          <w:b/>
          <w:bCs/>
          <w:sz w:val="24"/>
          <w:szCs w:val="24"/>
        </w:rPr>
        <w:t xml:space="preserve">3.10.4. OR 4: Focal Epilepsy and Complete Incapacity</w:t>
      </w:r>
    </w:p>
    <w:p>
      <w:pPr>
        <w:spacing w:after="100"/>
      </w:pPr>
      <w:r>
        <w:rPr>
          <w:i/>
          <w:iCs/>
          <w:sz w:val="22"/>
          <w:szCs w:val="22"/>
        </w:rPr>
        <w:t xml:space="preserve">Research Question: Is focal epilepsy associated with higher rates of complete incapacity findings compared to other epilepsy types?</w:t>
      </w:r>
    </w:p>
    <w:p>
      <w:pPr>
        <w:spacing w:before="150" w:after="100"/>
        <w:jc w:val="center"/>
      </w:pPr>
      <w:r>
        <w:rPr>
          <w:b/>
          <w:bCs/>
          <w:sz w:val="22"/>
          <w:szCs w:val="22"/>
        </w:rPr>
        <w:t xml:space="preserve">Table 15. Contingency Table: Focal Epilepsy × Incapacity Finding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b/>
                <w:bCs/>
                <w:sz w:val="20"/>
                <w:szCs w:val="20"/>
              </w:rPr>
              <w:t xml:space="preserve"/>
            </w:r>
          </w:p>
        </w:tc>
        <w:tc>
          <w:tcPr>
            <w:tcW w:type="pct" w:w="25%"/>
          </w:tcPr>
          <w:p>
            <w:pPr>
              <w:jc w:val="center"/>
            </w:pPr>
            <w:r>
              <w:rPr>
                <w:b/>
                <w:bCs/>
                <w:sz w:val="20"/>
                <w:szCs w:val="20"/>
              </w:rPr>
              <w:t xml:space="preserve">Incapacity Found</w:t>
            </w:r>
          </w:p>
        </w:tc>
        <w:tc>
          <w:tcPr>
            <w:tcW w:type="pct" w:w="25%"/>
          </w:tcPr>
          <w:p>
            <w:pPr>
              <w:jc w:val="center"/>
            </w:pPr>
            <w:r>
              <w:rPr>
                <w:b/>
                <w:bCs/>
                <w:sz w:val="20"/>
                <w:szCs w:val="20"/>
              </w:rPr>
              <w:t xml:space="preserve">Capacity Found</w:t>
            </w:r>
          </w:p>
        </w:tc>
        <w:tc>
          <w:tcPr>
            <w:tcW w:type="pct" w:w="25%"/>
          </w:tcPr>
          <w:p>
            <w:pPr>
              <w:jc w:val="center"/>
            </w:pPr>
            <w:r>
              <w:rPr>
                <w:b/>
                <w:bCs/>
                <w:sz w:val="20"/>
                <w:szCs w:val="20"/>
              </w:rPr>
              <w:t xml:space="preserve">Total</w:t>
            </w:r>
          </w:p>
        </w:tc>
      </w:tr>
      <w:tr>
        <w:tc>
          <w:tcPr>
            <w:tcW w:type="pct" w:w="25%"/>
          </w:tcPr>
          <w:p>
            <w:pPr>
              <w:jc w:val="center"/>
            </w:pPr>
            <w:r>
              <w:rPr>
                <w:b w:val="false"/>
                <w:bCs w:val="false"/>
                <w:sz w:val="20"/>
                <w:szCs w:val="20"/>
              </w:rPr>
              <w:t xml:space="preserve">Focal Epilepsy</w:t>
            </w:r>
          </w:p>
        </w:tc>
        <w:tc>
          <w:tcPr>
            <w:tcW w:type="pct" w:w="25%"/>
          </w:tcPr>
          <w:p>
            <w:pPr>
              <w:jc w:val="center"/>
            </w:pPr>
            <w:r>
              <w:rPr>
                <w:b w:val="false"/>
                <w:bCs w:val="false"/>
                <w:sz w:val="20"/>
                <w:szCs w:val="20"/>
              </w:rPr>
              <w:t xml:space="preserve">48 (a)</w:t>
            </w:r>
          </w:p>
        </w:tc>
        <w:tc>
          <w:tcPr>
            <w:tcW w:type="pct" w:w="25%"/>
          </w:tcPr>
          <w:p>
            <w:pPr>
              <w:jc w:val="center"/>
            </w:pPr>
            <w:r>
              <w:rPr>
                <w:b w:val="false"/>
                <w:bCs w:val="false"/>
                <w:sz w:val="20"/>
                <w:szCs w:val="20"/>
              </w:rPr>
              <w:t xml:space="preserve">14 (b)</w:t>
            </w:r>
          </w:p>
        </w:tc>
        <w:tc>
          <w:tcPr>
            <w:tcW w:type="pct" w:w="25%"/>
          </w:tcPr>
          <w:p>
            <w:pPr>
              <w:jc w:val="center"/>
            </w:pPr>
            <w:r>
              <w:rPr>
                <w:b w:val="false"/>
                <w:bCs w:val="false"/>
                <w:sz w:val="20"/>
                <w:szCs w:val="20"/>
              </w:rPr>
              <w:t xml:space="preserve">62</w:t>
            </w:r>
          </w:p>
        </w:tc>
      </w:tr>
      <w:tr>
        <w:tc>
          <w:tcPr>
            <w:tcW w:type="pct" w:w="25%"/>
          </w:tcPr>
          <w:p>
            <w:pPr>
              <w:jc w:val="center"/>
            </w:pPr>
            <w:r>
              <w:rPr>
                <w:b w:val="false"/>
                <w:bCs w:val="false"/>
                <w:sz w:val="20"/>
                <w:szCs w:val="20"/>
              </w:rPr>
              <w:t xml:space="preserve">Other Types</w:t>
            </w:r>
          </w:p>
        </w:tc>
        <w:tc>
          <w:tcPr>
            <w:tcW w:type="pct" w:w="25%"/>
          </w:tcPr>
          <w:p>
            <w:pPr>
              <w:jc w:val="center"/>
            </w:pPr>
            <w:r>
              <w:rPr>
                <w:b w:val="false"/>
                <w:bCs w:val="false"/>
                <w:sz w:val="20"/>
                <w:szCs w:val="20"/>
              </w:rPr>
              <w:t xml:space="preserve">7 (c)</w:t>
            </w:r>
          </w:p>
        </w:tc>
        <w:tc>
          <w:tcPr>
            <w:tcW w:type="pct" w:w="25%"/>
          </w:tcPr>
          <w:p>
            <w:pPr>
              <w:jc w:val="center"/>
            </w:pPr>
            <w:r>
              <w:rPr>
                <w:b w:val="false"/>
                <w:bCs w:val="false"/>
                <w:sz w:val="20"/>
                <w:szCs w:val="20"/>
              </w:rPr>
              <w:t xml:space="preserve">99 (d)</w:t>
            </w:r>
          </w:p>
        </w:tc>
        <w:tc>
          <w:tcPr>
            <w:tcW w:type="pct" w:w="25%"/>
          </w:tcPr>
          <w:p>
            <w:pPr>
              <w:jc w:val="center"/>
            </w:pPr>
            <w:r>
              <w:rPr>
                <w:b w:val="false"/>
                <w:bCs w:val="false"/>
                <w:sz w:val="20"/>
                <w:szCs w:val="20"/>
              </w:rPr>
              <w:t xml:space="preserve">106</w:t>
            </w:r>
          </w:p>
        </w:tc>
      </w:tr>
      <w:tr>
        <w:tc>
          <w:tcPr>
            <w:tcW w:type="pct" w:w="25%"/>
          </w:tcPr>
          <w:p>
            <w:pPr>
              <w:jc w:val="center"/>
            </w:pPr>
            <w:r>
              <w:rPr>
                <w:b w:val="false"/>
                <w:bCs w:val="false"/>
                <w:sz w:val="20"/>
                <w:szCs w:val="20"/>
              </w:rPr>
              <w:t xml:space="preserve">Total</w:t>
            </w:r>
          </w:p>
        </w:tc>
        <w:tc>
          <w:tcPr>
            <w:tcW w:type="pct" w:w="25%"/>
          </w:tcPr>
          <w:p>
            <w:pPr>
              <w:jc w:val="center"/>
            </w:pPr>
            <w:r>
              <w:rPr>
                <w:b w:val="false"/>
                <w:bCs w:val="false"/>
                <w:sz w:val="20"/>
                <w:szCs w:val="20"/>
              </w:rPr>
              <w:t xml:space="preserve">55</w:t>
            </w:r>
          </w:p>
        </w:tc>
        <w:tc>
          <w:tcPr>
            <w:tcW w:type="pct" w:w="25%"/>
          </w:tcPr>
          <w:p>
            <w:pPr>
              <w:jc w:val="center"/>
            </w:pPr>
            <w:r>
              <w:rPr>
                <w:b w:val="false"/>
                <w:bCs w:val="false"/>
                <w:sz w:val="20"/>
                <w:szCs w:val="20"/>
              </w:rPr>
              <w:t xml:space="preserve">113</w:t>
            </w:r>
          </w:p>
        </w:tc>
        <w:tc>
          <w:tcPr>
            <w:tcW w:type="pct" w:w="25%"/>
          </w:tcPr>
          <w:p>
            <w:pPr>
              <w:jc w:val="center"/>
            </w:pPr>
            <w:r>
              <w:rPr>
                <w:b w:val="false"/>
                <w:bCs w:val="false"/>
                <w:sz w:val="20"/>
                <w:szCs w:val="20"/>
              </w:rPr>
              <w:t xml:space="preserve">168</w:t>
            </w:r>
          </w:p>
        </w:tc>
      </w:tr>
    </w:tbl>
    <w:p>
      <w:pPr>
        <w:spacing w:before="100" w:after="100"/>
      </w:pPr>
      <w:r>
        <w:rPr>
          <w:b/>
          <w:bCs/>
          <w:sz w:val="22"/>
          <w:szCs w:val="22"/>
        </w:rPr>
        <w:t xml:space="preserve">OR = 48.3 | 95% CI: 25.0-93.4 | χ² = 89.7, df = 1, p &lt; 0.001</w:t>
      </w:r>
    </w:p>
    <w:p>
      <w:pPr>
        <w:spacing w:after="200"/>
      </w:pPr>
      <w:r>
        <w:rPr>
          <w:sz w:val="22"/>
          <w:szCs w:val="22"/>
        </w:rPr>
        <w:t xml:space="preserve">Interpretation: Focal epilepsy showed an exceptionally strong association with incapacity findings, with 48-fold increased odds compared to other seizure types. This is the strongest OR identified in this study and confirms H1. The finding reflects judicial recognition that focal seizures, particularly those originating from temporal and frontal lobes, are most likely to produce the automatisms and behavioral changes relevant to criminal responsibility assessment.</w:t>
      </w:r>
    </w:p>
    <w:p>
      <w:pPr>
        <w:spacing w:before="200" w:after="100"/>
        <w:jc w:val="center"/>
      </w:pPr>
      <w:r>
        <w:rPr>
          <w:b/>
          <w:bCs/>
          <w:sz w:val="22"/>
          <w:szCs w:val="22"/>
        </w:rPr>
        <w:t xml:space="preserve">Table 16. Summary of Original Odds Ratio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pPr>
              <w:jc w:val="center"/>
            </w:pPr>
            <w:r>
              <w:rPr>
                <w:b/>
                <w:bCs/>
                <w:sz w:val="20"/>
                <w:szCs w:val="20"/>
              </w:rPr>
              <w:t xml:space="preserve">Association</w:t>
            </w:r>
          </w:p>
        </w:tc>
        <w:tc>
          <w:tcPr>
            <w:tcW w:type="pct" w:w="20%"/>
          </w:tcPr>
          <w:p>
            <w:pPr>
              <w:jc w:val="center"/>
            </w:pPr>
            <w:r>
              <w:rPr>
                <w:b/>
                <w:bCs/>
                <w:sz w:val="20"/>
                <w:szCs w:val="20"/>
              </w:rPr>
              <w:t xml:space="preserve">OR</w:t>
            </w:r>
          </w:p>
        </w:tc>
        <w:tc>
          <w:tcPr>
            <w:tcW w:type="pct" w:w="20%"/>
          </w:tcPr>
          <w:p>
            <w:pPr>
              <w:jc w:val="center"/>
            </w:pPr>
            <w:r>
              <w:rPr>
                <w:b/>
                <w:bCs/>
                <w:sz w:val="20"/>
                <w:szCs w:val="20"/>
              </w:rPr>
              <w:t xml:space="preserve">95% CI</w:t>
            </w:r>
          </w:p>
        </w:tc>
        <w:tc>
          <w:tcPr>
            <w:tcW w:type="pct" w:w="20%"/>
          </w:tcPr>
          <w:p>
            <w:pPr>
              <w:jc w:val="center"/>
            </w:pPr>
            <w:r>
              <w:rPr>
                <w:b/>
                <w:bCs/>
                <w:sz w:val="20"/>
                <w:szCs w:val="20"/>
              </w:rPr>
              <w:t xml:space="preserve">p-value</w:t>
            </w:r>
          </w:p>
        </w:tc>
        <w:tc>
          <w:tcPr>
            <w:tcW w:type="pct" w:w="20%"/>
          </w:tcPr>
          <w:p>
            <w:pPr>
              <w:jc w:val="center"/>
            </w:pPr>
            <w:r>
              <w:rPr>
                <w:b/>
                <w:bCs/>
                <w:sz w:val="20"/>
                <w:szCs w:val="20"/>
              </w:rPr>
              <w:t xml:space="preserve">Effect Size</w:t>
            </w:r>
          </w:p>
        </w:tc>
      </w:tr>
      <w:tr>
        <w:tc>
          <w:tcPr>
            <w:tcW w:type="pct" w:w="20%"/>
          </w:tcPr>
          <w:p>
            <w:pPr>
              <w:jc w:val="center"/>
            </w:pPr>
            <w:r>
              <w:rPr>
                <w:b w:val="false"/>
                <w:bCs w:val="false"/>
                <w:sz w:val="20"/>
                <w:szCs w:val="20"/>
              </w:rPr>
              <w:t xml:space="preserve">Psych. Comorbidity → Acquittal</w:t>
            </w:r>
          </w:p>
        </w:tc>
        <w:tc>
          <w:tcPr>
            <w:tcW w:type="pct" w:w="20%"/>
          </w:tcPr>
          <w:p>
            <w:pPr>
              <w:jc w:val="center"/>
            </w:pPr>
            <w:r>
              <w:rPr>
                <w:b w:val="false"/>
                <w:bCs w:val="false"/>
                <w:sz w:val="20"/>
                <w:szCs w:val="20"/>
              </w:rPr>
              <w:t xml:space="preserve">2.29</w:t>
            </w:r>
          </w:p>
        </w:tc>
        <w:tc>
          <w:tcPr>
            <w:tcW w:type="pct" w:w="20%"/>
          </w:tcPr>
          <w:p>
            <w:pPr>
              <w:jc w:val="center"/>
            </w:pPr>
            <w:r>
              <w:rPr>
                <w:b w:val="false"/>
                <w:bCs w:val="false"/>
                <w:sz w:val="20"/>
                <w:szCs w:val="20"/>
              </w:rPr>
              <w:t xml:space="preserve">1.35-3.88</w:t>
            </w:r>
          </w:p>
        </w:tc>
        <w:tc>
          <w:tcPr>
            <w:tcW w:type="pct" w:w="20%"/>
          </w:tcPr>
          <w:p>
            <w:pPr>
              <w:jc w:val="center"/>
            </w:pPr>
            <w:r>
              <w:rPr>
                <w:b w:val="false"/>
                <w:bCs w:val="false"/>
                <w:sz w:val="20"/>
                <w:szCs w:val="20"/>
              </w:rPr>
              <w:t xml:space="preserve">&lt;0.01</w:t>
            </w:r>
          </w:p>
        </w:tc>
        <w:tc>
          <w:tcPr>
            <w:tcW w:type="pct" w:w="20%"/>
          </w:tcPr>
          <w:p>
            <w:pPr>
              <w:jc w:val="center"/>
            </w:pPr>
            <w:r>
              <w:rPr>
                <w:b w:val="false"/>
                <w:bCs w:val="false"/>
                <w:sz w:val="20"/>
                <w:szCs w:val="20"/>
              </w:rPr>
              <w:t xml:space="preserve">Moderate</w:t>
            </w:r>
          </w:p>
        </w:tc>
      </w:tr>
      <w:tr>
        <w:tc>
          <w:tcPr>
            <w:tcW w:type="pct" w:w="20%"/>
          </w:tcPr>
          <w:p>
            <w:pPr>
              <w:jc w:val="center"/>
            </w:pPr>
            <w:r>
              <w:rPr>
                <w:b w:val="false"/>
                <w:bCs w:val="false"/>
                <w:sz w:val="20"/>
                <w:szCs w:val="20"/>
              </w:rPr>
              <w:t xml:space="preserve">Physical Violence → Art. 32</w:t>
            </w:r>
          </w:p>
        </w:tc>
        <w:tc>
          <w:tcPr>
            <w:tcW w:type="pct" w:w="20%"/>
          </w:tcPr>
          <w:p>
            <w:pPr>
              <w:jc w:val="center"/>
            </w:pPr>
            <w:r>
              <w:rPr>
                <w:b w:val="false"/>
                <w:bCs w:val="false"/>
                <w:sz w:val="20"/>
                <w:szCs w:val="20"/>
              </w:rPr>
              <w:t xml:space="preserve">8.81</w:t>
            </w:r>
          </w:p>
        </w:tc>
        <w:tc>
          <w:tcPr>
            <w:tcW w:type="pct" w:w="20%"/>
          </w:tcPr>
          <w:p>
            <w:pPr>
              <w:jc w:val="center"/>
            </w:pPr>
            <w:r>
              <w:rPr>
                <w:b w:val="false"/>
                <w:bCs w:val="false"/>
                <w:sz w:val="20"/>
                <w:szCs w:val="20"/>
              </w:rPr>
              <w:t xml:space="preserve">6.63-11.70</w:t>
            </w:r>
          </w:p>
        </w:tc>
        <w:tc>
          <w:tcPr>
            <w:tcW w:type="pct" w:w="20%"/>
          </w:tcPr>
          <w:p>
            <w:pPr>
              <w:jc w:val="center"/>
            </w:pPr>
            <w:r>
              <w:rPr>
                <w:b w:val="false"/>
                <w:bCs w:val="false"/>
                <w:sz w:val="20"/>
                <w:szCs w:val="20"/>
              </w:rPr>
              <w:t xml:space="preserve">&lt;0.001</w:t>
            </w:r>
          </w:p>
        </w:tc>
        <w:tc>
          <w:tcPr>
            <w:tcW w:type="pct" w:w="20%"/>
          </w:tcPr>
          <w:p>
            <w:pPr>
              <w:jc w:val="center"/>
            </w:pPr>
            <w:r>
              <w:rPr>
                <w:b w:val="false"/>
                <w:bCs w:val="false"/>
                <w:sz w:val="20"/>
                <w:szCs w:val="20"/>
              </w:rPr>
              <w:t xml:space="preserve">Strong</w:t>
            </w:r>
          </w:p>
        </w:tc>
      </w:tr>
      <w:tr>
        <w:tc>
          <w:tcPr>
            <w:tcW w:type="pct" w:w="20%"/>
          </w:tcPr>
          <w:p>
            <w:pPr>
              <w:jc w:val="center"/>
            </w:pPr>
            <w:r>
              <w:rPr>
                <w:b w:val="false"/>
                <w:bCs w:val="false"/>
                <w:sz w:val="20"/>
                <w:szCs w:val="20"/>
              </w:rPr>
              <w:t xml:space="preserve">Domestic Violence → Reduction</w:t>
            </w:r>
          </w:p>
        </w:tc>
        <w:tc>
          <w:tcPr>
            <w:tcW w:type="pct" w:w="20%"/>
          </w:tcPr>
          <w:p>
            <w:pPr>
              <w:jc w:val="center"/>
            </w:pPr>
            <w:r>
              <w:rPr>
                <w:b w:val="false"/>
                <w:bCs w:val="false"/>
                <w:sz w:val="20"/>
                <w:szCs w:val="20"/>
              </w:rPr>
              <w:t xml:space="preserve">0.51</w:t>
            </w:r>
          </w:p>
        </w:tc>
        <w:tc>
          <w:tcPr>
            <w:tcW w:type="pct" w:w="20%"/>
          </w:tcPr>
          <w:p>
            <w:pPr>
              <w:jc w:val="center"/>
            </w:pPr>
            <w:r>
              <w:rPr>
                <w:b w:val="false"/>
                <w:bCs w:val="false"/>
                <w:sz w:val="20"/>
                <w:szCs w:val="20"/>
              </w:rPr>
              <w:t xml:space="preserve">0.38-0.68</w:t>
            </w:r>
          </w:p>
        </w:tc>
        <w:tc>
          <w:tcPr>
            <w:tcW w:type="pct" w:w="20%"/>
          </w:tcPr>
          <w:p>
            <w:pPr>
              <w:jc w:val="center"/>
            </w:pPr>
            <w:r>
              <w:rPr>
                <w:b w:val="false"/>
                <w:bCs w:val="false"/>
                <w:sz w:val="20"/>
                <w:szCs w:val="20"/>
              </w:rPr>
              <w:t xml:space="preserve">&lt;0.001</w:t>
            </w:r>
          </w:p>
        </w:tc>
        <w:tc>
          <w:tcPr>
            <w:tcW w:type="pct" w:w="20%"/>
          </w:tcPr>
          <w:p>
            <w:pPr>
              <w:jc w:val="center"/>
            </w:pPr>
            <w:r>
              <w:rPr>
                <w:b w:val="false"/>
                <w:bCs w:val="false"/>
                <w:sz w:val="20"/>
                <w:szCs w:val="20"/>
              </w:rPr>
              <w:t xml:space="preserve">Protective (Inverse)</w:t>
            </w:r>
          </w:p>
        </w:tc>
      </w:tr>
      <w:tr>
        <w:tc>
          <w:tcPr>
            <w:tcW w:type="pct" w:w="20%"/>
          </w:tcPr>
          <w:p>
            <w:pPr>
              <w:jc w:val="center"/>
            </w:pPr>
            <w:r>
              <w:rPr>
                <w:b w:val="false"/>
                <w:bCs w:val="false"/>
                <w:sz w:val="20"/>
                <w:szCs w:val="20"/>
              </w:rPr>
              <w:t xml:space="preserve">Focal Epilepsy → Incapacity</w:t>
            </w:r>
          </w:p>
        </w:tc>
        <w:tc>
          <w:tcPr>
            <w:tcW w:type="pct" w:w="20%"/>
          </w:tcPr>
          <w:p>
            <w:pPr>
              <w:jc w:val="center"/>
            </w:pPr>
            <w:r>
              <w:rPr>
                <w:b w:val="false"/>
                <w:bCs w:val="false"/>
                <w:sz w:val="20"/>
                <w:szCs w:val="20"/>
              </w:rPr>
              <w:t xml:space="preserve">48.3</w:t>
            </w:r>
          </w:p>
        </w:tc>
        <w:tc>
          <w:tcPr>
            <w:tcW w:type="pct" w:w="20%"/>
          </w:tcPr>
          <w:p>
            <w:pPr>
              <w:jc w:val="center"/>
            </w:pPr>
            <w:r>
              <w:rPr>
                <w:b w:val="false"/>
                <w:bCs w:val="false"/>
                <w:sz w:val="20"/>
                <w:szCs w:val="20"/>
              </w:rPr>
              <w:t xml:space="preserve">25.0-93.4</w:t>
            </w:r>
          </w:p>
        </w:tc>
        <w:tc>
          <w:tcPr>
            <w:tcW w:type="pct" w:w="20%"/>
          </w:tcPr>
          <w:p>
            <w:pPr>
              <w:jc w:val="center"/>
            </w:pPr>
            <w:r>
              <w:rPr>
                <w:b w:val="false"/>
                <w:bCs w:val="false"/>
                <w:sz w:val="20"/>
                <w:szCs w:val="20"/>
              </w:rPr>
              <w:t xml:space="preserve">&lt;0.001</w:t>
            </w:r>
          </w:p>
        </w:tc>
        <w:tc>
          <w:tcPr>
            <w:tcW w:type="pct" w:w="20%"/>
          </w:tcPr>
          <w:p>
            <w:pPr>
              <w:jc w:val="center"/>
            </w:pPr>
            <w:r>
              <w:rPr>
                <w:b w:val="false"/>
                <w:bCs w:val="false"/>
                <w:sz w:val="20"/>
                <w:szCs w:val="20"/>
              </w:rPr>
              <w:t xml:space="preserve">Very Strong</w:t>
            </w:r>
          </w:p>
        </w:tc>
      </w:tr>
    </w:tbl>
    <w:p>
      <w:r>
        <w:br w:type="page"/>
      </w:r>
    </w:p>
    <w:p>
      <w:pPr>
        <w:spacing w:before="200" w:after="100"/>
      </w:pPr>
      <w:r>
        <w:rPr>
          <w:b/>
          <w:bCs/>
          <w:sz w:val="24"/>
          <w:szCs w:val="24"/>
        </w:rPr>
        <w:t xml:space="preserve">3.11. Temporal Analysis: Supreme Court Paradigm Shift</w:t>
      </w:r>
    </w:p>
    <w:p>
      <w:pPr>
        <w:spacing w:after="150"/>
      </w:pPr>
      <w:r>
        <w:rPr>
          <w:sz w:val="22"/>
          <w:szCs w:val="22"/>
        </w:rPr>
        <w:t xml:space="preserve">Analysis of Supreme Court (Yargıtay) decisions revealed a significant temporal evolution in judicial approach to epilepsy cases. Three distinct periods were identified:</w:t>
      </w:r>
    </w:p>
    <w:p>
      <w:pPr>
        <w:spacing w:before="150" w:after="100"/>
        <w:jc w:val="center"/>
      </w:pPr>
      <w:r>
        <w:rPr>
          <w:b/>
          <w:bCs/>
          <w:sz w:val="22"/>
          <w:szCs w:val="22"/>
        </w:rPr>
        <w:t xml:space="preserve">Table 17. Temporal Evolution of Supreme Court Acquittal Rates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pPr>
              <w:jc w:val="center"/>
            </w:pPr>
            <w:r>
              <w:rPr>
                <w:b/>
                <w:bCs/>
                <w:sz w:val="20"/>
                <w:szCs w:val="20"/>
              </w:rPr>
              <w:t xml:space="preserve">Period</w:t>
            </w:r>
          </w:p>
        </w:tc>
        <w:tc>
          <w:tcPr>
            <w:tcW w:type="pct" w:w="20%"/>
          </w:tcPr>
          <w:p>
            <w:pPr>
              <w:jc w:val="center"/>
            </w:pPr>
            <w:r>
              <w:rPr>
                <w:b/>
                <w:bCs/>
                <w:sz w:val="20"/>
                <w:szCs w:val="20"/>
              </w:rPr>
              <w:t xml:space="preserve">Years</w:t>
            </w:r>
          </w:p>
        </w:tc>
        <w:tc>
          <w:tcPr>
            <w:tcW w:type="pct" w:w="20%"/>
          </w:tcPr>
          <w:p>
            <w:pPr>
              <w:jc w:val="center"/>
            </w:pPr>
            <w:r>
              <w:rPr>
                <w:b/>
                <w:bCs/>
                <w:sz w:val="20"/>
                <w:szCs w:val="20"/>
              </w:rPr>
              <w:t xml:space="preserve">Paradigm</w:t>
            </w:r>
          </w:p>
        </w:tc>
        <w:tc>
          <w:tcPr>
            <w:tcW w:type="pct" w:w="20%"/>
          </w:tcPr>
          <w:p>
            <w:pPr>
              <w:jc w:val="center"/>
            </w:pPr>
            <w:r>
              <w:rPr>
                <w:b/>
                <w:bCs/>
                <w:sz w:val="20"/>
                <w:szCs w:val="20"/>
              </w:rPr>
              <w:t xml:space="preserve">Acquittal Rate</w:t>
            </w:r>
          </w:p>
        </w:tc>
        <w:tc>
          <w:tcPr>
            <w:tcW w:type="pct" w:w="20%"/>
          </w:tcPr>
          <w:p>
            <w:pPr>
              <w:jc w:val="center"/>
            </w:pPr>
            <w:r>
              <w:rPr>
                <w:b/>
                <w:bCs/>
                <w:sz w:val="20"/>
                <w:szCs w:val="20"/>
              </w:rPr>
              <w:t xml:space="preserve">Key Characteristics</w:t>
            </w:r>
          </w:p>
        </w:tc>
      </w:tr>
      <w:tr>
        <w:tc>
          <w:tcPr>
            <w:tcW w:type="pct" w:w="20%"/>
          </w:tcPr>
          <w:p>
            <w:pPr>
              <w:jc w:val="center"/>
            </w:pPr>
            <w:r>
              <w:rPr>
                <w:b w:val="false"/>
                <w:bCs w:val="false"/>
                <w:sz w:val="20"/>
                <w:szCs w:val="20"/>
              </w:rPr>
              <w:t xml:space="preserve">I</w:t>
            </w:r>
          </w:p>
        </w:tc>
        <w:tc>
          <w:tcPr>
            <w:tcW w:type="pct" w:w="20%"/>
          </w:tcPr>
          <w:p>
            <w:pPr>
              <w:jc w:val="center"/>
            </w:pPr>
            <w:r>
              <w:rPr>
                <w:b w:val="false"/>
                <w:bCs w:val="false"/>
                <w:sz w:val="20"/>
                <w:szCs w:val="20"/>
              </w:rPr>
              <w:t xml:space="preserve">2000-2010</w:t>
            </w:r>
          </w:p>
        </w:tc>
        <w:tc>
          <w:tcPr>
            <w:tcW w:type="pct" w:w="20%"/>
          </w:tcPr>
          <w:p>
            <w:pPr>
              <w:jc w:val="center"/>
            </w:pPr>
            <w:r>
              <w:rPr>
                <w:b w:val="false"/>
                <w:bCs w:val="false"/>
                <w:sz w:val="20"/>
                <w:szCs w:val="20"/>
              </w:rPr>
              <w:t xml:space="preserve">Medical Skepticism</w:t>
            </w:r>
          </w:p>
        </w:tc>
        <w:tc>
          <w:tcPr>
            <w:tcW w:type="pct" w:w="20%"/>
          </w:tcPr>
          <w:p>
            <w:pPr>
              <w:jc w:val="center"/>
            </w:pPr>
            <w:r>
              <w:rPr>
                <w:b w:val="false"/>
                <w:bCs w:val="false"/>
                <w:sz w:val="20"/>
                <w:szCs w:val="20"/>
              </w:rPr>
              <w:t xml:space="preserve">45%</w:t>
            </w:r>
          </w:p>
        </w:tc>
        <w:tc>
          <w:tcPr>
            <w:tcW w:type="pct" w:w="20%"/>
          </w:tcPr>
          <w:p>
            <w:pPr>
              <w:jc w:val="center"/>
            </w:pPr>
            <w:r>
              <w:rPr>
                <w:b w:val="false"/>
                <w:bCs w:val="false"/>
                <w:sz w:val="20"/>
                <w:szCs w:val="20"/>
              </w:rPr>
              <w:t xml:space="preserve">Required direct seizure evidence</w:t>
            </w:r>
          </w:p>
        </w:tc>
      </w:tr>
      <w:tr>
        <w:tc>
          <w:tcPr>
            <w:tcW w:type="pct" w:w="20%"/>
          </w:tcPr>
          <w:p>
            <w:pPr>
              <w:jc w:val="center"/>
            </w:pPr>
            <w:r>
              <w:rPr>
                <w:b w:val="false"/>
                <w:bCs w:val="false"/>
                <w:sz w:val="20"/>
                <w:szCs w:val="20"/>
              </w:rPr>
              <w:t xml:space="preserve">II</w:t>
            </w:r>
          </w:p>
        </w:tc>
        <w:tc>
          <w:tcPr>
            <w:tcW w:type="pct" w:w="20%"/>
          </w:tcPr>
          <w:p>
            <w:pPr>
              <w:jc w:val="center"/>
            </w:pPr>
            <w:r>
              <w:rPr>
                <w:b w:val="false"/>
                <w:bCs w:val="false"/>
                <w:sz w:val="20"/>
                <w:szCs w:val="20"/>
              </w:rPr>
              <w:t xml:space="preserve">2010-2018</w:t>
            </w:r>
          </w:p>
        </w:tc>
        <w:tc>
          <w:tcPr>
            <w:tcW w:type="pct" w:w="20%"/>
          </w:tcPr>
          <w:p>
            <w:pPr>
              <w:jc w:val="center"/>
            </w:pPr>
            <w:r>
              <w:rPr>
                <w:b w:val="false"/>
                <w:bCs w:val="false"/>
                <w:sz w:val="20"/>
                <w:szCs w:val="20"/>
              </w:rPr>
              <w:t xml:space="preserve">Evidence-Based</w:t>
            </w:r>
          </w:p>
        </w:tc>
        <w:tc>
          <w:tcPr>
            <w:tcW w:type="pct" w:w="20%"/>
          </w:tcPr>
          <w:p>
            <w:pPr>
              <w:jc w:val="center"/>
            </w:pPr>
            <w:r>
              <w:rPr>
                <w:b w:val="false"/>
                <w:bCs w:val="false"/>
                <w:sz w:val="20"/>
                <w:szCs w:val="20"/>
              </w:rPr>
              <w:t xml:space="preserve">67%</w:t>
            </w:r>
          </w:p>
        </w:tc>
        <w:tc>
          <w:tcPr>
            <w:tcW w:type="pct" w:w="20%"/>
          </w:tcPr>
          <w:p>
            <w:pPr>
              <w:jc w:val="center"/>
            </w:pPr>
            <w:r>
              <w:rPr>
                <w:b w:val="false"/>
                <w:bCs w:val="false"/>
                <w:sz w:val="20"/>
                <w:szCs w:val="20"/>
              </w:rPr>
              <w:t xml:space="preserve">Video-EEG acceptance; postictal recognition</w:t>
            </w:r>
          </w:p>
        </w:tc>
      </w:tr>
      <w:tr>
        <w:tc>
          <w:tcPr>
            <w:tcW w:type="pct" w:w="20%"/>
          </w:tcPr>
          <w:p>
            <w:pPr>
              <w:jc w:val="center"/>
            </w:pPr>
            <w:r>
              <w:rPr>
                <w:b w:val="false"/>
                <w:bCs w:val="false"/>
                <w:sz w:val="20"/>
                <w:szCs w:val="20"/>
              </w:rPr>
              <w:t xml:space="preserve">III</w:t>
            </w:r>
          </w:p>
        </w:tc>
        <w:tc>
          <w:tcPr>
            <w:tcW w:type="pct" w:w="20%"/>
          </w:tcPr>
          <w:p>
            <w:pPr>
              <w:jc w:val="center"/>
            </w:pPr>
            <w:r>
              <w:rPr>
                <w:b w:val="false"/>
                <w:bCs w:val="false"/>
                <w:sz w:val="20"/>
                <w:szCs w:val="20"/>
              </w:rPr>
              <w:t xml:space="preserve">2018-2024</w:t>
            </w:r>
          </w:p>
        </w:tc>
        <w:tc>
          <w:tcPr>
            <w:tcW w:type="pct" w:w="20%"/>
          </w:tcPr>
          <w:p>
            <w:pPr>
              <w:jc w:val="center"/>
            </w:pPr>
            <w:r>
              <w:rPr>
                <w:b w:val="false"/>
                <w:bCs w:val="false"/>
                <w:sz w:val="20"/>
                <w:szCs w:val="20"/>
              </w:rPr>
              <w:t xml:space="preserve">Human Rights</w:t>
            </w:r>
          </w:p>
        </w:tc>
        <w:tc>
          <w:tcPr>
            <w:tcW w:type="pct" w:w="20%"/>
          </w:tcPr>
          <w:p>
            <w:pPr>
              <w:jc w:val="center"/>
            </w:pPr>
            <w:r>
              <w:rPr>
                <w:b w:val="false"/>
                <w:bCs w:val="false"/>
                <w:sz w:val="20"/>
                <w:szCs w:val="20"/>
              </w:rPr>
              <w:t xml:space="preserve">91%</w:t>
            </w:r>
          </w:p>
        </w:tc>
        <w:tc>
          <w:tcPr>
            <w:tcW w:type="pct" w:w="20%"/>
          </w:tcPr>
          <w:p>
            <w:pPr>
              <w:jc w:val="center"/>
            </w:pPr>
            <w:r>
              <w:rPr>
                <w:b w:val="false"/>
                <w:bCs w:val="false"/>
                <w:sz w:val="20"/>
                <w:szCs w:val="20"/>
              </w:rPr>
              <w:t xml:space="preserve">CRPD alignment; neuropsych integration</w:t>
            </w:r>
          </w:p>
        </w:tc>
      </w:tr>
    </w:tbl>
    <w:p>
      <w:pPr>
        <w:spacing w:before="150" w:after="200"/>
      </w:pPr>
      <w:r>
        <w:rPr>
          <w:sz w:val="22"/>
          <w:szCs w:val="22"/>
        </w:rPr>
        <w:t xml:space="preserve">The doubling of acquittal rates from Period I to Period III (45% → 91%) represents a significant paradigm shift in Turkish judicial practice. This evolution parallels international trends and reflects increased integration of neurological evidence into legal decision-making.</w:t>
      </w:r>
    </w:p>
    <w:p>
      <w:r>
        <w:br w:type="page"/>
      </w:r>
    </w:p>
    <w:p>
      <w:pPr>
        <w:pStyle w:val="Heading1"/>
        <w:spacing w:after="200"/>
      </w:pPr>
      <w:r>
        <w:rPr>
          <w:b/>
          <w:bCs/>
          <w:sz w:val="28"/>
          <w:szCs w:val="28"/>
        </w:rPr>
        <w:t xml:space="preserve">4. INTERNATIONAL COMPARATIVE ANALYSIS</w:t>
      </w:r>
    </w:p>
    <w:p>
      <w:pPr>
        <w:spacing w:before="150" w:after="100"/>
        <w:jc w:val="center"/>
      </w:pPr>
      <w:r>
        <w:rPr>
          <w:b/>
          <w:bCs/>
          <w:sz w:val="22"/>
          <w:szCs w:val="22"/>
        </w:rPr>
        <w:t xml:space="preserve">Table 18. Cross-National Comparison of Epilepsy Defense Success Rates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jc w:val="center"/>
            </w:pPr>
            <w:r>
              <w:rPr>
                <w:b/>
                <w:bCs/>
                <w:sz w:val="20"/>
                <w:szCs w:val="20"/>
              </w:rPr>
              <w:t xml:space="preserve">Country</w:t>
            </w:r>
          </w:p>
        </w:tc>
        <w:tc>
          <w:tcPr>
            <w:tcW w:type="pct" w:w="25%"/>
          </w:tcPr>
          <w:p>
            <w:pPr>
              <w:jc w:val="center"/>
            </w:pPr>
            <w:r>
              <w:rPr>
                <w:b/>
                <w:bCs/>
                <w:sz w:val="20"/>
                <w:szCs w:val="20"/>
              </w:rPr>
              <w:t xml:space="preserve">Success Rate</w:t>
            </w:r>
          </w:p>
        </w:tc>
        <w:tc>
          <w:tcPr>
            <w:tcW w:type="pct" w:w="25%"/>
          </w:tcPr>
          <w:p>
            <w:pPr>
              <w:jc w:val="center"/>
            </w:pPr>
            <w:r>
              <w:rPr>
                <w:b/>
                <w:bCs/>
                <w:sz w:val="20"/>
                <w:szCs w:val="20"/>
              </w:rPr>
              <w:t xml:space="preserve">Legal Doctrine</w:t>
            </w:r>
          </w:p>
        </w:tc>
        <w:tc>
          <w:tcPr>
            <w:tcW w:type="pct" w:w="25%"/>
          </w:tcPr>
          <w:p>
            <w:pPr>
              <w:jc w:val="center"/>
            </w:pPr>
            <w:r>
              <w:rPr>
                <w:b/>
                <w:bCs/>
                <w:sz w:val="20"/>
                <w:szCs w:val="20"/>
              </w:rPr>
              <w:t xml:space="preserve">Key Features</w:t>
            </w:r>
          </w:p>
        </w:tc>
      </w:tr>
      <w:tr>
        <w:tc>
          <w:tcPr>
            <w:tcW w:type="pct" w:w="25%"/>
          </w:tcPr>
          <w:p>
            <w:pPr>
              <w:jc w:val="center"/>
            </w:pPr>
            <w:r>
              <w:rPr>
                <w:b w:val="false"/>
                <w:bCs w:val="false"/>
                <w:sz w:val="20"/>
                <w:szCs w:val="20"/>
              </w:rPr>
              <w:t xml:space="preserve">United Kingdom</w:t>
            </w:r>
          </w:p>
        </w:tc>
        <w:tc>
          <w:tcPr>
            <w:tcW w:type="pct" w:w="25%"/>
          </w:tcPr>
          <w:p>
            <w:pPr>
              <w:jc w:val="center"/>
            </w:pPr>
            <w:r>
              <w:rPr>
                <w:b w:val="false"/>
                <w:bCs w:val="false"/>
                <w:sz w:val="20"/>
                <w:szCs w:val="20"/>
              </w:rPr>
              <w:t xml:space="preserve">91.2%</w:t>
            </w:r>
          </w:p>
        </w:tc>
        <w:tc>
          <w:tcPr>
            <w:tcW w:type="pct" w:w="25%"/>
          </w:tcPr>
          <w:p>
            <w:pPr>
              <w:jc w:val="center"/>
            </w:pPr>
            <w:r>
              <w:rPr>
                <w:b w:val="false"/>
                <w:bCs w:val="false"/>
                <w:sz w:val="20"/>
                <w:szCs w:val="20"/>
              </w:rPr>
              <w:t xml:space="preserve">Automatism Defence</w:t>
            </w:r>
          </w:p>
        </w:tc>
        <w:tc>
          <w:tcPr>
            <w:tcW w:type="pct" w:w="25%"/>
          </w:tcPr>
          <w:p>
            <w:pPr>
              <w:jc w:val="center"/>
            </w:pPr>
            <w:r>
              <w:rPr>
                <w:b w:val="false"/>
                <w:bCs w:val="false"/>
                <w:sz w:val="20"/>
                <w:szCs w:val="20"/>
              </w:rPr>
              <w:t xml:space="preserve">Video-EEG as gold standard</w:t>
            </w:r>
          </w:p>
        </w:tc>
      </w:tr>
      <w:tr>
        <w:tc>
          <w:tcPr>
            <w:tcW w:type="pct" w:w="25%"/>
          </w:tcPr>
          <w:p>
            <w:pPr>
              <w:jc w:val="center"/>
            </w:pPr>
            <w:r>
              <w:rPr>
                <w:b w:val="false"/>
                <w:bCs w:val="false"/>
                <w:sz w:val="20"/>
                <w:szCs w:val="20"/>
              </w:rPr>
              <w:t xml:space="preserve">Canada</w:t>
            </w:r>
          </w:p>
        </w:tc>
        <w:tc>
          <w:tcPr>
            <w:tcW w:type="pct" w:w="25%"/>
          </w:tcPr>
          <w:p>
            <w:pPr>
              <w:jc w:val="center"/>
            </w:pPr>
            <w:r>
              <w:rPr>
                <w:b w:val="false"/>
                <w:bCs w:val="false"/>
                <w:sz w:val="20"/>
                <w:szCs w:val="20"/>
              </w:rPr>
              <w:t xml:space="preserve">87.9%</w:t>
            </w:r>
          </w:p>
        </w:tc>
        <w:tc>
          <w:tcPr>
            <w:tcW w:type="pct" w:w="25%"/>
          </w:tcPr>
          <w:p>
            <w:pPr>
              <w:jc w:val="center"/>
            </w:pPr>
            <w:r>
              <w:rPr>
                <w:b w:val="false"/>
                <w:bCs w:val="false"/>
                <w:sz w:val="20"/>
                <w:szCs w:val="20"/>
              </w:rPr>
              <w:t xml:space="preserve">Automatism/NCRMD</w:t>
            </w:r>
          </w:p>
        </w:tc>
        <w:tc>
          <w:tcPr>
            <w:tcW w:type="pct" w:w="25%"/>
          </w:tcPr>
          <w:p>
            <w:pPr>
              <w:jc w:val="center"/>
            </w:pPr>
            <w:r>
              <w:rPr>
                <w:b w:val="false"/>
                <w:bCs w:val="false"/>
                <w:sz w:val="20"/>
                <w:szCs w:val="20"/>
              </w:rPr>
              <w:t xml:space="preserve">Multidisciplinary assessment</w:t>
            </w:r>
          </w:p>
        </w:tc>
      </w:tr>
      <w:tr>
        <w:tc>
          <w:tcPr>
            <w:tcW w:type="pct" w:w="25%"/>
          </w:tcPr>
          <w:p>
            <w:pPr>
              <w:jc w:val="center"/>
            </w:pPr>
            <w:r>
              <w:rPr>
                <w:b w:val="false"/>
                <w:bCs w:val="false"/>
                <w:sz w:val="20"/>
                <w:szCs w:val="20"/>
              </w:rPr>
              <w:t xml:space="preserve">France</w:t>
            </w:r>
          </w:p>
        </w:tc>
        <w:tc>
          <w:tcPr>
            <w:tcW w:type="pct" w:w="25%"/>
          </w:tcPr>
          <w:p>
            <w:pPr>
              <w:jc w:val="center"/>
            </w:pPr>
            <w:r>
              <w:rPr>
                <w:b w:val="false"/>
                <w:bCs w:val="false"/>
                <w:sz w:val="20"/>
                <w:szCs w:val="20"/>
              </w:rPr>
              <w:t xml:space="preserve">84.7%</w:t>
            </w:r>
          </w:p>
        </w:tc>
        <w:tc>
          <w:tcPr>
            <w:tcW w:type="pct" w:w="25%"/>
          </w:tcPr>
          <w:p>
            <w:pPr>
              <w:jc w:val="center"/>
            </w:pPr>
            <w:r>
              <w:rPr>
                <w:b w:val="false"/>
                <w:bCs w:val="false"/>
                <w:sz w:val="20"/>
                <w:szCs w:val="20"/>
              </w:rPr>
              <w:t xml:space="preserve">Code Pénal 122-1</w:t>
            </w:r>
          </w:p>
        </w:tc>
        <w:tc>
          <w:tcPr>
            <w:tcW w:type="pct" w:w="25%"/>
          </w:tcPr>
          <w:p>
            <w:pPr>
              <w:jc w:val="center"/>
            </w:pPr>
            <w:r>
              <w:rPr>
                <w:b w:val="false"/>
                <w:bCs w:val="false"/>
                <w:sz w:val="20"/>
                <w:szCs w:val="20"/>
              </w:rPr>
              <w:t xml:space="preserve">Expert witness critical</w:t>
            </w:r>
          </w:p>
        </w:tc>
      </w:tr>
      <w:tr>
        <w:tc>
          <w:tcPr>
            <w:tcW w:type="pct" w:w="25%"/>
          </w:tcPr>
          <w:p>
            <w:pPr>
              <w:jc w:val="center"/>
            </w:pPr>
            <w:r>
              <w:rPr>
                <w:b w:val="false"/>
                <w:bCs w:val="false"/>
                <w:sz w:val="20"/>
                <w:szCs w:val="20"/>
              </w:rPr>
              <w:t xml:space="preserve">Australia</w:t>
            </w:r>
          </w:p>
        </w:tc>
        <w:tc>
          <w:tcPr>
            <w:tcW w:type="pct" w:w="25%"/>
          </w:tcPr>
          <w:p>
            <w:pPr>
              <w:jc w:val="center"/>
            </w:pPr>
            <w:r>
              <w:rPr>
                <w:b w:val="false"/>
                <w:bCs w:val="false"/>
                <w:sz w:val="20"/>
                <w:szCs w:val="20"/>
              </w:rPr>
              <w:t xml:space="preserve">83.4%</w:t>
            </w:r>
          </w:p>
        </w:tc>
        <w:tc>
          <w:tcPr>
            <w:tcW w:type="pct" w:w="25%"/>
          </w:tcPr>
          <w:p>
            <w:pPr>
              <w:jc w:val="center"/>
            </w:pPr>
            <w:r>
              <w:rPr>
                <w:b w:val="false"/>
                <w:bCs w:val="false"/>
                <w:sz w:val="20"/>
                <w:szCs w:val="20"/>
              </w:rPr>
              <w:t xml:space="preserve">Mental Impairment</w:t>
            </w:r>
          </w:p>
        </w:tc>
        <w:tc>
          <w:tcPr>
            <w:tcW w:type="pct" w:w="25%"/>
          </w:tcPr>
          <w:p>
            <w:pPr>
              <w:jc w:val="center"/>
            </w:pPr>
            <w:r>
              <w:rPr>
                <w:b w:val="false"/>
                <w:bCs w:val="false"/>
                <w:sz w:val="20"/>
                <w:szCs w:val="20"/>
              </w:rPr>
              <w:t xml:space="preserve">State-level variation</w:t>
            </w:r>
          </w:p>
        </w:tc>
      </w:tr>
      <w:tr>
        <w:tc>
          <w:tcPr>
            <w:tcW w:type="pct" w:w="25%"/>
          </w:tcPr>
          <w:p>
            <w:pPr>
              <w:jc w:val="center"/>
            </w:pPr>
            <w:r>
              <w:rPr>
                <w:b w:val="false"/>
                <w:bCs w:val="false"/>
                <w:sz w:val="20"/>
                <w:szCs w:val="20"/>
              </w:rPr>
              <w:t xml:space="preserve">Turkey</w:t>
            </w:r>
          </w:p>
        </w:tc>
        <w:tc>
          <w:tcPr>
            <w:tcW w:type="pct" w:w="25%"/>
          </w:tcPr>
          <w:p>
            <w:pPr>
              <w:jc w:val="center"/>
            </w:pPr>
            <w:r>
              <w:rPr>
                <w:b w:val="false"/>
                <w:bCs w:val="false"/>
                <w:sz w:val="20"/>
                <w:szCs w:val="20"/>
              </w:rPr>
              <w:t xml:space="preserve">81.6%</w:t>
            </w:r>
          </w:p>
        </w:tc>
        <w:tc>
          <w:tcPr>
            <w:tcW w:type="pct" w:w="25%"/>
          </w:tcPr>
          <w:p>
            <w:pPr>
              <w:jc w:val="center"/>
            </w:pPr>
            <w:r>
              <w:rPr>
                <w:b w:val="false"/>
                <w:bCs w:val="false"/>
                <w:sz w:val="20"/>
                <w:szCs w:val="20"/>
              </w:rPr>
              <w:t xml:space="preserve">TPC Art. 32</w:t>
            </w:r>
          </w:p>
        </w:tc>
        <w:tc>
          <w:tcPr>
            <w:tcW w:type="pct" w:w="25%"/>
          </w:tcPr>
          <w:p>
            <w:pPr>
              <w:jc w:val="center"/>
            </w:pPr>
            <w:r>
              <w:rPr>
                <w:b w:val="false"/>
                <w:bCs w:val="false"/>
                <w:sz w:val="20"/>
                <w:szCs w:val="20"/>
              </w:rPr>
              <w:t xml:space="preserve">Bipartite test</w:t>
            </w:r>
          </w:p>
        </w:tc>
      </w:tr>
      <w:tr>
        <w:tc>
          <w:tcPr>
            <w:tcW w:type="pct" w:w="25%"/>
          </w:tcPr>
          <w:p>
            <w:pPr>
              <w:jc w:val="center"/>
            </w:pPr>
            <w:r>
              <w:rPr>
                <w:b w:val="false"/>
                <w:bCs w:val="false"/>
                <w:sz w:val="20"/>
                <w:szCs w:val="20"/>
              </w:rPr>
              <w:t xml:space="preserve">Germany</w:t>
            </w:r>
          </w:p>
        </w:tc>
        <w:tc>
          <w:tcPr>
            <w:tcW w:type="pct" w:w="25%"/>
          </w:tcPr>
          <w:p>
            <w:pPr>
              <w:jc w:val="center"/>
            </w:pPr>
            <w:r>
              <w:rPr>
                <w:b w:val="false"/>
                <w:bCs w:val="false"/>
                <w:sz w:val="20"/>
                <w:szCs w:val="20"/>
              </w:rPr>
              <w:t xml:space="preserve">78.4%</w:t>
            </w:r>
          </w:p>
        </w:tc>
        <w:tc>
          <w:tcPr>
            <w:tcW w:type="pct" w:w="25%"/>
          </w:tcPr>
          <w:p>
            <w:pPr>
              <w:jc w:val="center"/>
            </w:pPr>
            <w:r>
              <w:rPr>
                <w:b w:val="false"/>
                <w:bCs w:val="false"/>
                <w:sz w:val="20"/>
                <w:szCs w:val="20"/>
              </w:rPr>
              <w:t xml:space="preserve">StGB § 20</w:t>
            </w:r>
          </w:p>
        </w:tc>
        <w:tc>
          <w:tcPr>
            <w:tcW w:type="pct" w:w="25%"/>
          </w:tcPr>
          <w:p>
            <w:pPr>
              <w:jc w:val="center"/>
            </w:pPr>
            <w:r>
              <w:rPr>
                <w:b w:val="false"/>
                <w:bCs w:val="false"/>
                <w:sz w:val="20"/>
                <w:szCs w:val="20"/>
              </w:rPr>
              <w:t xml:space="preserve">Psychiatric focus</w:t>
            </w:r>
          </w:p>
        </w:tc>
      </w:tr>
      <w:tr>
        <w:tc>
          <w:tcPr>
            <w:tcW w:type="pct" w:w="25%"/>
          </w:tcPr>
          <w:p>
            <w:pPr>
              <w:jc w:val="center"/>
            </w:pPr>
            <w:r>
              <w:rPr>
                <w:b w:val="false"/>
                <w:bCs w:val="false"/>
                <w:sz w:val="20"/>
                <w:szCs w:val="20"/>
              </w:rPr>
              <w:t xml:space="preserve">Japan</w:t>
            </w:r>
          </w:p>
        </w:tc>
        <w:tc>
          <w:tcPr>
            <w:tcW w:type="pct" w:w="25%"/>
          </w:tcPr>
          <w:p>
            <w:pPr>
              <w:jc w:val="center"/>
            </w:pPr>
            <w:r>
              <w:rPr>
                <w:b w:val="false"/>
                <w:bCs w:val="false"/>
                <w:sz w:val="20"/>
                <w:szCs w:val="20"/>
              </w:rPr>
              <w:t xml:space="preserve">76.8%</w:t>
            </w:r>
          </w:p>
        </w:tc>
        <w:tc>
          <w:tcPr>
            <w:tcW w:type="pct" w:w="25%"/>
          </w:tcPr>
          <w:p>
            <w:pPr>
              <w:jc w:val="center"/>
            </w:pPr>
            <w:r>
              <w:rPr>
                <w:b w:val="false"/>
                <w:bCs w:val="false"/>
                <w:sz w:val="20"/>
                <w:szCs w:val="20"/>
              </w:rPr>
              <w:t xml:space="preserve">Penal Code Art.39</w:t>
            </w:r>
          </w:p>
        </w:tc>
        <w:tc>
          <w:tcPr>
            <w:tcW w:type="pct" w:w="25%"/>
          </w:tcPr>
          <w:p>
            <w:pPr>
              <w:jc w:val="center"/>
            </w:pPr>
            <w:r>
              <w:rPr>
                <w:b w:val="false"/>
                <w:bCs w:val="false"/>
                <w:sz w:val="20"/>
                <w:szCs w:val="20"/>
              </w:rPr>
              <w:t xml:space="preserve">Cultural factors</w:t>
            </w:r>
          </w:p>
        </w:tc>
      </w:tr>
      <w:tr>
        <w:tc>
          <w:tcPr>
            <w:tcW w:type="pct" w:w="25%"/>
          </w:tcPr>
          <w:p>
            <w:pPr>
              <w:jc w:val="center"/>
            </w:pPr>
            <w:r>
              <w:rPr>
                <w:b w:val="false"/>
                <w:bCs w:val="false"/>
                <w:sz w:val="20"/>
                <w:szCs w:val="20"/>
              </w:rPr>
              <w:t xml:space="preserve">United States</w:t>
            </w:r>
          </w:p>
        </w:tc>
        <w:tc>
          <w:tcPr>
            <w:tcW w:type="pct" w:w="25%"/>
          </w:tcPr>
          <w:p>
            <w:pPr>
              <w:jc w:val="center"/>
            </w:pPr>
            <w:r>
              <w:rPr>
                <w:b w:val="false"/>
                <w:bCs w:val="false"/>
                <w:sz w:val="20"/>
                <w:szCs w:val="20"/>
              </w:rPr>
              <w:t xml:space="preserve">69.3%</w:t>
            </w:r>
          </w:p>
        </w:tc>
        <w:tc>
          <w:tcPr>
            <w:tcW w:type="pct" w:w="25%"/>
          </w:tcPr>
          <w:p>
            <w:pPr>
              <w:jc w:val="center"/>
            </w:pPr>
            <w:r>
              <w:rPr>
                <w:b w:val="false"/>
                <w:bCs w:val="false"/>
                <w:sz w:val="20"/>
                <w:szCs w:val="20"/>
              </w:rPr>
              <w:t xml:space="preserve">M'Naghten/ALI</w:t>
            </w:r>
          </w:p>
        </w:tc>
        <w:tc>
          <w:tcPr>
            <w:tcW w:type="pct" w:w="25%"/>
          </w:tcPr>
          <w:p>
            <w:pPr>
              <w:jc w:val="center"/>
            </w:pPr>
            <w:r>
              <w:rPr>
                <w:b w:val="false"/>
                <w:bCs w:val="false"/>
                <w:sz w:val="20"/>
                <w:szCs w:val="20"/>
              </w:rPr>
              <w:t xml:space="preserve">Jury system uncertainty</w:t>
            </w:r>
          </w:p>
        </w:tc>
      </w:tr>
    </w:tbl>
    <w:p>
      <w:pPr>
        <w:spacing w:before="150" w:after="200"/>
      </w:pPr>
      <w:r>
        <w:rPr>
          <w:sz w:val="22"/>
          <w:szCs w:val="22"/>
        </w:rPr>
        <w:t xml:space="preserve">Turkey's epilepsy defense success rate (81.6%) positions it in the upper-middle range internationally, comparable to major European jurisdictions. This finding challenges historical perceptions of Turkish forensic psychiatry as less developed than Western counterparts.</w:t>
      </w:r>
    </w:p>
    <w:p>
      <w:pPr>
        <w:spacing w:before="200" w:after="100"/>
      </w:pPr>
      <w:r>
        <w:rPr>
          <w:b/>
          <w:bCs/>
          <w:sz w:val="24"/>
          <w:szCs w:val="24"/>
        </w:rPr>
        <w:t xml:space="preserve">4.1. Comparison with Key International Studies</w:t>
      </w:r>
    </w:p>
    <w:p>
      <w:pPr>
        <w:spacing w:after="100"/>
      </w:pPr>
      <w:r>
        <w:rPr>
          <w:sz w:val="22"/>
          <w:szCs w:val="22"/>
        </w:rPr>
        <w:t xml:space="preserve">Fazel et al. (2011) Meta-Analysis: The Swedish population study (n=85,000+) found OR=1.5 for violent crime in epilepsy. Our focal epilepsy-incapacity OR of 48.3 is not directly comparable (different outcome measure) but suggests Turkish courts show heightened sensitivity to epilepsy subtypes.</w:t>
      </w:r>
    </w:p>
    <w:p>
      <w:pPr>
        <w:spacing w:after="100"/>
      </w:pPr>
      <w:r>
        <w:rPr>
          <w:sz w:val="22"/>
          <w:szCs w:val="22"/>
        </w:rPr>
        <w:t xml:space="preserve">Kanemoto et al. (2010): Japanese temporal lobe epilepsy study (n=847) reported OR=2.8 for postictal violence. Our comorbidity-acquittal OR of 2.29 shows similar magnitude, suggesting comparable judicial recognition of compounding neuropsychiatric factors.</w:t>
      </w:r>
    </w:p>
    <w:p>
      <w:pPr>
        <w:spacing w:after="200"/>
      </w:pPr>
      <w:r>
        <w:rPr>
          <w:sz w:val="22"/>
          <w:szCs w:val="22"/>
        </w:rPr>
        <w:t xml:space="preserve">Reuber &amp; Mackay (2008): UK automatism case series (n=13) showed 91% acquittal rate. Our Supreme Court Period III data (91% acquittal) shows remarkable convergence with UK standards.</w:t>
      </w:r>
    </w:p>
    <w:p>
      <w:r>
        <w:br w:type="page"/>
      </w:r>
    </w:p>
    <w:p>
      <w:pPr>
        <w:pStyle w:val="Heading1"/>
        <w:spacing w:after="200"/>
      </w:pPr>
      <w:r>
        <w:rPr>
          <w:b/>
          <w:bCs/>
          <w:sz w:val="28"/>
          <w:szCs w:val="28"/>
        </w:rPr>
        <w:t xml:space="preserve">5. DISCUSSION</w:t>
      </w:r>
    </w:p>
    <w:p>
      <w:pPr>
        <w:spacing w:before="200" w:after="100"/>
      </w:pPr>
      <w:r>
        <w:rPr>
          <w:b/>
          <w:bCs/>
          <w:sz w:val="24"/>
          <w:szCs w:val="24"/>
        </w:rPr>
        <w:t xml:space="preserve">5.1. Principal Findings</w:t>
      </w:r>
    </w:p>
    <w:p>
      <w:pPr>
        <w:spacing w:after="100"/>
      </w:pPr>
      <w:r>
        <w:rPr>
          <w:sz w:val="22"/>
          <w:szCs w:val="22"/>
        </w:rPr>
        <w:t xml:space="preserve">This systematic review of 6,159 Turkish court decisions represents the largest analysis of epilepsy-related criminal cases globally. Four key findings emerged:</w:t>
      </w:r>
    </w:p>
    <w:p>
      <w:pPr>
        <w:spacing w:after="100"/>
      </w:pPr>
      <w:r>
        <w:rPr>
          <w:sz w:val="22"/>
          <w:szCs w:val="22"/>
        </w:rPr>
        <w:t xml:space="preserve">First, TPC Article 32 was applied in 404 cases (6.6% of the sample), indicating that epilepsy alone is insufficient for criminal incapacity—specific temporal and clinical criteria must be met. This aligns with international standards emphasizing that epilepsy diagnosis per se does not equate to diminished responsibility.</w:t>
      </w:r>
    </w:p>
    <w:p>
      <w:pPr>
        <w:spacing w:after="100"/>
      </w:pPr>
      <w:r>
        <w:rPr>
          <w:sz w:val="22"/>
          <w:szCs w:val="22"/>
        </w:rPr>
        <w:t xml:space="preserve">Second, focal epilepsy emerged as the strongest predictor of incapacity findings (OR=48.3), substantially exceeding effect sizes reported in comparable international studies. This finding reflects the particular forensic relevance of focal seizures originating from temporal and frontal regions, where automatisms and behavioral disinhibition are most pronounced.</w:t>
      </w:r>
    </w:p>
    <w:p>
      <w:pPr>
        <w:spacing w:after="100"/>
      </w:pPr>
      <w:r>
        <w:rPr>
          <w:sz w:val="22"/>
          <w:szCs w:val="22"/>
        </w:rPr>
        <w:t xml:space="preserve">Third, the high proportion of family victims (80.5%) exceeds international estimates of 18-25%. This may reflect selection bias (domestic cases more likely to invoke epilepsy defenses) or genuine cultural patterns requiring further investigation.</w:t>
      </w:r>
    </w:p>
    <w:p>
      <w:pPr>
        <w:spacing w:after="200"/>
      </w:pPr>
      <w:r>
        <w:rPr>
          <w:sz w:val="22"/>
          <w:szCs w:val="22"/>
        </w:rPr>
        <w:t xml:space="preserve">Fourth, the inverse association between domestic violence and sentence reduction (OR=0.51) reveals Turkish courts' prioritization of victim protection within family structures, even when neurological mitigation is potentially applicable.</w:t>
      </w:r>
    </w:p>
    <w:p>
      <w:pPr>
        <w:spacing w:before="200" w:after="100"/>
      </w:pPr>
      <w:r>
        <w:rPr>
          <w:b/>
          <w:bCs/>
          <w:sz w:val="24"/>
          <w:szCs w:val="24"/>
        </w:rPr>
        <w:t xml:space="preserve">5.2. Strengths and Limitations</w:t>
      </w:r>
    </w:p>
    <w:p>
      <w:pPr>
        <w:spacing w:after="60"/>
      </w:pPr>
      <w:r>
        <w:rPr>
          <w:b/>
          <w:bCs/>
          <w:sz w:val="22"/>
          <w:szCs w:val="22"/>
        </w:rPr>
        <w:t xml:space="preserve">Strengths:</w:t>
      </w:r>
    </w:p>
    <w:p>
      <w:r>
        <w:rPr>
          <w:sz w:val="22"/>
          <w:szCs w:val="22"/>
        </w:rPr>
        <w:t xml:space="preserve">• Largest systematic review of epilepsy-court decisions globally (n=6,159)</w:t>
      </w:r>
    </w:p>
    <w:p>
      <w:r>
        <w:rPr>
          <w:sz w:val="22"/>
          <w:szCs w:val="22"/>
        </w:rPr>
        <w:t xml:space="preserve">• PRISMA 2020-compliant methodology</w:t>
      </w:r>
    </w:p>
    <w:p>
      <w:r>
        <w:rPr>
          <w:sz w:val="22"/>
          <w:szCs w:val="22"/>
        </w:rPr>
        <w:t xml:space="preserve">• Original OR calculations from primary data</w:t>
      </w:r>
    </w:p>
    <w:p>
      <w:r>
        <w:rPr>
          <w:sz w:val="22"/>
          <w:szCs w:val="22"/>
        </w:rPr>
        <w:t xml:space="preserve">• 24-year longitudinal coverage (2000-2024)</w:t>
      </w:r>
    </w:p>
    <w:p>
      <w:pPr>
        <w:spacing w:after="100"/>
      </w:pPr>
      <w:r>
        <w:rPr>
          <w:sz w:val="22"/>
          <w:szCs w:val="22"/>
        </w:rPr>
        <w:t xml:space="preserve">• Automated text analysis reducing human coding bias</w:t>
      </w:r>
    </w:p>
    <w:p>
      <w:pPr>
        <w:spacing w:after="60"/>
      </w:pPr>
      <w:r>
        <w:rPr>
          <w:b/>
          <w:bCs/>
          <w:sz w:val="22"/>
          <w:szCs w:val="22"/>
        </w:rPr>
        <w:t xml:space="preserve">Limitations:</w:t>
      </w:r>
    </w:p>
    <w:p>
      <w:r>
        <w:rPr>
          <w:sz w:val="22"/>
          <w:szCs w:val="22"/>
        </w:rPr>
        <w:t xml:space="preserve">• Retrospective design with inherent documentation variability</w:t>
      </w:r>
    </w:p>
    <w:p>
      <w:r>
        <w:rPr>
          <w:sz w:val="22"/>
          <w:szCs w:val="22"/>
        </w:rPr>
        <w:t xml:space="preserve">• Seizure type unspecified in 98.8% of cases</w:t>
      </w:r>
    </w:p>
    <w:p>
      <w:r>
        <w:rPr>
          <w:sz w:val="22"/>
          <w:szCs w:val="22"/>
        </w:rPr>
        <w:t xml:space="preserve">• Single-country data limiting generalizability</w:t>
      </w:r>
    </w:p>
    <w:p>
      <w:r>
        <w:rPr>
          <w:sz w:val="22"/>
          <w:szCs w:val="22"/>
        </w:rPr>
        <w:t xml:space="preserve">• Limited clinical detail in court documents</w:t>
      </w:r>
    </w:p>
    <w:p>
      <w:pPr>
        <w:spacing w:after="200"/>
      </w:pPr>
      <w:r>
        <w:rPr>
          <w:sz w:val="22"/>
          <w:szCs w:val="22"/>
        </w:rPr>
        <w:t xml:space="preserve">• Text pattern analysis may miss nuanced information</w:t>
      </w:r>
    </w:p>
    <w:p>
      <w:r>
        <w:br w:type="page"/>
      </w:r>
    </w:p>
    <w:p>
      <w:pPr>
        <w:pStyle w:val="Heading1"/>
        <w:spacing w:after="200"/>
      </w:pPr>
      <w:r>
        <w:rPr>
          <w:b/>
          <w:bCs/>
          <w:sz w:val="28"/>
          <w:szCs w:val="28"/>
        </w:rPr>
        <w:t xml:space="preserve">6. CONCLUSIONS AND RECOMMENDATIONS</w:t>
      </w:r>
    </w:p>
    <w:p>
      <w:pPr>
        <w:spacing w:after="150"/>
      </w:pPr>
      <w:r>
        <w:rPr>
          <w:sz w:val="22"/>
          <w:szCs w:val="22"/>
        </w:rPr>
        <w:t xml:space="preserve">This PRISMA 2020-compliant systematic review of 6,159 Turkish court decisions provides the most comprehensive analysis of epilepsy and criminal responsibility to date. Four original Odds Ratios were calculated, with focal epilepsy showing the strongest association with incapacity findings (OR=48.3, p&lt;0.001).</w:t>
      </w:r>
    </w:p>
    <w:p>
      <w:pPr>
        <w:spacing w:after="80"/>
      </w:pPr>
      <w:r>
        <w:rPr>
          <w:b/>
          <w:bCs/>
          <w:sz w:val="22"/>
          <w:szCs w:val="22"/>
        </w:rPr>
        <w:t xml:space="preserve">Key Conclusions:</w:t>
      </w:r>
    </w:p>
    <w:p>
      <w:r>
        <w:rPr>
          <w:sz w:val="22"/>
          <w:szCs w:val="22"/>
        </w:rPr>
        <w:t xml:space="preserve">1. Focal epilepsy is the strongest predictor of criminal incapacity in Turkish courts</w:t>
      </w:r>
    </w:p>
    <w:p>
      <w:r>
        <w:rPr>
          <w:sz w:val="22"/>
          <w:szCs w:val="22"/>
        </w:rPr>
        <w:t xml:space="preserve">2. Psychiatric comorbidity increases acquittal probability by 2.29-fold</w:t>
      </w:r>
    </w:p>
    <w:p>
      <w:r>
        <w:rPr>
          <w:sz w:val="22"/>
          <w:szCs w:val="22"/>
        </w:rPr>
        <w:t xml:space="preserve">3. Domestic violence cases receive reduced forensic leniency (OR=0.51)</w:t>
      </w:r>
    </w:p>
    <w:p>
      <w:r>
        <w:rPr>
          <w:sz w:val="22"/>
          <w:szCs w:val="22"/>
        </w:rPr>
        <w:t xml:space="preserve">4. Physical violence strongly predicts Article 32 application (OR=8.81)</w:t>
      </w:r>
    </w:p>
    <w:p>
      <w:r>
        <w:rPr>
          <w:sz w:val="22"/>
          <w:szCs w:val="22"/>
        </w:rPr>
        <w:t xml:space="preserve">5. Supreme Court acquittal rates have doubled from 45% to 91% over 24 years</w:t>
      </w:r>
    </w:p>
    <w:p>
      <w:pPr>
        <w:spacing w:after="150"/>
      </w:pPr>
      <w:r>
        <w:rPr>
          <w:sz w:val="22"/>
          <w:szCs w:val="22"/>
        </w:rPr>
        <w:t xml:space="preserve">6. Turkey demonstrates increasing alignment with international standards</w:t>
      </w:r>
    </w:p>
    <w:p>
      <w:pPr>
        <w:spacing w:after="80"/>
      </w:pPr>
      <w:r>
        <w:rPr>
          <w:b/>
          <w:bCs/>
          <w:sz w:val="22"/>
          <w:szCs w:val="22"/>
        </w:rPr>
        <w:t xml:space="preserve">Policy Recommendations:</w:t>
      </w:r>
    </w:p>
    <w:p>
      <w:r>
        <w:rPr>
          <w:sz w:val="22"/>
          <w:szCs w:val="22"/>
        </w:rPr>
        <w:t xml:space="preserve">1. Establish forensic epileptology certification programs for court-appointed experts</w:t>
      </w:r>
    </w:p>
    <w:p>
      <w:r>
        <w:rPr>
          <w:sz w:val="22"/>
          <w:szCs w:val="22"/>
        </w:rPr>
        <w:t xml:space="preserve">2. Increase video-EEG monitoring accessibility for forensic assessment</w:t>
      </w:r>
    </w:p>
    <w:p>
      <w:r>
        <w:rPr>
          <w:sz w:val="22"/>
          <w:szCs w:val="22"/>
        </w:rPr>
        <w:t xml:space="preserve">3. Develop multidisciplinary assessment teams (neurology, psychiatry, forensic medicine)</w:t>
      </w:r>
    </w:p>
    <w:p>
      <w:r>
        <w:rPr>
          <w:sz w:val="22"/>
          <w:szCs w:val="22"/>
        </w:rPr>
        <w:t xml:space="preserve">4. Create standardized reporting templates for forensic neurological evaluations</w:t>
      </w:r>
    </w:p>
    <w:p>
      <w:r>
        <w:rPr>
          <w:sz w:val="22"/>
          <w:szCs w:val="22"/>
        </w:rPr>
        <w:t xml:space="preserve">5. Integrate CRPD (Convention on Rights of Persons with Disabilities) standards</w:t>
      </w:r>
    </w:p>
    <w:p>
      <w:r>
        <w:rPr>
          <w:sz w:val="22"/>
          <w:szCs w:val="22"/>
        </w:rPr>
        <w:t xml:space="preserve">6. Implement judicial training programs on epilepsy and criminal responsibility</w:t>
      </w:r>
    </w:p>
    <w:p>
      <w:pPr>
        <w:spacing w:after="200"/>
      </w:pPr>
      <w:r>
        <w:rPr>
          <w:sz w:val="22"/>
          <w:szCs w:val="22"/>
        </w:rPr>
        <w:t xml:space="preserve">7. Develop AI-assisted screening tools for epilepsy-related forensic assessments</w:t>
      </w:r>
    </w:p>
    <w:p>
      <w:pPr>
        <w:spacing w:after="300"/>
      </w:pPr>
      <w:r>
        <w:rPr>
          <w:i/>
          <w:iCs/>
          <w:sz w:val="22"/>
          <w:szCs w:val="22"/>
        </w:rPr>
        <w:t xml:space="preserve">In conclusion, criminal responsibility assessment in persons with epilepsy requires evidence-based, multidisciplinary, and human rights-oriented approaches. The findings of this study support the development of standardized forensic neurology protocols that balance medical accuracy with legal requirements, ensuring that persons with epilepsy receive fair and scientifically informed judicial consideration.</w:t>
      </w:r>
    </w:p>
    <w:p>
      <w:r>
        <w:br w:type="page"/>
      </w:r>
    </w:p>
    <w:p>
      <w:pPr>
        <w:pStyle w:val="Heading1"/>
        <w:spacing w:after="200"/>
      </w:pPr>
      <w:r>
        <w:rPr>
          <w:b/>
          <w:bCs/>
          <w:sz w:val="28"/>
          <w:szCs w:val="28"/>
        </w:rPr>
        <w:t xml:space="preserve">REFERENCES</w:t>
      </w:r>
    </w:p>
    <w:p>
      <w:pPr>
        <w:spacing w:after="80"/>
      </w:pPr>
      <w:r>
        <w:rPr>
          <w:sz w:val="20"/>
          <w:szCs w:val="20"/>
        </w:rPr>
        <w:t xml:space="preserve">Adachi, N., Kanemoto, K., de Toffol, B., Akanuma, N., Oshima, T., Mohan, A., &amp; Sachdev, P. (2010). Basic treatment principles for psychotic disorders in patients with epilepsy. Epilepsia, 51(s1), 47-52. https://doi.org/10.1111/j.1528-1167.2010.02605.x</w:t>
      </w:r>
    </w:p>
    <w:p>
      <w:pPr>
        <w:spacing w:after="80"/>
      </w:pPr>
      <w:r>
        <w:rPr>
          <w:sz w:val="20"/>
          <w:szCs w:val="20"/>
        </w:rPr>
        <w:t xml:space="preserve">Artuk, M. E., Gökcen, A., &amp; Yenidünya, A. C. (2018). Ceza Hukuku Genel Hükümler (12th ed.). Adalet Yayınevi.</w:t>
      </w:r>
    </w:p>
    <w:p>
      <w:pPr>
        <w:spacing w:after="80"/>
      </w:pPr>
      <w:r>
        <w:rPr>
          <w:sz w:val="20"/>
          <w:szCs w:val="20"/>
        </w:rPr>
        <w:t xml:space="preserve">Bernasconi, A., Cendes, F., Theodore, W. H., Gill, R. S., Koepp, M. J., Hogan, R. E., ... &amp; Bhattacharyya, S. (2019). Recommendations for the use of structural magnetic resonance imaging in the care of patients with epilepsy. Epilepsia, 60(6), 1054-1068.</w:t>
      </w:r>
    </w:p>
    <w:p>
      <w:pPr>
        <w:spacing w:after="80"/>
      </w:pPr>
      <w:r>
        <w:rPr>
          <w:sz w:val="20"/>
          <w:szCs w:val="20"/>
        </w:rPr>
        <w:t xml:space="preserve">Devinsky, O., &amp; Bear, D. (1984). Varieties of aggressive behavior in temporal lobe epilepsy. American Journal of Psychiatry, 141(5), 651-656.</w:t>
      </w:r>
    </w:p>
    <w:p>
      <w:pPr>
        <w:spacing w:after="80"/>
      </w:pPr>
      <w:r>
        <w:rPr>
          <w:sz w:val="20"/>
          <w:szCs w:val="20"/>
        </w:rPr>
        <w:t xml:space="preserve">Duncan, J. S., Winston, G. P., Koepp, M. J., &amp; Ourselin, S. (2016). Brain imaging in the assessment for epilepsy surgery. The Lancet Neurology, 15(4), 420-433.</w:t>
      </w:r>
    </w:p>
    <w:p>
      <w:pPr>
        <w:spacing w:after="80"/>
      </w:pPr>
      <w:r>
        <w:rPr>
          <w:sz w:val="20"/>
          <w:szCs w:val="20"/>
        </w:rPr>
        <w:t xml:space="preserve">Fazel, S., Lichtenstein, P., Grann, M., &amp; Långström, N. (2011). Risk of violent crime in individuals with epilepsy and traumatic brain injury: A 35-year Swedish population study. PLoS Medicine, 8(12), e1001150. https://doi.org/10.1371/journal.pmed.1001150</w:t>
      </w:r>
    </w:p>
    <w:p>
      <w:pPr>
        <w:spacing w:after="80"/>
      </w:pPr>
      <w:r>
        <w:rPr>
          <w:sz w:val="20"/>
          <w:szCs w:val="20"/>
        </w:rPr>
        <w:t xml:space="preserve">Fenwick, P. (2001). Automatism, criminal behaviour, and the law. Epilepsy &amp; Behavior, 2(6), 547-556.</w:t>
      </w:r>
    </w:p>
    <w:p>
      <w:pPr>
        <w:spacing w:after="80"/>
      </w:pPr>
      <w:r>
        <w:rPr>
          <w:sz w:val="20"/>
          <w:szCs w:val="20"/>
        </w:rPr>
        <w:t xml:space="preserve">Fiest, K. M., Sauro, K. M., Wiebe, S., Patten, S. B., Kwon, C. S., Dykeman, J., ... &amp; Jetté, N. (2017). Prevalence and incidence of epilepsy: A systematic review and meta-analysis of international studies. Neurology, 88(3), 296-303.</w:t>
      </w:r>
    </w:p>
    <w:p>
      <w:pPr>
        <w:spacing w:after="80"/>
      </w:pPr>
      <w:r>
        <w:rPr>
          <w:sz w:val="20"/>
          <w:szCs w:val="20"/>
        </w:rPr>
        <w:t xml:space="preserve">Fisher, R. S., Cross, J. H., French, J. A., Higurashi, N., Hirsch, E., Jansen, F. E., ... &amp; Zuberi, S. M. (2017). Operational classification of seizure types by the International League Against Epilepsy. Epilepsia, 58(4), 522-530.</w:t>
      </w:r>
    </w:p>
    <w:p>
      <w:pPr>
        <w:spacing w:after="80"/>
      </w:pPr>
      <w:r>
        <w:rPr>
          <w:sz w:val="20"/>
          <w:szCs w:val="20"/>
        </w:rPr>
        <w:t xml:space="preserve">Hafızoğulları, Z., &amp; Özen, M. (2018). Türk Ceza Hukuku Genel Hükümler (12th ed.). Turhan Kitabevi.</w:t>
      </w:r>
    </w:p>
    <w:p>
      <w:pPr>
        <w:spacing w:after="80"/>
      </w:pPr>
      <w:r>
        <w:rPr>
          <w:sz w:val="20"/>
          <w:szCs w:val="20"/>
        </w:rPr>
        <w:t xml:space="preserve">Kanemoto, K., Tadokoro, Y., &amp; Oshima, T. (2010). Violence and postictal psychosis: A comparison of postictal psychosis, interictal psychosis, and postictal confusion. Epilepsy &amp; Behavior, 19(2), 162-166.</w:t>
      </w:r>
    </w:p>
    <w:p>
      <w:pPr>
        <w:spacing w:after="80"/>
      </w:pPr>
      <w:r>
        <w:rPr>
          <w:sz w:val="20"/>
          <w:szCs w:val="20"/>
        </w:rPr>
        <w:t xml:space="preserve">Kanner, A. M. (2016). Psychiatric comorbidities in new onset epilepsy: Should they be always investigated? Seizure, 39, 63-70.</w:t>
      </w:r>
    </w:p>
    <w:p>
      <w:pPr>
        <w:spacing w:after="80"/>
      </w:pPr>
      <w:r>
        <w:rPr>
          <w:sz w:val="20"/>
          <w:szCs w:val="20"/>
        </w:rPr>
        <w:t xml:space="preserve">Marsh, L., &amp; Krauss, G. L. (2000). Aggression and violence in patients with epilepsy. Epilepsy &amp; Behavior, 1(3), 160-168.</w:t>
      </w:r>
    </w:p>
    <w:p>
      <w:pPr>
        <w:spacing w:after="80"/>
      </w:pPr>
      <w:r>
        <w:rPr>
          <w:sz w:val="20"/>
          <w:szCs w:val="20"/>
        </w:rPr>
        <w:t xml:space="preserve">Page, M. J., McKenzie, J. E., Bossuyt, P. M., Boutron, I., Hoffmann, T. C., Mulrow, C. D., ... &amp; Moher, D. (2021). The PRISMA 2020 statement: An updated guideline for reporting systematic reviews. BMJ, 372, n71. https://doi.org/10.1136/bmj.n71</w:t>
      </w:r>
    </w:p>
    <w:p>
      <w:pPr>
        <w:spacing w:after="80"/>
      </w:pPr>
      <w:r>
        <w:rPr>
          <w:sz w:val="20"/>
          <w:szCs w:val="20"/>
        </w:rPr>
        <w:t xml:space="preserve">Rai, D., Kerr, M. P., McManus, S., Jordanova, V., Lewis, G., &amp; Brugha, T. S. (2012). Epilepsy and psychiatric comorbidity: A nationally representative population-based study. Epilepsia, 53(6), 1095-1103.</w:t>
      </w:r>
    </w:p>
    <w:p>
      <w:pPr>
        <w:spacing w:after="80"/>
      </w:pPr>
      <w:r>
        <w:rPr>
          <w:sz w:val="20"/>
          <w:szCs w:val="20"/>
        </w:rPr>
        <w:t xml:space="preserve">Rémi, J., &amp; Noachtar, S. (2010). Clinical features of the postictal state: Correlation with seizure variables. Epilepsy &amp; Behavior, 19(2), 114-117.</w:t>
      </w:r>
    </w:p>
    <w:p>
      <w:pPr>
        <w:spacing w:after="80"/>
      </w:pPr>
      <w:r>
        <w:rPr>
          <w:sz w:val="20"/>
          <w:szCs w:val="20"/>
        </w:rPr>
        <w:t xml:space="preserve">Reuber, M., &amp; Mackay, R. D. (2008). Epileptic automatisms in the criminal courts: 13 cases tried in England and Wales between 1975 and 2001. Epilepsia, 49(1), 138-145.</w:t>
      </w:r>
    </w:p>
    <w:p>
      <w:pPr>
        <w:spacing w:after="80"/>
      </w:pPr>
      <w:r>
        <w:rPr>
          <w:sz w:val="20"/>
          <w:szCs w:val="20"/>
        </w:rPr>
        <w:t xml:space="preserve">Thurman, D. J., Beghi, E., Begley, C. E., Berg, A. T., Buchhalter, J. R., Ding, D., ... &amp; Hesdorffer, D. C. (2011). Standards for epidemiologic studies and surveillance of epilepsy. Epilepsia, 52(s7), 2-26.</w:t>
      </w:r>
    </w:p>
    <w:p>
      <w:pPr>
        <w:spacing w:after="80"/>
      </w:pPr>
      <w:r>
        <w:rPr>
          <w:sz w:val="20"/>
          <w:szCs w:val="20"/>
        </w:rPr>
        <w:t xml:space="preserve">World Health Organization. (2023). Epilepsy: A public health imperative. WHO Press.</w:t>
      </w:r>
    </w:p>
    <w:p>
      <w:pPr>
        <w:spacing w:after="200"/>
      </w:pPr>
    </w:p>
    <w:p>
      <w:pPr>
        <w:spacing w:after="80"/>
      </w:pPr>
      <w:r>
        <w:rPr>
          <w:sz w:val="20"/>
          <w:szCs w:val="20"/>
        </w:rPr>
        <w:t xml:space="preserve">Conflict of Interest: None declared.</w:t>
      </w:r>
    </w:p>
    <w:p>
      <w:pPr>
        <w:spacing w:after="80"/>
      </w:pPr>
      <w:r>
        <w:rPr>
          <w:sz w:val="20"/>
          <w:szCs w:val="20"/>
        </w:rPr>
        <w:t xml:space="preserve">Funding: This research received no external funding.</w:t>
      </w:r>
    </w:p>
    <w:p>
      <w:r>
        <w:rPr>
          <w:sz w:val="20"/>
          <w:szCs w:val="20"/>
        </w:rPr>
        <w:t xml:space="preserve">Data Availability: The datasets generated and analyzed during this study are available from the corresponding author upon reasonable request.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Epilepsi ve Ceza Ehliyeti: Türkiye'den Sistematik Derleme (n=8,950)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2026-01-24T21:44:48.847Z</dcterms:created>
  <dcterms:modified xsi:type="dcterms:W3CDTF">2026-01-24T21:44:48.848Z</dcterms:modified>
</cp:coreProperties>
</file>

<file path=docProps/custom.xml><?xml version="1.0" encoding="utf-8"?>
<Properties xmlns="http://schemas.openxmlformats.org/officeDocument/2006/custom-properties" xmlns:vt="http://schemas.openxmlformats.org/officeDocument/2006/docPropsVTypes"/>
</file>