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970"/>
        <w:gridCol w:w="2644"/>
        <w:gridCol w:w="1004"/>
        <w:gridCol w:w="1207"/>
      </w:tblGrid>
      <w:tr w:rsidR="00063730" w:rsidRPr="00063730" w:rsidTr="00063730">
        <w:trPr>
          <w:trHeight w:val="290"/>
        </w:trPr>
        <w:tc>
          <w:tcPr>
            <w:tcW w:w="4800" w:type="dxa"/>
            <w:gridSpan w:val="5"/>
            <w:hideMark/>
          </w:tcPr>
          <w:p w:rsidR="00063730" w:rsidRPr="00063730" w:rsidRDefault="00063730" w:rsidP="00063730">
            <w:pPr>
              <w:rPr>
                <w:b/>
                <w:bCs/>
              </w:rPr>
            </w:pPr>
            <w:r w:rsidRPr="00063730">
              <w:rPr>
                <w:b/>
                <w:bCs/>
              </w:rPr>
              <w:t>Gender</w:t>
            </w:r>
          </w:p>
        </w:tc>
      </w:tr>
      <w:tr w:rsidR="00063730" w:rsidRPr="00063730" w:rsidTr="00063730">
        <w:trPr>
          <w:trHeight w:val="290"/>
        </w:trPr>
        <w:tc>
          <w:tcPr>
            <w:tcW w:w="1952" w:type="dxa"/>
            <w:gridSpan w:val="2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1551" w:type="dxa"/>
            <w:hideMark/>
          </w:tcPr>
          <w:p w:rsidR="00063730" w:rsidRPr="00063730" w:rsidRDefault="00063730" w:rsidP="00063730">
            <w:r w:rsidRPr="00063730">
              <w:t>Value</w:t>
            </w:r>
          </w:p>
        </w:tc>
        <w:tc>
          <w:tcPr>
            <w:tcW w:w="591" w:type="dxa"/>
            <w:hideMark/>
          </w:tcPr>
          <w:p w:rsidR="00063730" w:rsidRPr="00063730" w:rsidRDefault="00063730" w:rsidP="00063730">
            <w:r w:rsidRPr="00063730">
              <w:t>Count</w:t>
            </w:r>
          </w:p>
        </w:tc>
        <w:tc>
          <w:tcPr>
            <w:tcW w:w="706" w:type="dxa"/>
            <w:hideMark/>
          </w:tcPr>
          <w:p w:rsidR="00063730" w:rsidRPr="00063730" w:rsidRDefault="00063730" w:rsidP="00063730">
            <w:r w:rsidRPr="00063730">
              <w:t>Percent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Standard Attributes</w:t>
            </w:r>
          </w:p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Position</w:t>
            </w:r>
          </w:p>
        </w:tc>
        <w:tc>
          <w:tcPr>
            <w:tcW w:w="1551" w:type="dxa"/>
            <w:noWrap/>
            <w:hideMark/>
          </w:tcPr>
          <w:p w:rsidR="00063730" w:rsidRPr="00063730" w:rsidRDefault="00063730" w:rsidP="00063730">
            <w:r w:rsidRPr="00063730">
              <w:t>1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138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Label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Pr>
              <w:rPr>
                <w:lang w:val="da-DK"/>
              </w:rPr>
            </w:pPr>
            <w:r w:rsidRPr="00063730">
              <w:rPr>
                <w:lang w:val="da-DK"/>
              </w:rPr>
              <w:t>Jeg skal lige spørge dig, er du mand eller kvinde?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pPr>
              <w:rPr>
                <w:lang w:val="da-DK"/>
              </w:rPr>
            </w:pPr>
            <w:r w:rsidRPr="00063730">
              <w:rPr>
                <w:lang w:val="da-DK"/>
              </w:rPr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pPr>
              <w:rPr>
                <w:lang w:val="da-DK"/>
              </w:rPr>
            </w:pPr>
            <w:r w:rsidRPr="00063730">
              <w:rPr>
                <w:lang w:val="da-DK"/>
              </w:rPr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>
            <w:pPr>
              <w:rPr>
                <w:lang w:val="da-DK"/>
              </w:rPr>
            </w:pPr>
          </w:p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Type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Numeric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Format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F8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Measurement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Nominal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Role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Input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Valid Values</w:t>
            </w:r>
          </w:p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1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Mand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750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40,0%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2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Kvinde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1127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60,0%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8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Nægter</w:t>
            </w:r>
            <w:proofErr w:type="spellEnd"/>
            <w:r w:rsidRPr="00063730">
              <w:t xml:space="preserve"> at </w:t>
            </w:r>
            <w:proofErr w:type="spellStart"/>
            <w:r w:rsidRPr="00063730">
              <w:t>svare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0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0,0%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9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Ved</w:t>
            </w:r>
            <w:proofErr w:type="spellEnd"/>
            <w:r w:rsidRPr="00063730">
              <w:t xml:space="preserve"> </w:t>
            </w:r>
            <w:proofErr w:type="spellStart"/>
            <w:r w:rsidRPr="00063730">
              <w:t>ikke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0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0,0%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noWrap/>
            <w:hideMark/>
          </w:tcPr>
          <w:p w:rsidR="00063730" w:rsidRPr="00063730" w:rsidRDefault="00063730" w:rsidP="00063730"/>
        </w:tc>
        <w:tc>
          <w:tcPr>
            <w:tcW w:w="1131" w:type="dxa"/>
            <w:noWrap/>
            <w:hideMark/>
          </w:tcPr>
          <w:p w:rsidR="00063730" w:rsidRPr="00063730" w:rsidRDefault="00063730"/>
        </w:tc>
        <w:tc>
          <w:tcPr>
            <w:tcW w:w="1551" w:type="dxa"/>
            <w:noWrap/>
            <w:hideMark/>
          </w:tcPr>
          <w:p w:rsidR="00063730" w:rsidRPr="00063730" w:rsidRDefault="00063730"/>
        </w:tc>
        <w:tc>
          <w:tcPr>
            <w:tcW w:w="591" w:type="dxa"/>
            <w:noWrap/>
            <w:hideMark/>
          </w:tcPr>
          <w:p w:rsidR="00063730" w:rsidRPr="00063730" w:rsidRDefault="00063730"/>
        </w:tc>
        <w:tc>
          <w:tcPr>
            <w:tcW w:w="706" w:type="dxa"/>
            <w:noWrap/>
            <w:hideMark/>
          </w:tcPr>
          <w:p w:rsidR="00063730" w:rsidRPr="00063730" w:rsidRDefault="00063730"/>
        </w:tc>
      </w:tr>
      <w:tr w:rsidR="00063730" w:rsidRPr="00063730" w:rsidTr="00063730">
        <w:trPr>
          <w:trHeight w:val="290"/>
        </w:trPr>
        <w:tc>
          <w:tcPr>
            <w:tcW w:w="4800" w:type="dxa"/>
            <w:gridSpan w:val="5"/>
            <w:hideMark/>
          </w:tcPr>
          <w:p w:rsidR="00063730" w:rsidRPr="00063730" w:rsidRDefault="00063730" w:rsidP="00063730">
            <w:pPr>
              <w:rPr>
                <w:b/>
                <w:bCs/>
              </w:rPr>
            </w:pPr>
            <w:proofErr w:type="spellStart"/>
            <w:r w:rsidRPr="00063730">
              <w:rPr>
                <w:b/>
                <w:bCs/>
              </w:rPr>
              <w:t>Husstandny</w:t>
            </w:r>
            <w:proofErr w:type="spellEnd"/>
          </w:p>
        </w:tc>
      </w:tr>
      <w:tr w:rsidR="00063730" w:rsidRPr="00063730" w:rsidTr="00063730">
        <w:trPr>
          <w:trHeight w:val="290"/>
        </w:trPr>
        <w:tc>
          <w:tcPr>
            <w:tcW w:w="1952" w:type="dxa"/>
            <w:gridSpan w:val="2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1551" w:type="dxa"/>
            <w:hideMark/>
          </w:tcPr>
          <w:p w:rsidR="00063730" w:rsidRPr="00063730" w:rsidRDefault="00063730" w:rsidP="00063730">
            <w:r w:rsidRPr="00063730">
              <w:t>Value</w:t>
            </w:r>
          </w:p>
        </w:tc>
        <w:tc>
          <w:tcPr>
            <w:tcW w:w="591" w:type="dxa"/>
            <w:hideMark/>
          </w:tcPr>
          <w:p w:rsidR="00063730" w:rsidRPr="00063730" w:rsidRDefault="00063730" w:rsidP="00063730">
            <w:r w:rsidRPr="00063730">
              <w:t>Count</w:t>
            </w:r>
          </w:p>
        </w:tc>
        <w:tc>
          <w:tcPr>
            <w:tcW w:w="706" w:type="dxa"/>
            <w:hideMark/>
          </w:tcPr>
          <w:p w:rsidR="00063730" w:rsidRPr="00063730" w:rsidRDefault="00063730" w:rsidP="00063730">
            <w:r w:rsidRPr="00063730">
              <w:t>Percent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Standard Attributes</w:t>
            </w:r>
          </w:p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Position</w:t>
            </w:r>
          </w:p>
        </w:tc>
        <w:tc>
          <w:tcPr>
            <w:tcW w:w="1551" w:type="dxa"/>
            <w:noWrap/>
            <w:hideMark/>
          </w:tcPr>
          <w:p w:rsidR="00063730" w:rsidRPr="00063730" w:rsidRDefault="00063730" w:rsidP="00063730">
            <w:r w:rsidRPr="00063730">
              <w:t>2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Label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&lt;none&gt;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Type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Numeric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Format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F8.2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Measurement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Nominal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Role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Input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Valid Values</w:t>
            </w:r>
          </w:p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1,00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Lives alone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367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19,6%</w:t>
            </w:r>
          </w:p>
        </w:tc>
      </w:tr>
      <w:tr w:rsidR="00063730" w:rsidRPr="00063730" w:rsidTr="00063730">
        <w:trPr>
          <w:trHeight w:val="92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2,00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 xml:space="preserve">Couple (or other </w:t>
            </w:r>
            <w:proofErr w:type="spellStart"/>
            <w:r w:rsidRPr="00063730">
              <w:t>constelation</w:t>
            </w:r>
            <w:proofErr w:type="spellEnd"/>
            <w:r w:rsidRPr="00063730">
              <w:t>)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567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30,2%</w:t>
            </w:r>
          </w:p>
        </w:tc>
      </w:tr>
      <w:tr w:rsidR="00063730" w:rsidRPr="00063730" w:rsidTr="00063730">
        <w:trPr>
          <w:trHeight w:val="6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3,00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Couple with 1 child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178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9,5%</w:t>
            </w:r>
          </w:p>
        </w:tc>
      </w:tr>
      <w:tr w:rsidR="00063730" w:rsidRPr="00063730" w:rsidTr="00063730">
        <w:trPr>
          <w:trHeight w:val="6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4,00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Couple with 2 children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173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9,2%</w:t>
            </w:r>
          </w:p>
        </w:tc>
      </w:tr>
      <w:tr w:rsidR="00063730" w:rsidRPr="00063730" w:rsidTr="00063730">
        <w:trPr>
          <w:trHeight w:val="92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5,00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Couple with 3 or more children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82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4,4%</w:t>
            </w:r>
          </w:p>
        </w:tc>
      </w:tr>
      <w:tr w:rsidR="00063730" w:rsidRPr="00063730" w:rsidTr="00063730">
        <w:trPr>
          <w:trHeight w:val="6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6,00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Sinple</w:t>
            </w:r>
            <w:proofErr w:type="spellEnd"/>
            <w:r w:rsidRPr="00063730">
              <w:t xml:space="preserve"> parent w 1 child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300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16,0%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7,00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Single parent with 2 children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154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8,2%</w:t>
            </w:r>
          </w:p>
        </w:tc>
      </w:tr>
      <w:tr w:rsidR="00063730" w:rsidRPr="00063730" w:rsidTr="00063730">
        <w:trPr>
          <w:trHeight w:val="115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8,00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Single parent with 3 or more children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42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2,2%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hideMark/>
          </w:tcPr>
          <w:p w:rsidR="00063730" w:rsidRPr="00063730" w:rsidRDefault="00063730">
            <w:r w:rsidRPr="00063730">
              <w:lastRenderedPageBreak/>
              <w:t>Missing Values</w:t>
            </w:r>
          </w:p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System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14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0,7%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noWrap/>
            <w:hideMark/>
          </w:tcPr>
          <w:p w:rsidR="00063730" w:rsidRPr="00063730" w:rsidRDefault="00063730" w:rsidP="00063730"/>
        </w:tc>
        <w:tc>
          <w:tcPr>
            <w:tcW w:w="1131" w:type="dxa"/>
            <w:noWrap/>
            <w:hideMark/>
          </w:tcPr>
          <w:p w:rsidR="00063730" w:rsidRPr="00063730" w:rsidRDefault="00063730"/>
        </w:tc>
        <w:tc>
          <w:tcPr>
            <w:tcW w:w="1551" w:type="dxa"/>
            <w:noWrap/>
            <w:hideMark/>
          </w:tcPr>
          <w:p w:rsidR="00063730" w:rsidRPr="00063730" w:rsidRDefault="00063730"/>
        </w:tc>
        <w:tc>
          <w:tcPr>
            <w:tcW w:w="591" w:type="dxa"/>
            <w:noWrap/>
            <w:hideMark/>
          </w:tcPr>
          <w:p w:rsidR="00063730" w:rsidRPr="00063730" w:rsidRDefault="00063730"/>
        </w:tc>
        <w:tc>
          <w:tcPr>
            <w:tcW w:w="706" w:type="dxa"/>
            <w:noWrap/>
            <w:hideMark/>
          </w:tcPr>
          <w:p w:rsidR="00063730" w:rsidRPr="00063730" w:rsidRDefault="00063730"/>
        </w:tc>
      </w:tr>
      <w:tr w:rsidR="00063730" w:rsidRPr="00063730" w:rsidTr="00063730">
        <w:trPr>
          <w:trHeight w:val="290"/>
        </w:trPr>
        <w:tc>
          <w:tcPr>
            <w:tcW w:w="4800" w:type="dxa"/>
            <w:gridSpan w:val="5"/>
            <w:hideMark/>
          </w:tcPr>
          <w:p w:rsidR="00063730" w:rsidRPr="00063730" w:rsidRDefault="00063730" w:rsidP="00063730">
            <w:pPr>
              <w:rPr>
                <w:b/>
                <w:bCs/>
              </w:rPr>
            </w:pPr>
            <w:proofErr w:type="spellStart"/>
            <w:r w:rsidRPr="00063730">
              <w:rPr>
                <w:b/>
                <w:bCs/>
              </w:rPr>
              <w:t>husstand</w:t>
            </w:r>
            <w:proofErr w:type="spellEnd"/>
          </w:p>
        </w:tc>
      </w:tr>
      <w:tr w:rsidR="00063730" w:rsidRPr="00063730" w:rsidTr="00063730">
        <w:trPr>
          <w:trHeight w:val="290"/>
        </w:trPr>
        <w:tc>
          <w:tcPr>
            <w:tcW w:w="1952" w:type="dxa"/>
            <w:gridSpan w:val="2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1551" w:type="dxa"/>
            <w:hideMark/>
          </w:tcPr>
          <w:p w:rsidR="00063730" w:rsidRPr="00063730" w:rsidRDefault="00063730" w:rsidP="00063730">
            <w:r w:rsidRPr="00063730">
              <w:t>Value</w:t>
            </w:r>
          </w:p>
        </w:tc>
        <w:tc>
          <w:tcPr>
            <w:tcW w:w="591" w:type="dxa"/>
            <w:hideMark/>
          </w:tcPr>
          <w:p w:rsidR="00063730" w:rsidRPr="00063730" w:rsidRDefault="00063730" w:rsidP="00063730">
            <w:r w:rsidRPr="00063730">
              <w:t>Count</w:t>
            </w:r>
          </w:p>
        </w:tc>
        <w:tc>
          <w:tcPr>
            <w:tcW w:w="706" w:type="dxa"/>
            <w:hideMark/>
          </w:tcPr>
          <w:p w:rsidR="00063730" w:rsidRPr="00063730" w:rsidRDefault="00063730" w:rsidP="00063730">
            <w:r w:rsidRPr="00063730">
              <w:t>Percent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Standard Attributes</w:t>
            </w:r>
          </w:p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Position</w:t>
            </w:r>
          </w:p>
        </w:tc>
        <w:tc>
          <w:tcPr>
            <w:tcW w:w="1551" w:type="dxa"/>
            <w:noWrap/>
            <w:hideMark/>
          </w:tcPr>
          <w:p w:rsidR="00063730" w:rsidRPr="00063730" w:rsidRDefault="00063730" w:rsidP="00063730">
            <w:r w:rsidRPr="00063730">
              <w:t>3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Label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&lt;none&gt;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Type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Numeric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Format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F8.2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Measurement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Nominal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Role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Input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Valid Values</w:t>
            </w:r>
          </w:p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1,00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Bor</w:t>
            </w:r>
            <w:proofErr w:type="spellEnd"/>
            <w:r w:rsidRPr="00063730">
              <w:t xml:space="preserve"> </w:t>
            </w:r>
            <w:proofErr w:type="spellStart"/>
            <w:r w:rsidRPr="00063730">
              <w:t>alene</w:t>
            </w:r>
            <w:proofErr w:type="spellEnd"/>
            <w:r w:rsidRPr="00063730">
              <w:t xml:space="preserve"> </w:t>
            </w:r>
            <w:proofErr w:type="spellStart"/>
            <w:r w:rsidRPr="00063730">
              <w:t>uden</w:t>
            </w:r>
            <w:proofErr w:type="spellEnd"/>
            <w:r w:rsidRPr="00063730">
              <w:t xml:space="preserve"> </w:t>
            </w:r>
            <w:proofErr w:type="spellStart"/>
            <w:r w:rsidRPr="00063730">
              <w:t>børn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367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19,6%</w:t>
            </w:r>
          </w:p>
        </w:tc>
      </w:tr>
      <w:tr w:rsidR="00063730" w:rsidRPr="00063730" w:rsidTr="00063730">
        <w:trPr>
          <w:trHeight w:val="115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2,00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Pr>
              <w:rPr>
                <w:lang w:val="da-DK"/>
              </w:rPr>
            </w:pPr>
            <w:r w:rsidRPr="00063730">
              <w:rPr>
                <w:lang w:val="da-DK"/>
              </w:rPr>
              <w:t>Par uden børn eller anden familiekonstellation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567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30,2%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3,00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 xml:space="preserve">Par med </w:t>
            </w:r>
            <w:proofErr w:type="spellStart"/>
            <w:r w:rsidRPr="00063730">
              <w:t>børn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433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23,1%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4,00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Bor</w:t>
            </w:r>
            <w:proofErr w:type="spellEnd"/>
            <w:r w:rsidRPr="00063730">
              <w:t xml:space="preserve"> </w:t>
            </w:r>
            <w:proofErr w:type="spellStart"/>
            <w:r w:rsidRPr="00063730">
              <w:t>alene</w:t>
            </w:r>
            <w:proofErr w:type="spellEnd"/>
            <w:r w:rsidRPr="00063730">
              <w:t xml:space="preserve"> med </w:t>
            </w:r>
            <w:proofErr w:type="spellStart"/>
            <w:r w:rsidRPr="00063730">
              <w:t>børn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496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26,4%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999,00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14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0,7%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noWrap/>
            <w:hideMark/>
          </w:tcPr>
          <w:p w:rsidR="00063730" w:rsidRPr="00063730" w:rsidRDefault="00063730" w:rsidP="00063730"/>
        </w:tc>
        <w:tc>
          <w:tcPr>
            <w:tcW w:w="1131" w:type="dxa"/>
            <w:noWrap/>
            <w:hideMark/>
          </w:tcPr>
          <w:p w:rsidR="00063730" w:rsidRPr="00063730" w:rsidRDefault="00063730"/>
        </w:tc>
        <w:tc>
          <w:tcPr>
            <w:tcW w:w="1551" w:type="dxa"/>
            <w:noWrap/>
            <w:hideMark/>
          </w:tcPr>
          <w:p w:rsidR="00063730" w:rsidRPr="00063730" w:rsidRDefault="00063730"/>
        </w:tc>
        <w:tc>
          <w:tcPr>
            <w:tcW w:w="591" w:type="dxa"/>
            <w:noWrap/>
            <w:hideMark/>
          </w:tcPr>
          <w:p w:rsidR="00063730" w:rsidRPr="00063730" w:rsidRDefault="00063730"/>
        </w:tc>
        <w:tc>
          <w:tcPr>
            <w:tcW w:w="706" w:type="dxa"/>
            <w:noWrap/>
            <w:hideMark/>
          </w:tcPr>
          <w:p w:rsidR="00063730" w:rsidRPr="00063730" w:rsidRDefault="00063730"/>
        </w:tc>
      </w:tr>
      <w:tr w:rsidR="00063730" w:rsidRPr="00063730" w:rsidTr="00063730">
        <w:trPr>
          <w:trHeight w:val="290"/>
        </w:trPr>
        <w:tc>
          <w:tcPr>
            <w:tcW w:w="4800" w:type="dxa"/>
            <w:gridSpan w:val="5"/>
            <w:hideMark/>
          </w:tcPr>
          <w:p w:rsidR="00063730" w:rsidRDefault="00063730" w:rsidP="00063730">
            <w:pPr>
              <w:rPr>
                <w:b/>
                <w:bCs/>
              </w:rPr>
            </w:pPr>
            <w:r w:rsidRPr="00063730">
              <w:rPr>
                <w:b/>
                <w:bCs/>
              </w:rPr>
              <w:t>FamilieIndkomst_4grupper</w:t>
            </w:r>
          </w:p>
          <w:p w:rsidR="00063730" w:rsidRPr="00063730" w:rsidRDefault="00063730" w:rsidP="00063730">
            <w:pPr>
              <w:rPr>
                <w:bCs/>
                <w:highlight w:val="yellow"/>
                <w:lang w:val="da-DK"/>
              </w:rPr>
            </w:pPr>
            <w:r w:rsidRPr="00063730">
              <w:rPr>
                <w:bCs/>
                <w:highlight w:val="yellow"/>
                <w:lang w:val="da-DK"/>
              </w:rPr>
              <w:t xml:space="preserve">Dette er en registervariabel fra Danmarks Statistik, som er </w:t>
            </w:r>
            <w:proofErr w:type="spellStart"/>
            <w:r w:rsidRPr="00063730">
              <w:rPr>
                <w:bCs/>
                <w:highlight w:val="yellow"/>
                <w:lang w:val="da-DK"/>
              </w:rPr>
              <w:t>omkodet</w:t>
            </w:r>
            <w:proofErr w:type="spellEnd"/>
            <w:r w:rsidRPr="00063730">
              <w:rPr>
                <w:bCs/>
                <w:highlight w:val="yellow"/>
                <w:lang w:val="da-DK"/>
              </w:rPr>
              <w:t xml:space="preserve"> til fire kategorier: </w:t>
            </w:r>
          </w:p>
          <w:p w:rsidR="00063730" w:rsidRPr="00063730" w:rsidRDefault="00063730" w:rsidP="00063730">
            <w:pPr>
              <w:rPr>
                <w:b/>
                <w:bCs/>
                <w:lang w:val="da-DK"/>
              </w:rPr>
            </w:pPr>
            <w:r w:rsidRPr="00063730">
              <w:rPr>
                <w:bCs/>
                <w:highlight w:val="yellow"/>
                <w:lang w:val="da-DK"/>
              </w:rPr>
              <w:t>https://www.dst.dk/da/Statistik/dokumentation/Times/familieindkomst/famindkomstialt-13</w:t>
            </w:r>
          </w:p>
        </w:tc>
      </w:tr>
      <w:tr w:rsidR="00063730" w:rsidRPr="00063730" w:rsidTr="00063730">
        <w:trPr>
          <w:trHeight w:val="290"/>
        </w:trPr>
        <w:tc>
          <w:tcPr>
            <w:tcW w:w="1952" w:type="dxa"/>
            <w:gridSpan w:val="2"/>
            <w:hideMark/>
          </w:tcPr>
          <w:p w:rsidR="00063730" w:rsidRPr="00063730" w:rsidRDefault="00063730">
            <w:pPr>
              <w:rPr>
                <w:lang w:val="da-DK"/>
              </w:rPr>
            </w:pPr>
            <w:r w:rsidRPr="00063730">
              <w:rPr>
                <w:lang w:val="da-DK"/>
              </w:rPr>
              <w:t> </w:t>
            </w:r>
          </w:p>
        </w:tc>
        <w:tc>
          <w:tcPr>
            <w:tcW w:w="1551" w:type="dxa"/>
            <w:hideMark/>
          </w:tcPr>
          <w:p w:rsidR="00063730" w:rsidRPr="00063730" w:rsidRDefault="00063730" w:rsidP="00063730">
            <w:r w:rsidRPr="00063730">
              <w:t>Value</w:t>
            </w:r>
          </w:p>
        </w:tc>
        <w:tc>
          <w:tcPr>
            <w:tcW w:w="591" w:type="dxa"/>
            <w:hideMark/>
          </w:tcPr>
          <w:p w:rsidR="00063730" w:rsidRPr="00063730" w:rsidRDefault="00063730" w:rsidP="00063730">
            <w:r w:rsidRPr="00063730">
              <w:t>Count</w:t>
            </w:r>
          </w:p>
        </w:tc>
        <w:tc>
          <w:tcPr>
            <w:tcW w:w="706" w:type="dxa"/>
            <w:hideMark/>
          </w:tcPr>
          <w:p w:rsidR="00063730" w:rsidRPr="00063730" w:rsidRDefault="00063730" w:rsidP="00063730">
            <w:r w:rsidRPr="00063730">
              <w:t>Percent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Standard Attributes</w:t>
            </w:r>
          </w:p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Position</w:t>
            </w:r>
          </w:p>
        </w:tc>
        <w:tc>
          <w:tcPr>
            <w:tcW w:w="1551" w:type="dxa"/>
            <w:noWrap/>
            <w:hideMark/>
          </w:tcPr>
          <w:p w:rsidR="00063730" w:rsidRPr="00063730" w:rsidRDefault="00063730" w:rsidP="00063730">
            <w:r w:rsidRPr="00063730">
              <w:t>4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Label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&lt;none&gt;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Type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Numeric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Format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F8.2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Measurement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Nominal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Role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Input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Valid Values</w:t>
            </w:r>
          </w:p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1,00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Kvartil</w:t>
            </w:r>
            <w:proofErr w:type="spellEnd"/>
            <w:r w:rsidRPr="00063730">
              <w:t xml:space="preserve"> 1 (</w:t>
            </w:r>
            <w:proofErr w:type="spellStart"/>
            <w:r w:rsidRPr="00063730">
              <w:t>laveste</w:t>
            </w:r>
            <w:proofErr w:type="spellEnd"/>
            <w:r w:rsidRPr="00063730">
              <w:t>)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829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44,2%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2,00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Kvartil</w:t>
            </w:r>
            <w:proofErr w:type="spellEnd"/>
            <w:r w:rsidRPr="00063730">
              <w:t xml:space="preserve"> 2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366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19,5%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3,00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Kvartil</w:t>
            </w:r>
            <w:proofErr w:type="spellEnd"/>
            <w:r w:rsidRPr="00063730">
              <w:t xml:space="preserve"> 3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394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21,0%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4,00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Kvartil</w:t>
            </w:r>
            <w:proofErr w:type="spellEnd"/>
            <w:r w:rsidRPr="00063730">
              <w:t xml:space="preserve"> 4 (</w:t>
            </w:r>
            <w:proofErr w:type="spellStart"/>
            <w:r w:rsidRPr="00063730">
              <w:t>højeste</w:t>
            </w:r>
            <w:proofErr w:type="spellEnd"/>
            <w:r w:rsidRPr="00063730">
              <w:t>)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288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15,3%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noWrap/>
            <w:hideMark/>
          </w:tcPr>
          <w:p w:rsidR="00063730" w:rsidRPr="00063730" w:rsidRDefault="00063730" w:rsidP="00063730"/>
        </w:tc>
        <w:tc>
          <w:tcPr>
            <w:tcW w:w="1131" w:type="dxa"/>
            <w:noWrap/>
            <w:hideMark/>
          </w:tcPr>
          <w:p w:rsidR="00063730" w:rsidRPr="00063730" w:rsidRDefault="00063730"/>
        </w:tc>
        <w:tc>
          <w:tcPr>
            <w:tcW w:w="1551" w:type="dxa"/>
            <w:noWrap/>
            <w:hideMark/>
          </w:tcPr>
          <w:p w:rsidR="00063730" w:rsidRPr="00063730" w:rsidRDefault="00063730"/>
        </w:tc>
        <w:tc>
          <w:tcPr>
            <w:tcW w:w="591" w:type="dxa"/>
            <w:noWrap/>
            <w:hideMark/>
          </w:tcPr>
          <w:p w:rsidR="00063730" w:rsidRPr="00063730" w:rsidRDefault="00063730"/>
        </w:tc>
        <w:tc>
          <w:tcPr>
            <w:tcW w:w="706" w:type="dxa"/>
            <w:noWrap/>
            <w:hideMark/>
          </w:tcPr>
          <w:p w:rsidR="00063730" w:rsidRPr="00063730" w:rsidRDefault="00063730"/>
        </w:tc>
      </w:tr>
      <w:tr w:rsidR="00063730" w:rsidRPr="00063730" w:rsidTr="00063730">
        <w:trPr>
          <w:trHeight w:val="290"/>
        </w:trPr>
        <w:tc>
          <w:tcPr>
            <w:tcW w:w="4800" w:type="dxa"/>
            <w:gridSpan w:val="5"/>
            <w:hideMark/>
          </w:tcPr>
          <w:p w:rsidR="00063730" w:rsidRDefault="00063730" w:rsidP="00063730">
            <w:pPr>
              <w:rPr>
                <w:b/>
                <w:bCs/>
              </w:rPr>
            </w:pPr>
            <w:proofErr w:type="spellStart"/>
            <w:r w:rsidRPr="00063730">
              <w:rPr>
                <w:b/>
                <w:bCs/>
              </w:rPr>
              <w:t>USDA_foodinsecurity_DICH</w:t>
            </w:r>
            <w:proofErr w:type="spellEnd"/>
          </w:p>
          <w:p w:rsidR="00063730" w:rsidRDefault="00063730" w:rsidP="006616E1">
            <w:pPr>
              <w:rPr>
                <w:bCs/>
                <w:lang w:val="da-DK"/>
              </w:rPr>
            </w:pPr>
            <w:r w:rsidRPr="00063730">
              <w:rPr>
                <w:bCs/>
                <w:lang w:val="da-DK"/>
              </w:rPr>
              <w:t xml:space="preserve">Dette er et </w:t>
            </w:r>
            <w:r w:rsidR="004A3F07">
              <w:rPr>
                <w:bCs/>
                <w:lang w:val="da-DK"/>
              </w:rPr>
              <w:t xml:space="preserve">oprindeligt </w:t>
            </w:r>
            <w:proofErr w:type="spellStart"/>
            <w:r w:rsidR="004A3F07">
              <w:rPr>
                <w:bCs/>
                <w:lang w:val="da-DK"/>
              </w:rPr>
              <w:t>amerikansn</w:t>
            </w:r>
            <w:proofErr w:type="spellEnd"/>
            <w:r w:rsidR="004A3F07">
              <w:rPr>
                <w:bCs/>
                <w:lang w:val="da-DK"/>
              </w:rPr>
              <w:t xml:space="preserve"> </w:t>
            </w:r>
            <w:r w:rsidRPr="00063730">
              <w:rPr>
                <w:bCs/>
                <w:lang w:val="da-DK"/>
              </w:rPr>
              <w:t xml:space="preserve">mål for </w:t>
            </w:r>
            <w:proofErr w:type="spellStart"/>
            <w:r w:rsidRPr="00063730">
              <w:rPr>
                <w:bCs/>
                <w:lang w:val="da-DK"/>
              </w:rPr>
              <w:t>food</w:t>
            </w:r>
            <w:proofErr w:type="spellEnd"/>
            <w:r w:rsidRPr="00063730">
              <w:rPr>
                <w:bCs/>
                <w:lang w:val="da-DK"/>
              </w:rPr>
              <w:t xml:space="preserve"> </w:t>
            </w:r>
            <w:proofErr w:type="spellStart"/>
            <w:r w:rsidRPr="00063730">
              <w:rPr>
                <w:bCs/>
                <w:lang w:val="da-DK"/>
              </w:rPr>
              <w:t>insecurity</w:t>
            </w:r>
            <w:proofErr w:type="spellEnd"/>
            <w:r w:rsidRPr="00063730">
              <w:rPr>
                <w:bCs/>
                <w:lang w:val="da-DK"/>
              </w:rPr>
              <w:t xml:space="preserve"> (eller fødevaresikkerhed)</w:t>
            </w:r>
            <w:r w:rsidR="006616E1">
              <w:rPr>
                <w:bCs/>
                <w:lang w:val="da-DK"/>
              </w:rPr>
              <w:t xml:space="preserve">, som er oversat til dansk. </w:t>
            </w:r>
          </w:p>
          <w:p w:rsidR="006616E1" w:rsidRDefault="006616E1" w:rsidP="006616E1">
            <w:pPr>
              <w:rPr>
                <w:bCs/>
                <w:lang w:val="da-DK"/>
              </w:rPr>
            </w:pPr>
            <w:r>
              <w:rPr>
                <w:bCs/>
                <w:lang w:val="da-DK"/>
              </w:rPr>
              <w:t xml:space="preserve">Det bygger på seks spørgsmål, som </w:t>
            </w:r>
            <w:r w:rsidR="004A3F07">
              <w:rPr>
                <w:bCs/>
                <w:lang w:val="da-DK"/>
              </w:rPr>
              <w:t>respondenterne</w:t>
            </w:r>
            <w:r>
              <w:rPr>
                <w:bCs/>
                <w:lang w:val="da-DK"/>
              </w:rPr>
              <w:t xml:space="preserve"> skal svare på gennem hvilket de enten klassificeres som Food </w:t>
            </w:r>
            <w:proofErr w:type="spellStart"/>
            <w:r>
              <w:rPr>
                <w:bCs/>
                <w:lang w:val="da-DK"/>
              </w:rPr>
              <w:t>secure</w:t>
            </w:r>
            <w:proofErr w:type="spellEnd"/>
            <w:r>
              <w:rPr>
                <w:bCs/>
                <w:lang w:val="da-DK"/>
              </w:rPr>
              <w:t xml:space="preserve">, </w:t>
            </w:r>
            <w:r w:rsidR="004A3F07">
              <w:rPr>
                <w:bCs/>
                <w:lang w:val="da-DK"/>
              </w:rPr>
              <w:t xml:space="preserve">eller Low </w:t>
            </w:r>
            <w:proofErr w:type="spellStart"/>
            <w:r w:rsidR="004A3F07">
              <w:rPr>
                <w:bCs/>
                <w:lang w:val="da-DK"/>
              </w:rPr>
              <w:t>food</w:t>
            </w:r>
            <w:proofErr w:type="spellEnd"/>
            <w:r w:rsidR="004A3F07">
              <w:rPr>
                <w:bCs/>
                <w:lang w:val="da-DK"/>
              </w:rPr>
              <w:t xml:space="preserve"> </w:t>
            </w:r>
            <w:proofErr w:type="spellStart"/>
            <w:r w:rsidR="004A3F07">
              <w:rPr>
                <w:bCs/>
                <w:lang w:val="da-DK"/>
              </w:rPr>
              <w:t>secure</w:t>
            </w:r>
            <w:proofErr w:type="spellEnd"/>
            <w:r w:rsidR="004A3F07">
              <w:rPr>
                <w:bCs/>
                <w:lang w:val="da-DK"/>
              </w:rPr>
              <w:t>.</w:t>
            </w:r>
            <w:r>
              <w:rPr>
                <w:bCs/>
                <w:lang w:val="da-DK"/>
              </w:rPr>
              <w:t xml:space="preserve"> </w:t>
            </w:r>
          </w:p>
          <w:p w:rsidR="006616E1" w:rsidRDefault="006616E1" w:rsidP="006616E1">
            <w:pPr>
              <w:rPr>
                <w:bCs/>
                <w:lang w:val="da-DK"/>
              </w:rPr>
            </w:pPr>
            <w:hyperlink r:id="rId4" w:history="1">
              <w:r w:rsidRPr="002E3166">
                <w:rPr>
                  <w:rStyle w:val="Hyperlink"/>
                  <w:bCs/>
                  <w:lang w:val="da-DK"/>
                </w:rPr>
                <w:t>https://www.ers.usda.gov/media/8282/short2012.pdf</w:t>
              </w:r>
            </w:hyperlink>
          </w:p>
          <w:p w:rsidR="006616E1" w:rsidRPr="00063730" w:rsidRDefault="006616E1" w:rsidP="006616E1">
            <w:pPr>
              <w:rPr>
                <w:bCs/>
                <w:lang w:val="da-DK"/>
              </w:rPr>
            </w:pPr>
          </w:p>
        </w:tc>
      </w:tr>
      <w:tr w:rsidR="00063730" w:rsidRPr="00063730" w:rsidTr="00063730">
        <w:trPr>
          <w:trHeight w:val="290"/>
        </w:trPr>
        <w:tc>
          <w:tcPr>
            <w:tcW w:w="1952" w:type="dxa"/>
            <w:gridSpan w:val="2"/>
            <w:hideMark/>
          </w:tcPr>
          <w:p w:rsidR="00063730" w:rsidRPr="00063730" w:rsidRDefault="00063730">
            <w:pPr>
              <w:rPr>
                <w:lang w:val="da-DK"/>
              </w:rPr>
            </w:pPr>
            <w:r w:rsidRPr="00063730">
              <w:rPr>
                <w:lang w:val="da-DK"/>
              </w:rPr>
              <w:t> </w:t>
            </w:r>
          </w:p>
        </w:tc>
        <w:tc>
          <w:tcPr>
            <w:tcW w:w="1551" w:type="dxa"/>
            <w:hideMark/>
          </w:tcPr>
          <w:p w:rsidR="00063730" w:rsidRPr="00063730" w:rsidRDefault="00063730" w:rsidP="00063730">
            <w:r w:rsidRPr="00063730">
              <w:t>Value</w:t>
            </w:r>
          </w:p>
        </w:tc>
        <w:tc>
          <w:tcPr>
            <w:tcW w:w="591" w:type="dxa"/>
            <w:hideMark/>
          </w:tcPr>
          <w:p w:rsidR="00063730" w:rsidRPr="00063730" w:rsidRDefault="00063730" w:rsidP="00063730">
            <w:r w:rsidRPr="00063730">
              <w:t>Count</w:t>
            </w:r>
          </w:p>
        </w:tc>
        <w:tc>
          <w:tcPr>
            <w:tcW w:w="706" w:type="dxa"/>
            <w:hideMark/>
          </w:tcPr>
          <w:p w:rsidR="00063730" w:rsidRPr="00063730" w:rsidRDefault="00063730" w:rsidP="00063730">
            <w:r w:rsidRPr="00063730">
              <w:t>Percent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lastRenderedPageBreak/>
              <w:t>Standard Attributes</w:t>
            </w:r>
          </w:p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Position</w:t>
            </w:r>
          </w:p>
        </w:tc>
        <w:tc>
          <w:tcPr>
            <w:tcW w:w="1551" w:type="dxa"/>
            <w:noWrap/>
            <w:hideMark/>
          </w:tcPr>
          <w:p w:rsidR="00063730" w:rsidRPr="00063730" w:rsidRDefault="00063730" w:rsidP="00063730">
            <w:r w:rsidRPr="00063730">
              <w:t>5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Label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&lt;none&gt;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Type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Numeric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Format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F8.2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Measurement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Nominal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Role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Input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Valid Values</w:t>
            </w:r>
          </w:p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Food secure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1601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85,3%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1,00</w:t>
            </w:r>
          </w:p>
        </w:tc>
        <w:tc>
          <w:tcPr>
            <w:tcW w:w="1551" w:type="dxa"/>
            <w:hideMark/>
          </w:tcPr>
          <w:p w:rsidR="00063730" w:rsidRPr="00063730" w:rsidRDefault="004A3F07">
            <w:r>
              <w:t>Low food security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276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14,7%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noWrap/>
            <w:hideMark/>
          </w:tcPr>
          <w:p w:rsidR="00063730" w:rsidRPr="00063730" w:rsidRDefault="00063730" w:rsidP="00063730"/>
        </w:tc>
        <w:tc>
          <w:tcPr>
            <w:tcW w:w="1131" w:type="dxa"/>
            <w:noWrap/>
            <w:hideMark/>
          </w:tcPr>
          <w:p w:rsidR="00063730" w:rsidRPr="00063730" w:rsidRDefault="00063730"/>
        </w:tc>
        <w:tc>
          <w:tcPr>
            <w:tcW w:w="1551" w:type="dxa"/>
            <w:noWrap/>
            <w:hideMark/>
          </w:tcPr>
          <w:p w:rsidR="00063730" w:rsidRPr="00063730" w:rsidRDefault="00063730"/>
        </w:tc>
        <w:tc>
          <w:tcPr>
            <w:tcW w:w="591" w:type="dxa"/>
            <w:noWrap/>
            <w:hideMark/>
          </w:tcPr>
          <w:p w:rsidR="00063730" w:rsidRPr="00063730" w:rsidRDefault="00063730"/>
        </w:tc>
        <w:tc>
          <w:tcPr>
            <w:tcW w:w="706" w:type="dxa"/>
            <w:noWrap/>
            <w:hideMark/>
          </w:tcPr>
          <w:p w:rsidR="00063730" w:rsidRPr="00063730" w:rsidRDefault="00063730"/>
        </w:tc>
      </w:tr>
      <w:tr w:rsidR="00063730" w:rsidRPr="004A3F07" w:rsidTr="00063730">
        <w:trPr>
          <w:trHeight w:val="290"/>
        </w:trPr>
        <w:tc>
          <w:tcPr>
            <w:tcW w:w="4800" w:type="dxa"/>
            <w:gridSpan w:val="5"/>
            <w:hideMark/>
          </w:tcPr>
          <w:p w:rsidR="004A3F07" w:rsidRPr="004A3F07" w:rsidRDefault="00063730" w:rsidP="00063730">
            <w:pPr>
              <w:rPr>
                <w:b/>
                <w:bCs/>
                <w:lang w:val="da-DK"/>
              </w:rPr>
            </w:pPr>
            <w:proofErr w:type="spellStart"/>
            <w:r w:rsidRPr="004A3F07">
              <w:rPr>
                <w:b/>
                <w:bCs/>
                <w:lang w:val="da-DK"/>
              </w:rPr>
              <w:t>DQS_Cat</w:t>
            </w:r>
            <w:proofErr w:type="spellEnd"/>
          </w:p>
          <w:p w:rsidR="004A3F07" w:rsidRPr="004A3F07" w:rsidRDefault="004A3F07" w:rsidP="004A3F07">
            <w:pPr>
              <w:rPr>
                <w:bCs/>
                <w:lang w:val="da-DK"/>
              </w:rPr>
            </w:pPr>
            <w:r w:rsidRPr="004A3F07">
              <w:rPr>
                <w:bCs/>
                <w:lang w:val="da-DK"/>
              </w:rPr>
              <w:t xml:space="preserve">Dette er et mål for graden af sund kost, som danskere spiser. Der opdeles i tre graduerede grupper. </w:t>
            </w:r>
            <w:r w:rsidRPr="004A3F07">
              <w:rPr>
                <w:rFonts w:cstheme="minorHAnsi"/>
                <w:bCs/>
                <w:lang w:val="da-DK"/>
              </w:rPr>
              <w:t xml:space="preserve">Det er det samme kostmål, som bruges i </w:t>
            </w:r>
            <w:hyperlink r:id="rId5" w:history="1">
              <w:r w:rsidRPr="004A3F07">
                <w:rPr>
                  <w:rStyle w:val="Hyperlink"/>
                  <w:rFonts w:cstheme="minorHAnsi"/>
                  <w:bCs/>
                  <w:lang w:val="da-DK"/>
                </w:rPr>
                <w:t>www.DanskernesSundhed.dk</w:t>
              </w:r>
            </w:hyperlink>
            <w:r w:rsidR="0090299B">
              <w:rPr>
                <w:rFonts w:cstheme="minorHAnsi"/>
                <w:bCs/>
                <w:lang w:val="da-DK"/>
              </w:rPr>
              <w:t>, og som blev udviklet i artikel af Toft et al (</w:t>
            </w:r>
            <w:proofErr w:type="spellStart"/>
            <w:r w:rsidR="0090299B">
              <w:rPr>
                <w:rFonts w:cstheme="minorHAnsi"/>
                <w:bCs/>
                <w:lang w:val="da-DK"/>
              </w:rPr>
              <w:t>doi</w:t>
            </w:r>
            <w:proofErr w:type="spellEnd"/>
            <w:r w:rsidR="0090299B">
              <w:rPr>
                <w:rFonts w:cstheme="minorHAnsi"/>
                <w:bCs/>
                <w:lang w:val="da-DK"/>
              </w:rPr>
              <w:t xml:space="preserve">: </w:t>
            </w:r>
            <w:r w:rsidRPr="004A3F07">
              <w:rPr>
                <w:rFonts w:cstheme="minorHAnsi"/>
                <w:color w:val="555555"/>
                <w:lang w:val="da-DK"/>
              </w:rPr>
              <w:t>10.1038/sj.ejcn.1602503</w:t>
            </w:r>
            <w:r>
              <w:rPr>
                <w:rFonts w:ascii="SourceSansPro-Regular" w:hAnsi="SourceSansPro-Regular" w:cs="SourceSansPro-Regular"/>
                <w:color w:val="555555"/>
                <w:sz w:val="9"/>
                <w:szCs w:val="9"/>
                <w:lang w:val="da-DK"/>
              </w:rPr>
              <w:t xml:space="preserve"> </w:t>
            </w:r>
            <w:r w:rsidR="0090299B">
              <w:rPr>
                <w:rFonts w:ascii="SourceSansPro-Regular" w:hAnsi="SourceSansPro-Regular" w:cs="SourceSansPro-Regular"/>
                <w:color w:val="555555"/>
                <w:sz w:val="9"/>
                <w:szCs w:val="9"/>
                <w:lang w:val="da-DK"/>
              </w:rPr>
              <w:t>)</w:t>
            </w:r>
          </w:p>
        </w:tc>
      </w:tr>
      <w:tr w:rsidR="00063730" w:rsidRPr="004A3F07" w:rsidTr="00063730">
        <w:trPr>
          <w:trHeight w:val="290"/>
        </w:trPr>
        <w:tc>
          <w:tcPr>
            <w:tcW w:w="1952" w:type="dxa"/>
            <w:gridSpan w:val="2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 </w:t>
            </w:r>
          </w:p>
        </w:tc>
        <w:tc>
          <w:tcPr>
            <w:tcW w:w="1551" w:type="dxa"/>
            <w:hideMark/>
          </w:tcPr>
          <w:p w:rsidR="00063730" w:rsidRPr="004A3F07" w:rsidRDefault="00063730" w:rsidP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Value</w:t>
            </w:r>
          </w:p>
        </w:tc>
        <w:tc>
          <w:tcPr>
            <w:tcW w:w="591" w:type="dxa"/>
            <w:hideMark/>
          </w:tcPr>
          <w:p w:rsidR="00063730" w:rsidRPr="004A3F07" w:rsidRDefault="00063730" w:rsidP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Count</w:t>
            </w:r>
          </w:p>
        </w:tc>
        <w:tc>
          <w:tcPr>
            <w:tcW w:w="706" w:type="dxa"/>
            <w:hideMark/>
          </w:tcPr>
          <w:p w:rsidR="00063730" w:rsidRPr="004A3F07" w:rsidRDefault="00063730" w:rsidP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Percent</w:t>
            </w:r>
          </w:p>
        </w:tc>
      </w:tr>
      <w:tr w:rsidR="00063730" w:rsidRPr="004A3F07" w:rsidTr="00063730">
        <w:trPr>
          <w:trHeight w:val="290"/>
        </w:trPr>
        <w:tc>
          <w:tcPr>
            <w:tcW w:w="821" w:type="dxa"/>
            <w:vMerge w:val="restart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 xml:space="preserve">Standard </w:t>
            </w:r>
            <w:proofErr w:type="spellStart"/>
            <w:r w:rsidRPr="004A3F07">
              <w:rPr>
                <w:lang w:val="da-DK"/>
              </w:rPr>
              <w:t>Attributes</w:t>
            </w:r>
            <w:proofErr w:type="spellEnd"/>
          </w:p>
        </w:tc>
        <w:tc>
          <w:tcPr>
            <w:tcW w:w="1131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Position</w:t>
            </w:r>
          </w:p>
        </w:tc>
        <w:tc>
          <w:tcPr>
            <w:tcW w:w="1551" w:type="dxa"/>
            <w:noWrap/>
            <w:hideMark/>
          </w:tcPr>
          <w:p w:rsidR="00063730" w:rsidRPr="004A3F07" w:rsidRDefault="00063730" w:rsidP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6</w:t>
            </w:r>
          </w:p>
        </w:tc>
        <w:tc>
          <w:tcPr>
            <w:tcW w:w="591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 </w:t>
            </w:r>
          </w:p>
        </w:tc>
        <w:tc>
          <w:tcPr>
            <w:tcW w:w="706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 </w:t>
            </w:r>
          </w:p>
        </w:tc>
      </w:tr>
      <w:tr w:rsidR="00063730" w:rsidRPr="004A3F07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4A3F07" w:rsidRDefault="00063730">
            <w:pPr>
              <w:rPr>
                <w:lang w:val="da-DK"/>
              </w:rPr>
            </w:pPr>
          </w:p>
        </w:tc>
        <w:tc>
          <w:tcPr>
            <w:tcW w:w="1131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Label</w:t>
            </w:r>
          </w:p>
        </w:tc>
        <w:tc>
          <w:tcPr>
            <w:tcW w:w="1551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&lt;none&gt;</w:t>
            </w:r>
          </w:p>
        </w:tc>
        <w:tc>
          <w:tcPr>
            <w:tcW w:w="591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 </w:t>
            </w:r>
          </w:p>
        </w:tc>
        <w:tc>
          <w:tcPr>
            <w:tcW w:w="706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 </w:t>
            </w:r>
          </w:p>
        </w:tc>
      </w:tr>
      <w:tr w:rsidR="00063730" w:rsidRPr="004A3F07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4A3F07" w:rsidRDefault="00063730">
            <w:pPr>
              <w:rPr>
                <w:lang w:val="da-DK"/>
              </w:rPr>
            </w:pPr>
          </w:p>
        </w:tc>
        <w:tc>
          <w:tcPr>
            <w:tcW w:w="1131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Type</w:t>
            </w:r>
          </w:p>
        </w:tc>
        <w:tc>
          <w:tcPr>
            <w:tcW w:w="1551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proofErr w:type="spellStart"/>
            <w:r w:rsidRPr="004A3F07">
              <w:rPr>
                <w:lang w:val="da-DK"/>
              </w:rPr>
              <w:t>Numeric</w:t>
            </w:r>
            <w:proofErr w:type="spellEnd"/>
          </w:p>
        </w:tc>
        <w:tc>
          <w:tcPr>
            <w:tcW w:w="591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 </w:t>
            </w:r>
          </w:p>
        </w:tc>
        <w:tc>
          <w:tcPr>
            <w:tcW w:w="706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 </w:t>
            </w:r>
          </w:p>
        </w:tc>
      </w:tr>
      <w:tr w:rsidR="00063730" w:rsidRPr="004A3F07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4A3F07" w:rsidRDefault="00063730">
            <w:pPr>
              <w:rPr>
                <w:lang w:val="da-DK"/>
              </w:rPr>
            </w:pPr>
          </w:p>
        </w:tc>
        <w:tc>
          <w:tcPr>
            <w:tcW w:w="1131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Format</w:t>
            </w:r>
          </w:p>
        </w:tc>
        <w:tc>
          <w:tcPr>
            <w:tcW w:w="1551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F8.2</w:t>
            </w:r>
          </w:p>
        </w:tc>
        <w:tc>
          <w:tcPr>
            <w:tcW w:w="591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 </w:t>
            </w:r>
          </w:p>
        </w:tc>
        <w:tc>
          <w:tcPr>
            <w:tcW w:w="706" w:type="dxa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4A3F07" w:rsidRDefault="00063730">
            <w:pPr>
              <w:rPr>
                <w:lang w:val="da-DK"/>
              </w:rPr>
            </w:pPr>
          </w:p>
        </w:tc>
        <w:tc>
          <w:tcPr>
            <w:tcW w:w="1131" w:type="dxa"/>
            <w:hideMark/>
          </w:tcPr>
          <w:p w:rsidR="00063730" w:rsidRPr="00063730" w:rsidRDefault="00063730">
            <w:r w:rsidRPr="004A3F07">
              <w:rPr>
                <w:lang w:val="da-DK"/>
              </w:rPr>
              <w:t>Meas</w:t>
            </w:r>
            <w:proofErr w:type="spellStart"/>
            <w:r w:rsidRPr="00063730">
              <w:t>urement</w:t>
            </w:r>
            <w:proofErr w:type="spellEnd"/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Nominal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Role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Input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Valid Values</w:t>
            </w:r>
          </w:p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1,00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Usund</w:t>
            </w:r>
            <w:proofErr w:type="spellEnd"/>
            <w:r w:rsidRPr="00063730">
              <w:t xml:space="preserve"> </w:t>
            </w:r>
            <w:proofErr w:type="spellStart"/>
            <w:r w:rsidRPr="00063730">
              <w:t>kost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238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12,7%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2,00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Gennemsnitlig</w:t>
            </w:r>
            <w:proofErr w:type="spellEnd"/>
            <w:r w:rsidRPr="00063730">
              <w:t xml:space="preserve"> </w:t>
            </w:r>
            <w:proofErr w:type="spellStart"/>
            <w:r w:rsidRPr="00063730">
              <w:t>kost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1272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67,8%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3,00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Sund</w:t>
            </w:r>
            <w:proofErr w:type="spellEnd"/>
            <w:r w:rsidRPr="00063730">
              <w:t xml:space="preserve"> </w:t>
            </w:r>
            <w:proofErr w:type="spellStart"/>
            <w:r w:rsidRPr="00063730">
              <w:t>kost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357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19,0%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hideMark/>
          </w:tcPr>
          <w:p w:rsidR="00063730" w:rsidRPr="00063730" w:rsidRDefault="00063730">
            <w:r w:rsidRPr="00063730">
              <w:t>Missing Values</w:t>
            </w:r>
          </w:p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System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10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0,5%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noWrap/>
            <w:hideMark/>
          </w:tcPr>
          <w:p w:rsidR="00063730" w:rsidRPr="00063730" w:rsidRDefault="00063730" w:rsidP="00063730"/>
        </w:tc>
        <w:tc>
          <w:tcPr>
            <w:tcW w:w="1131" w:type="dxa"/>
            <w:noWrap/>
            <w:hideMark/>
          </w:tcPr>
          <w:p w:rsidR="00063730" w:rsidRPr="00063730" w:rsidRDefault="00063730"/>
        </w:tc>
        <w:tc>
          <w:tcPr>
            <w:tcW w:w="1551" w:type="dxa"/>
            <w:noWrap/>
            <w:hideMark/>
          </w:tcPr>
          <w:p w:rsidR="00063730" w:rsidRPr="00063730" w:rsidRDefault="00063730"/>
        </w:tc>
        <w:tc>
          <w:tcPr>
            <w:tcW w:w="591" w:type="dxa"/>
            <w:noWrap/>
            <w:hideMark/>
          </w:tcPr>
          <w:p w:rsidR="00063730" w:rsidRPr="00063730" w:rsidRDefault="00063730"/>
        </w:tc>
        <w:tc>
          <w:tcPr>
            <w:tcW w:w="706" w:type="dxa"/>
            <w:noWrap/>
            <w:hideMark/>
          </w:tcPr>
          <w:p w:rsidR="00063730" w:rsidRPr="00063730" w:rsidRDefault="00063730"/>
        </w:tc>
      </w:tr>
      <w:tr w:rsidR="00063730" w:rsidRPr="004A3F07" w:rsidTr="00063730">
        <w:trPr>
          <w:trHeight w:val="290"/>
        </w:trPr>
        <w:tc>
          <w:tcPr>
            <w:tcW w:w="4800" w:type="dxa"/>
            <w:gridSpan w:val="5"/>
            <w:hideMark/>
          </w:tcPr>
          <w:p w:rsidR="00063730" w:rsidRPr="004A3F07" w:rsidRDefault="00063730" w:rsidP="00063730">
            <w:pPr>
              <w:rPr>
                <w:bCs/>
              </w:rPr>
            </w:pPr>
            <w:r w:rsidRPr="00063730">
              <w:rPr>
                <w:b/>
                <w:bCs/>
              </w:rPr>
              <w:t>A65</w:t>
            </w:r>
          </w:p>
          <w:p w:rsidR="004A3F07" w:rsidRPr="004A3F07" w:rsidRDefault="004A3F07" w:rsidP="004A3F07">
            <w:pPr>
              <w:rPr>
                <w:b/>
                <w:bCs/>
                <w:lang w:val="da-DK"/>
              </w:rPr>
            </w:pPr>
            <w:r w:rsidRPr="004A3F07">
              <w:rPr>
                <w:bCs/>
                <w:lang w:val="da-DK"/>
              </w:rPr>
              <w:t>Dette er et mål for livskvalitet (eller livstilfredshed), som jævnligt bruges af Danmarks Statistik</w:t>
            </w:r>
            <w:r>
              <w:rPr>
                <w:bCs/>
                <w:lang w:val="da-DK"/>
              </w:rPr>
              <w:t xml:space="preserve"> i</w:t>
            </w:r>
            <w:r w:rsidRPr="004A3F07">
              <w:rPr>
                <w:bCs/>
                <w:lang w:val="da-DK"/>
              </w:rPr>
              <w:t xml:space="preserve"> befolkn</w:t>
            </w:r>
            <w:r>
              <w:rPr>
                <w:bCs/>
                <w:lang w:val="da-DK"/>
              </w:rPr>
              <w:t>i</w:t>
            </w:r>
            <w:r w:rsidRPr="004A3F07">
              <w:rPr>
                <w:bCs/>
                <w:lang w:val="da-DK"/>
              </w:rPr>
              <w:t>ngsundersøgelser.</w:t>
            </w:r>
            <w:r>
              <w:rPr>
                <w:b/>
                <w:bCs/>
                <w:lang w:val="da-DK"/>
              </w:rPr>
              <w:t xml:space="preserve"> </w:t>
            </w:r>
          </w:p>
        </w:tc>
      </w:tr>
      <w:tr w:rsidR="00063730" w:rsidRPr="00063730" w:rsidTr="00063730">
        <w:trPr>
          <w:trHeight w:val="290"/>
        </w:trPr>
        <w:tc>
          <w:tcPr>
            <w:tcW w:w="1952" w:type="dxa"/>
            <w:gridSpan w:val="2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 </w:t>
            </w:r>
          </w:p>
        </w:tc>
        <w:tc>
          <w:tcPr>
            <w:tcW w:w="1551" w:type="dxa"/>
            <w:hideMark/>
          </w:tcPr>
          <w:p w:rsidR="00063730" w:rsidRPr="00063730" w:rsidRDefault="00063730" w:rsidP="00063730">
            <w:r w:rsidRPr="00063730">
              <w:t>Value</w:t>
            </w:r>
          </w:p>
        </w:tc>
        <w:tc>
          <w:tcPr>
            <w:tcW w:w="591" w:type="dxa"/>
            <w:hideMark/>
          </w:tcPr>
          <w:p w:rsidR="00063730" w:rsidRPr="00063730" w:rsidRDefault="00063730" w:rsidP="00063730">
            <w:r w:rsidRPr="00063730">
              <w:t>Count</w:t>
            </w:r>
          </w:p>
        </w:tc>
        <w:tc>
          <w:tcPr>
            <w:tcW w:w="706" w:type="dxa"/>
            <w:hideMark/>
          </w:tcPr>
          <w:p w:rsidR="00063730" w:rsidRPr="00063730" w:rsidRDefault="00063730" w:rsidP="00063730">
            <w:r w:rsidRPr="00063730">
              <w:t>Percent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Standard Attributes</w:t>
            </w:r>
          </w:p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Position</w:t>
            </w:r>
          </w:p>
        </w:tc>
        <w:tc>
          <w:tcPr>
            <w:tcW w:w="1551" w:type="dxa"/>
            <w:noWrap/>
            <w:hideMark/>
          </w:tcPr>
          <w:p w:rsidR="00063730" w:rsidRPr="00063730" w:rsidRDefault="00063730" w:rsidP="00063730">
            <w:r w:rsidRPr="00063730">
              <w:t>7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07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Label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Pr>
              <w:rPr>
                <w:lang w:val="da-DK"/>
              </w:rPr>
            </w:pPr>
            <w:r w:rsidRPr="00063730">
              <w:rPr>
                <w:lang w:val="da-DK"/>
              </w:rPr>
              <w:t>Når alt tages i betragtning, hvor tilfreds er du så nu med dit liv som helhed?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pPr>
              <w:rPr>
                <w:lang w:val="da-DK"/>
              </w:rPr>
            </w:pPr>
            <w:r w:rsidRPr="00063730">
              <w:rPr>
                <w:lang w:val="da-DK"/>
              </w:rPr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pPr>
              <w:rPr>
                <w:lang w:val="da-DK"/>
              </w:rPr>
            </w:pPr>
            <w:r w:rsidRPr="00063730">
              <w:rPr>
                <w:lang w:val="da-DK"/>
              </w:rPr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>
            <w:pPr>
              <w:rPr>
                <w:lang w:val="da-DK"/>
              </w:rPr>
            </w:pPr>
          </w:p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Type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Numeric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Format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F8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Measurement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Nominal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Role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Input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69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Valid Values</w:t>
            </w:r>
          </w:p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 xml:space="preserve">0. </w:t>
            </w:r>
            <w:proofErr w:type="spellStart"/>
            <w:r w:rsidRPr="00063730">
              <w:t>Særdeles</w:t>
            </w:r>
            <w:proofErr w:type="spellEnd"/>
            <w:r w:rsidRPr="00063730">
              <w:t xml:space="preserve"> </w:t>
            </w:r>
            <w:proofErr w:type="spellStart"/>
            <w:r w:rsidRPr="00063730">
              <w:t>utilfreds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34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1,8%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1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1.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34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1,8%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2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2.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56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3,0%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3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3.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80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4,3%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4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4.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63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3,4%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5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5.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128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6,8%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6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6.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102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5,4%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7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7.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265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14,1%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8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8.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451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24,0%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9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9.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308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16,4%</w:t>
            </w:r>
          </w:p>
        </w:tc>
      </w:tr>
      <w:tr w:rsidR="00063730" w:rsidRPr="00063730" w:rsidTr="00063730">
        <w:trPr>
          <w:trHeight w:val="6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10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 xml:space="preserve">10. </w:t>
            </w:r>
            <w:proofErr w:type="spellStart"/>
            <w:r w:rsidRPr="00063730">
              <w:t>Særdeles</w:t>
            </w:r>
            <w:proofErr w:type="spellEnd"/>
            <w:r w:rsidRPr="00063730">
              <w:t xml:space="preserve"> </w:t>
            </w:r>
            <w:proofErr w:type="spellStart"/>
            <w:r w:rsidRPr="00063730">
              <w:t>Tilfreds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348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18,5%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Missing Values</w:t>
            </w:r>
          </w:p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98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Nægter</w:t>
            </w:r>
            <w:proofErr w:type="spellEnd"/>
            <w:r w:rsidRPr="00063730">
              <w:t xml:space="preserve"> at </w:t>
            </w:r>
            <w:proofErr w:type="spellStart"/>
            <w:r w:rsidRPr="00063730">
              <w:t>svare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3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0,2%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99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proofErr w:type="spellStart"/>
            <w:r w:rsidRPr="00063730">
              <w:t>Ved</w:t>
            </w:r>
            <w:proofErr w:type="spellEnd"/>
            <w:r w:rsidRPr="00063730">
              <w:t xml:space="preserve"> </w:t>
            </w:r>
            <w:proofErr w:type="spellStart"/>
            <w:r w:rsidRPr="00063730">
              <w:t>ikke</w:t>
            </w:r>
            <w:proofErr w:type="spellEnd"/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5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0,3%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noWrap/>
            <w:hideMark/>
          </w:tcPr>
          <w:p w:rsidR="00063730" w:rsidRPr="00063730" w:rsidRDefault="00063730" w:rsidP="00063730"/>
        </w:tc>
        <w:tc>
          <w:tcPr>
            <w:tcW w:w="1131" w:type="dxa"/>
            <w:noWrap/>
            <w:hideMark/>
          </w:tcPr>
          <w:p w:rsidR="00063730" w:rsidRPr="00063730" w:rsidRDefault="00063730"/>
        </w:tc>
        <w:tc>
          <w:tcPr>
            <w:tcW w:w="1551" w:type="dxa"/>
            <w:noWrap/>
            <w:hideMark/>
          </w:tcPr>
          <w:p w:rsidR="00063730" w:rsidRPr="00063730" w:rsidRDefault="00063730"/>
        </w:tc>
        <w:tc>
          <w:tcPr>
            <w:tcW w:w="591" w:type="dxa"/>
            <w:noWrap/>
            <w:hideMark/>
          </w:tcPr>
          <w:p w:rsidR="00063730" w:rsidRPr="00063730" w:rsidRDefault="00063730"/>
        </w:tc>
        <w:tc>
          <w:tcPr>
            <w:tcW w:w="706" w:type="dxa"/>
            <w:noWrap/>
            <w:hideMark/>
          </w:tcPr>
          <w:p w:rsidR="00063730" w:rsidRPr="00063730" w:rsidRDefault="00063730"/>
        </w:tc>
      </w:tr>
      <w:tr w:rsidR="00063730" w:rsidRPr="004A3F07" w:rsidTr="00063730">
        <w:trPr>
          <w:trHeight w:val="290"/>
        </w:trPr>
        <w:tc>
          <w:tcPr>
            <w:tcW w:w="4800" w:type="dxa"/>
            <w:gridSpan w:val="5"/>
            <w:hideMark/>
          </w:tcPr>
          <w:p w:rsidR="00063730" w:rsidRDefault="00063730" w:rsidP="00063730">
            <w:pPr>
              <w:rPr>
                <w:b/>
                <w:bCs/>
              </w:rPr>
            </w:pPr>
            <w:proofErr w:type="spellStart"/>
            <w:r w:rsidRPr="00063730">
              <w:rPr>
                <w:b/>
                <w:bCs/>
              </w:rPr>
              <w:t>LifeSatisfaction</w:t>
            </w:r>
            <w:proofErr w:type="spellEnd"/>
          </w:p>
          <w:p w:rsidR="004A3F07" w:rsidRPr="004A3F07" w:rsidRDefault="004A3F07" w:rsidP="00063730">
            <w:pPr>
              <w:rPr>
                <w:bCs/>
                <w:lang w:val="da-DK"/>
              </w:rPr>
            </w:pPr>
            <w:r w:rsidRPr="004A3F07">
              <w:rPr>
                <w:bCs/>
                <w:lang w:val="da-DK"/>
              </w:rPr>
              <w:t>Dette er</w:t>
            </w:r>
            <w:r>
              <w:rPr>
                <w:bCs/>
                <w:lang w:val="da-DK"/>
              </w:rPr>
              <w:t xml:space="preserve"> e</w:t>
            </w:r>
            <w:r w:rsidRPr="004A3F07">
              <w:rPr>
                <w:bCs/>
                <w:lang w:val="da-DK"/>
              </w:rPr>
              <w:t xml:space="preserve">n </w:t>
            </w:r>
            <w:proofErr w:type="spellStart"/>
            <w:r w:rsidRPr="004A3F07">
              <w:rPr>
                <w:bCs/>
                <w:lang w:val="da-DK"/>
              </w:rPr>
              <w:t>rekodning</w:t>
            </w:r>
            <w:proofErr w:type="spellEnd"/>
            <w:r w:rsidRPr="004A3F07">
              <w:rPr>
                <w:bCs/>
                <w:lang w:val="da-DK"/>
              </w:rPr>
              <w:t xml:space="preserve"> af A65 ovenfor. </w:t>
            </w:r>
          </w:p>
        </w:tc>
      </w:tr>
      <w:tr w:rsidR="00063730" w:rsidRPr="00063730" w:rsidTr="00063730">
        <w:trPr>
          <w:trHeight w:val="290"/>
        </w:trPr>
        <w:tc>
          <w:tcPr>
            <w:tcW w:w="1952" w:type="dxa"/>
            <w:gridSpan w:val="2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 </w:t>
            </w:r>
          </w:p>
        </w:tc>
        <w:tc>
          <w:tcPr>
            <w:tcW w:w="1551" w:type="dxa"/>
            <w:hideMark/>
          </w:tcPr>
          <w:p w:rsidR="00063730" w:rsidRPr="00063730" w:rsidRDefault="00063730" w:rsidP="00063730">
            <w:r w:rsidRPr="00063730">
              <w:t>Value</w:t>
            </w:r>
          </w:p>
        </w:tc>
        <w:tc>
          <w:tcPr>
            <w:tcW w:w="591" w:type="dxa"/>
            <w:hideMark/>
          </w:tcPr>
          <w:p w:rsidR="00063730" w:rsidRPr="00063730" w:rsidRDefault="00063730" w:rsidP="00063730">
            <w:r w:rsidRPr="00063730">
              <w:t>Count</w:t>
            </w:r>
          </w:p>
        </w:tc>
        <w:tc>
          <w:tcPr>
            <w:tcW w:w="706" w:type="dxa"/>
            <w:hideMark/>
          </w:tcPr>
          <w:p w:rsidR="00063730" w:rsidRPr="00063730" w:rsidRDefault="00063730" w:rsidP="00063730">
            <w:r w:rsidRPr="00063730">
              <w:t>Percent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Standard Attributes</w:t>
            </w:r>
          </w:p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Position</w:t>
            </w:r>
          </w:p>
        </w:tc>
        <w:tc>
          <w:tcPr>
            <w:tcW w:w="1551" w:type="dxa"/>
            <w:noWrap/>
            <w:hideMark/>
          </w:tcPr>
          <w:p w:rsidR="00063730" w:rsidRPr="00063730" w:rsidRDefault="00063730" w:rsidP="00063730">
            <w:r w:rsidRPr="00063730">
              <w:t>8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Label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&lt;none&gt;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Type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Numeric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Format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F8.2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Measurement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Nominal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Role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Input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Valid Values</w:t>
            </w:r>
          </w:p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Not high (0-7)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770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41,0%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1,00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High (8-10)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1107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59,0%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noWrap/>
            <w:hideMark/>
          </w:tcPr>
          <w:p w:rsidR="00063730" w:rsidRPr="00063730" w:rsidRDefault="00063730" w:rsidP="00063730"/>
        </w:tc>
        <w:tc>
          <w:tcPr>
            <w:tcW w:w="1131" w:type="dxa"/>
            <w:noWrap/>
            <w:hideMark/>
          </w:tcPr>
          <w:p w:rsidR="00063730" w:rsidRPr="00063730" w:rsidRDefault="00063730"/>
        </w:tc>
        <w:tc>
          <w:tcPr>
            <w:tcW w:w="1551" w:type="dxa"/>
            <w:noWrap/>
            <w:hideMark/>
          </w:tcPr>
          <w:p w:rsidR="00063730" w:rsidRPr="00063730" w:rsidRDefault="00063730"/>
        </w:tc>
        <w:tc>
          <w:tcPr>
            <w:tcW w:w="591" w:type="dxa"/>
            <w:noWrap/>
            <w:hideMark/>
          </w:tcPr>
          <w:p w:rsidR="00063730" w:rsidRPr="00063730" w:rsidRDefault="00063730"/>
        </w:tc>
        <w:tc>
          <w:tcPr>
            <w:tcW w:w="706" w:type="dxa"/>
            <w:noWrap/>
            <w:hideMark/>
          </w:tcPr>
          <w:p w:rsidR="00063730" w:rsidRPr="00063730" w:rsidRDefault="00063730"/>
        </w:tc>
      </w:tr>
      <w:tr w:rsidR="00063730" w:rsidRPr="004A3F07" w:rsidTr="00063730">
        <w:trPr>
          <w:trHeight w:val="290"/>
        </w:trPr>
        <w:tc>
          <w:tcPr>
            <w:tcW w:w="4800" w:type="dxa"/>
            <w:gridSpan w:val="5"/>
            <w:hideMark/>
          </w:tcPr>
          <w:p w:rsidR="00063730" w:rsidRDefault="00063730" w:rsidP="00063730">
            <w:pPr>
              <w:rPr>
                <w:b/>
                <w:bCs/>
              </w:rPr>
            </w:pPr>
            <w:proofErr w:type="spellStart"/>
            <w:r w:rsidRPr="00063730">
              <w:rPr>
                <w:b/>
                <w:bCs/>
              </w:rPr>
              <w:t>HighPsychDistress</w:t>
            </w:r>
            <w:proofErr w:type="spellEnd"/>
          </w:p>
          <w:p w:rsidR="0090299B" w:rsidRPr="004A3F07" w:rsidRDefault="004A3F07" w:rsidP="0090299B">
            <w:pPr>
              <w:rPr>
                <w:bCs/>
                <w:lang w:val="da-DK"/>
              </w:rPr>
            </w:pPr>
            <w:r w:rsidRPr="004A3F07">
              <w:rPr>
                <w:bCs/>
                <w:lang w:val="da-DK"/>
              </w:rPr>
              <w:t xml:space="preserve">Dette er en </w:t>
            </w:r>
            <w:proofErr w:type="spellStart"/>
            <w:r w:rsidRPr="004A3F07">
              <w:rPr>
                <w:bCs/>
                <w:lang w:val="da-DK"/>
              </w:rPr>
              <w:t>rekodning</w:t>
            </w:r>
            <w:proofErr w:type="spellEnd"/>
            <w:r w:rsidRPr="004A3F07">
              <w:rPr>
                <w:bCs/>
                <w:lang w:val="da-DK"/>
              </w:rPr>
              <w:t xml:space="preserve"> af </w:t>
            </w:r>
            <w:r w:rsidR="0090299B">
              <w:rPr>
                <w:bCs/>
                <w:lang w:val="da-DK"/>
              </w:rPr>
              <w:t xml:space="preserve">screening instrumentet for </w:t>
            </w:r>
            <w:proofErr w:type="spellStart"/>
            <w:r w:rsidR="0090299B">
              <w:rPr>
                <w:bCs/>
                <w:lang w:val="da-DK"/>
              </w:rPr>
              <w:t>serious</w:t>
            </w:r>
            <w:proofErr w:type="spellEnd"/>
            <w:r w:rsidR="0090299B">
              <w:rPr>
                <w:bCs/>
                <w:lang w:val="da-DK"/>
              </w:rPr>
              <w:t xml:space="preserve"> mental </w:t>
            </w:r>
            <w:proofErr w:type="spellStart"/>
            <w:r w:rsidR="0090299B">
              <w:rPr>
                <w:bCs/>
                <w:lang w:val="da-DK"/>
              </w:rPr>
              <w:t>illness</w:t>
            </w:r>
            <w:proofErr w:type="spellEnd"/>
            <w:r w:rsidR="0090299B">
              <w:rPr>
                <w:bCs/>
                <w:lang w:val="da-DK"/>
              </w:rPr>
              <w:t xml:space="preserve">, der hedder K6. </w:t>
            </w:r>
            <w:r w:rsidR="007B3D23">
              <w:rPr>
                <w:bCs/>
                <w:lang w:val="da-DK"/>
              </w:rPr>
              <w:t xml:space="preserve">Rå variablen </w:t>
            </w:r>
            <w:proofErr w:type="spellStart"/>
            <w:r w:rsidR="007B3D23">
              <w:rPr>
                <w:bCs/>
                <w:lang w:val="da-DK"/>
              </w:rPr>
              <w:t>Kessler_raw</w:t>
            </w:r>
            <w:proofErr w:type="spellEnd"/>
            <w:r w:rsidR="007B3D23">
              <w:rPr>
                <w:bCs/>
                <w:lang w:val="da-DK"/>
              </w:rPr>
              <w:t xml:space="preserve"> er også i datasættet. </w:t>
            </w:r>
            <w:r w:rsidR="00C414FF">
              <w:rPr>
                <w:bCs/>
                <w:lang w:val="da-DK"/>
              </w:rPr>
              <w:t>Den er bas</w:t>
            </w:r>
            <w:bookmarkStart w:id="0" w:name="_GoBack"/>
            <w:bookmarkEnd w:id="0"/>
            <w:r w:rsidR="00C414FF">
              <w:rPr>
                <w:bCs/>
                <w:lang w:val="da-DK"/>
              </w:rPr>
              <w:t xml:space="preserve">ere på svar på seks spørgsmål. </w:t>
            </w:r>
            <w:r w:rsidR="007B3D23">
              <w:rPr>
                <w:bCs/>
                <w:lang w:val="da-DK"/>
              </w:rPr>
              <w:t xml:space="preserve">Den er </w:t>
            </w:r>
            <w:proofErr w:type="spellStart"/>
            <w:r w:rsidR="007B3D23">
              <w:rPr>
                <w:bCs/>
                <w:lang w:val="da-DK"/>
              </w:rPr>
              <w:t>rekodet</w:t>
            </w:r>
            <w:proofErr w:type="spellEnd"/>
            <w:r w:rsidR="007B3D23">
              <w:rPr>
                <w:bCs/>
                <w:lang w:val="da-DK"/>
              </w:rPr>
              <w:t xml:space="preserve"> på baggrund af retningslinjerne i: </w:t>
            </w:r>
            <w:r w:rsidR="0090299B">
              <w:rPr>
                <w:bCs/>
                <w:lang w:val="da-DK"/>
              </w:rPr>
              <w:t>(</w:t>
            </w:r>
            <w:proofErr w:type="spellStart"/>
            <w:r w:rsidR="0090299B">
              <w:rPr>
                <w:bCs/>
                <w:lang w:val="da-DK"/>
              </w:rPr>
              <w:t>doi</w:t>
            </w:r>
            <w:proofErr w:type="spellEnd"/>
            <w:r w:rsidR="0090299B">
              <w:rPr>
                <w:bCs/>
                <w:lang w:val="da-DK"/>
              </w:rPr>
              <w:t xml:space="preserve">: </w:t>
            </w:r>
            <w:r w:rsidR="0090299B" w:rsidRPr="007B3D23">
              <w:rPr>
                <w:rFonts w:ascii="Helvetica" w:hAnsi="Helvetica" w:cs="Helvetica"/>
                <w:sz w:val="18"/>
                <w:szCs w:val="18"/>
                <w:lang w:val="da-DK"/>
              </w:rPr>
              <w:t>10.1002/mpr.310</w:t>
            </w:r>
            <w:r w:rsidR="0090299B" w:rsidRPr="007B3D23">
              <w:rPr>
                <w:rFonts w:ascii="Helvetica" w:hAnsi="Helvetica" w:cs="Helvetica"/>
                <w:sz w:val="18"/>
                <w:szCs w:val="18"/>
                <w:lang w:val="da-DK"/>
              </w:rPr>
              <w:t>)</w:t>
            </w:r>
          </w:p>
        </w:tc>
      </w:tr>
      <w:tr w:rsidR="00063730" w:rsidRPr="00063730" w:rsidTr="00063730">
        <w:trPr>
          <w:trHeight w:val="290"/>
        </w:trPr>
        <w:tc>
          <w:tcPr>
            <w:tcW w:w="1952" w:type="dxa"/>
            <w:gridSpan w:val="2"/>
            <w:hideMark/>
          </w:tcPr>
          <w:p w:rsidR="00063730" w:rsidRPr="004A3F07" w:rsidRDefault="00063730">
            <w:pPr>
              <w:rPr>
                <w:lang w:val="da-DK"/>
              </w:rPr>
            </w:pPr>
            <w:r w:rsidRPr="004A3F07">
              <w:rPr>
                <w:lang w:val="da-DK"/>
              </w:rPr>
              <w:t> </w:t>
            </w:r>
          </w:p>
        </w:tc>
        <w:tc>
          <w:tcPr>
            <w:tcW w:w="1551" w:type="dxa"/>
            <w:hideMark/>
          </w:tcPr>
          <w:p w:rsidR="00063730" w:rsidRPr="00063730" w:rsidRDefault="00063730" w:rsidP="00063730">
            <w:r w:rsidRPr="00063730">
              <w:t>Value</w:t>
            </w:r>
          </w:p>
        </w:tc>
        <w:tc>
          <w:tcPr>
            <w:tcW w:w="591" w:type="dxa"/>
            <w:hideMark/>
          </w:tcPr>
          <w:p w:rsidR="00063730" w:rsidRPr="00063730" w:rsidRDefault="00063730" w:rsidP="00063730">
            <w:r w:rsidRPr="00063730">
              <w:t>Count</w:t>
            </w:r>
          </w:p>
        </w:tc>
        <w:tc>
          <w:tcPr>
            <w:tcW w:w="706" w:type="dxa"/>
            <w:hideMark/>
          </w:tcPr>
          <w:p w:rsidR="00063730" w:rsidRPr="00063730" w:rsidRDefault="00063730" w:rsidP="00063730">
            <w:r w:rsidRPr="00063730">
              <w:t>Percent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Standard Attributes</w:t>
            </w:r>
          </w:p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Position</w:t>
            </w:r>
          </w:p>
        </w:tc>
        <w:tc>
          <w:tcPr>
            <w:tcW w:w="1551" w:type="dxa"/>
            <w:noWrap/>
            <w:hideMark/>
          </w:tcPr>
          <w:p w:rsidR="00063730" w:rsidRPr="00063730" w:rsidRDefault="00063730" w:rsidP="00063730">
            <w:r w:rsidRPr="00063730">
              <w:t>9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Label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&lt;none&gt;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Type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Numeric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Format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F8.2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Measurement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Nominal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29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Role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Input</w:t>
            </w:r>
          </w:p>
        </w:tc>
        <w:tc>
          <w:tcPr>
            <w:tcW w:w="59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706" w:type="dxa"/>
            <w:hideMark/>
          </w:tcPr>
          <w:p w:rsidR="00063730" w:rsidRPr="00063730" w:rsidRDefault="00063730">
            <w:r w:rsidRPr="00063730">
              <w:t> </w:t>
            </w:r>
          </w:p>
        </w:tc>
      </w:tr>
      <w:tr w:rsidR="00063730" w:rsidRPr="00063730" w:rsidTr="00063730">
        <w:trPr>
          <w:trHeight w:val="920"/>
        </w:trPr>
        <w:tc>
          <w:tcPr>
            <w:tcW w:w="821" w:type="dxa"/>
            <w:vMerge w:val="restart"/>
            <w:hideMark/>
          </w:tcPr>
          <w:p w:rsidR="00063730" w:rsidRPr="00063730" w:rsidRDefault="00063730">
            <w:r w:rsidRPr="00063730">
              <w:t>Valid Values</w:t>
            </w:r>
          </w:p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No (Kessler score 0-12)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1725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91,9%</w:t>
            </w:r>
          </w:p>
        </w:tc>
      </w:tr>
      <w:tr w:rsidR="00063730" w:rsidRPr="00063730" w:rsidTr="00063730">
        <w:trPr>
          <w:trHeight w:val="920"/>
        </w:trPr>
        <w:tc>
          <w:tcPr>
            <w:tcW w:w="821" w:type="dxa"/>
            <w:vMerge/>
            <w:hideMark/>
          </w:tcPr>
          <w:p w:rsidR="00063730" w:rsidRPr="00063730" w:rsidRDefault="00063730"/>
        </w:tc>
        <w:tc>
          <w:tcPr>
            <w:tcW w:w="1131" w:type="dxa"/>
            <w:noWrap/>
            <w:hideMark/>
          </w:tcPr>
          <w:p w:rsidR="00063730" w:rsidRPr="00063730" w:rsidRDefault="00063730">
            <w:r w:rsidRPr="00063730">
              <w:t>1,00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Yes (Kessler score 13-24)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108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5,8%</w:t>
            </w:r>
          </w:p>
        </w:tc>
      </w:tr>
      <w:tr w:rsidR="00063730" w:rsidRPr="00063730" w:rsidTr="00063730">
        <w:trPr>
          <w:trHeight w:val="460"/>
        </w:trPr>
        <w:tc>
          <w:tcPr>
            <w:tcW w:w="821" w:type="dxa"/>
            <w:hideMark/>
          </w:tcPr>
          <w:p w:rsidR="00063730" w:rsidRPr="00063730" w:rsidRDefault="00063730">
            <w:r w:rsidRPr="00063730">
              <w:lastRenderedPageBreak/>
              <w:t>Missing Values</w:t>
            </w:r>
          </w:p>
        </w:tc>
        <w:tc>
          <w:tcPr>
            <w:tcW w:w="1131" w:type="dxa"/>
            <w:hideMark/>
          </w:tcPr>
          <w:p w:rsidR="00063730" w:rsidRPr="00063730" w:rsidRDefault="00063730">
            <w:r w:rsidRPr="00063730">
              <w:t>System</w:t>
            </w:r>
          </w:p>
        </w:tc>
        <w:tc>
          <w:tcPr>
            <w:tcW w:w="1551" w:type="dxa"/>
            <w:hideMark/>
          </w:tcPr>
          <w:p w:rsidR="00063730" w:rsidRPr="00063730" w:rsidRDefault="00063730">
            <w:r w:rsidRPr="00063730">
              <w:t> </w:t>
            </w:r>
          </w:p>
        </w:tc>
        <w:tc>
          <w:tcPr>
            <w:tcW w:w="591" w:type="dxa"/>
            <w:noWrap/>
            <w:hideMark/>
          </w:tcPr>
          <w:p w:rsidR="00063730" w:rsidRPr="00063730" w:rsidRDefault="00063730" w:rsidP="00063730">
            <w:r w:rsidRPr="00063730">
              <w:t>44</w:t>
            </w:r>
          </w:p>
        </w:tc>
        <w:tc>
          <w:tcPr>
            <w:tcW w:w="706" w:type="dxa"/>
            <w:noWrap/>
            <w:hideMark/>
          </w:tcPr>
          <w:p w:rsidR="00063730" w:rsidRPr="00063730" w:rsidRDefault="00063730" w:rsidP="00063730">
            <w:r w:rsidRPr="00063730">
              <w:t>2,3%</w:t>
            </w:r>
          </w:p>
        </w:tc>
      </w:tr>
    </w:tbl>
    <w:p w:rsidR="008152CB" w:rsidRDefault="008152CB" w:rsidP="004A3F07"/>
    <w:p w:rsidR="007B3D23" w:rsidRDefault="007B3D23" w:rsidP="004A3F07"/>
    <w:p w:rsidR="007B3D23" w:rsidRDefault="007B3D23" w:rsidP="004A3F07"/>
    <w:sectPr w:rsidR="007B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30"/>
    <w:rsid w:val="00041EAB"/>
    <w:rsid w:val="00042A75"/>
    <w:rsid w:val="00063730"/>
    <w:rsid w:val="001078BF"/>
    <w:rsid w:val="001A2C1B"/>
    <w:rsid w:val="00254E06"/>
    <w:rsid w:val="003D75FD"/>
    <w:rsid w:val="00480D7F"/>
    <w:rsid w:val="004A3F07"/>
    <w:rsid w:val="00592772"/>
    <w:rsid w:val="005E241C"/>
    <w:rsid w:val="00652128"/>
    <w:rsid w:val="006616E1"/>
    <w:rsid w:val="007B3D23"/>
    <w:rsid w:val="00802A4F"/>
    <w:rsid w:val="008152CB"/>
    <w:rsid w:val="00852854"/>
    <w:rsid w:val="0090299B"/>
    <w:rsid w:val="009B7BB0"/>
    <w:rsid w:val="00AC20DD"/>
    <w:rsid w:val="00B7211B"/>
    <w:rsid w:val="00BC5010"/>
    <w:rsid w:val="00BD578D"/>
    <w:rsid w:val="00BE3C88"/>
    <w:rsid w:val="00C022AA"/>
    <w:rsid w:val="00C414FF"/>
    <w:rsid w:val="00EB185F"/>
    <w:rsid w:val="00EB7925"/>
    <w:rsid w:val="00F11FF9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FDC9"/>
  <w15:chartTrackingRefBased/>
  <w15:docId w15:val="{DEC78CB2-856C-42B6-9F32-6F85BF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1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anskernesSundhed.dk" TargetMode="External"/><Relationship Id="rId4" Type="http://schemas.openxmlformats.org/officeDocument/2006/relationships/hyperlink" Target="https://www.ers.usda.gov/media/8282/short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Bøker Lund</dc:creator>
  <cp:keywords/>
  <dc:description/>
  <cp:lastModifiedBy>Thomas Bøker Lund</cp:lastModifiedBy>
  <cp:revision>4</cp:revision>
  <dcterms:created xsi:type="dcterms:W3CDTF">2023-03-05T06:42:00Z</dcterms:created>
  <dcterms:modified xsi:type="dcterms:W3CDTF">2023-03-05T15:17:00Z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