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Open Sans ExtraBold" w:cs="Open Sans ExtraBold" w:eastAsia="Open Sans ExtraBold" w:hAnsi="Open Sans ExtraBold"/>
          <w:color w:val="1e2733"/>
          <w:sz w:val="50"/>
          <w:szCs w:val="50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1e2733"/>
          <w:sz w:val="50"/>
          <w:szCs w:val="50"/>
          <w:rtl w:val="0"/>
        </w:rPr>
        <w:t xml:space="preserve">Morten Andersen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Open Sans" w:cs="Open Sans" w:eastAsia="Open Sans" w:hAnsi="Open Sans"/>
          <w:color w:val="787979"/>
          <w:sz w:val="6"/>
          <w:szCs w:val="6"/>
        </w:rPr>
      </w:pPr>
      <w:r w:rsidDel="00000000" w:rsidR="00000000" w:rsidRPr="00000000">
        <w:rPr>
          <w:rFonts w:ascii="Open Sans" w:cs="Open Sans" w:eastAsia="Open Sans" w:hAnsi="Open Sans"/>
          <w:color w:val="787979"/>
          <w:sz w:val="30"/>
          <w:szCs w:val="30"/>
          <w:rtl w:val="0"/>
        </w:rPr>
        <w:t xml:space="preserve">VP of Strategy, GM of UbiSim VR</w:t>
      </w:r>
      <w:r w:rsidDel="00000000" w:rsidR="00000000" w:rsidRPr="00000000">
        <w:rPr>
          <w:rFonts w:ascii="Open Sans" w:cs="Open Sans" w:eastAsia="Open Sans" w:hAnsi="Open Sans"/>
          <w:color w:val="787979"/>
          <w:sz w:val="6"/>
          <w:szCs w:val="6"/>
          <w:rtl w:val="0"/>
        </w:rPr>
        <w:t xml:space="preserve">—</w:t>
      </w:r>
    </w:p>
    <w:p w:rsidR="00000000" w:rsidDel="00000000" w:rsidP="00000000" w:rsidRDefault="00000000" w:rsidRPr="00000000" w14:paraId="00000003">
      <w:pPr>
        <w:widowControl w:val="0"/>
        <w:pBdr>
          <w:top w:color="000000" w:space="2" w:sz="8" w:val="single"/>
          <w:bottom w:color="000000" w:space="2" w:sz="8" w:val="single"/>
        </w:pBdr>
        <w:spacing w:after="0" w:before="0" w:line="240" w:lineRule="auto"/>
        <w:jc w:val="center"/>
        <w:rPr>
          <w:rFonts w:ascii="Open Sans SemiBold" w:cs="Open Sans SemiBold" w:eastAsia="Open Sans SemiBold" w:hAnsi="Open Sans SemiBold"/>
          <w:color w:val="1e2733"/>
          <w:sz w:val="20"/>
          <w:szCs w:val="20"/>
        </w:rPr>
      </w:pPr>
      <w:r w:rsidDel="00000000" w:rsidR="00000000" w:rsidRPr="00000000">
        <w:rPr>
          <w:rFonts w:ascii="Open Sans SemiBold" w:cs="Open Sans SemiBold" w:eastAsia="Open Sans SemiBold" w:hAnsi="Open Sans SemiBold"/>
          <w:color w:val="1e2733"/>
          <w:sz w:val="20"/>
          <w:szCs w:val="20"/>
          <w:rtl w:val="0"/>
        </w:rPr>
        <w:t xml:space="preserve">+(1) 574 275-8777 | 33 Bond Street, Apt 2008, Brooklyn, NY, 11201 | </w:t>
      </w:r>
      <w:hyperlink r:id="rId6">
        <w:r w:rsidDel="00000000" w:rsidR="00000000" w:rsidRPr="00000000">
          <w:rPr>
            <w:rFonts w:ascii="Open Sans SemiBold" w:cs="Open Sans SemiBold" w:eastAsia="Open Sans SemiBold" w:hAnsi="Open Sans SemiBold"/>
            <w:color w:val="1155cc"/>
            <w:sz w:val="20"/>
            <w:szCs w:val="20"/>
            <w:u w:val="single"/>
            <w:rtl w:val="0"/>
          </w:rPr>
          <w:t xml:space="preserve">morten.va2@gmail.com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pen Sans" w:cs="Open Sans" w:eastAsia="Open Sans" w:hAnsi="Open Sans"/>
          <w:sz w:val="14"/>
          <w:szCs w:val="14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Senior strategy and operations leader with +10 year track record of leading growth, transformation, and P&amp;L ownership in technology-driven organization. Experience from fast-paced VC-backed tech start-up (Labster), corporate venture capital (LEGO Ventures) and management consulting (LEGO).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8" w:val="single"/>
        </w:pBdr>
        <w:spacing w:line="240" w:lineRule="auto"/>
        <w:jc w:val="center"/>
        <w:rPr>
          <w:rFonts w:ascii="Open Sans" w:cs="Open Sans" w:eastAsia="Open Sans" w:hAnsi="Open Sans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c4587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Open Sans" w:cs="Open Sans" w:eastAsia="Open Sans" w:hAnsi="Open Sans"/>
          <w:b w:val="1"/>
          <w:bCs w:val="1"/>
          <w:color w:val="1c4587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  <w:rtl w:val="0"/>
        </w:rPr>
        <w:t xml:space="preserve">Labster                                                                                                     Dec 2020 to present</w:t>
      </w:r>
    </w:p>
    <w:p w:rsidR="00000000" w:rsidDel="00000000" w:rsidP="00000000" w:rsidRDefault="00000000" w:rsidRPr="00000000" w14:paraId="00000009">
      <w:pPr>
        <w:widowControl w:val="0"/>
        <w:spacing w:after="200" w:before="100" w:line="216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Executive at a VR and AI Edtech market leader, driving company-wide strategy, operations, P&amp;L ownership and corporate development, transforming Labster into a focused, efficient, and scalable business during a critical period of organizational change</w:t>
      </w:r>
    </w:p>
    <w:p w:rsidR="00000000" w:rsidDel="00000000" w:rsidP="00000000" w:rsidRDefault="00000000" w:rsidRPr="00000000" w14:paraId="0000000A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  <w:rtl w:val="0"/>
        </w:rPr>
        <w:t xml:space="preserve">VP of Strategy and GM for UbiSim                                                                                Jan 2024 – Present, New York</w:t>
      </w:r>
    </w:p>
    <w:p w:rsidR="00000000" w:rsidDel="00000000" w:rsidP="00000000" w:rsidRDefault="00000000" w:rsidRPr="00000000" w14:paraId="0000000B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Executive role overseeing UbiSim business line and company wide strategy. ops and data analytics teams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Full P&amp;L ownership of UbiSim VR product line with 40% YoY ARR growth and multi‑year expansion.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Rebuilt UbiSim product &amp; engineering teams to redesign content‑production platform achieving 50% reduction in simulation production cost.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Restructured data org and IT functions; outsourced IT for 20% cost savings and elevated data as a strategic enabler and business partner (including roll out of company wide AI initiatives)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Built and led cross‑functional operating rhythms (strategic planning, OKRs, quarterly business reviews).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  <w:rtl w:val="0"/>
        </w:rPr>
        <w:t xml:space="preserve">Head of Strategy, Partnerships and Corp. Dev.                                                           Dec 2020 – Dec 2023, Zurich</w:t>
      </w:r>
    </w:p>
    <w:p w:rsidR="00000000" w:rsidDel="00000000" w:rsidP="00000000" w:rsidRDefault="00000000" w:rsidRPr="00000000" w14:paraId="00000012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Lead of corporate strategy, fundraising, M&amp;A and strategic partnerships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Led company strategy of post‑COVID transformation, improving focus, efficiency &amp; operational stability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Drove shift toward profitable core operations, incl. simplified and improved GTM efficiency, significantly reducing company cash burn rate and improving LTV:CAC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Responsible for board level communications and strategic alignment on budgets and business cases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Lead on analysis and executive alignment around new markets, pivoting from slowing High School market to lucrative Corporate and Vocational training markets.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Led strategic partnerships, signing two significant GTM partners and one content partner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Raised $100M across Series C &amp; C+ rounds from top tier investors (a16z, Owl Ventures, GGV, Sofina).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Lead acquisition and integration of UbiSim, delivering 25% synergy cost savings and 40%+ revenue CAGR post‑acquisition.</w:t>
      </w:r>
    </w:p>
    <w:p w:rsidR="00000000" w:rsidDel="00000000" w:rsidP="00000000" w:rsidRDefault="00000000" w:rsidRPr="00000000" w14:paraId="0000001A">
      <w:pPr>
        <w:spacing w:line="192.00000000000003" w:lineRule="auto"/>
        <w:jc w:val="both"/>
        <w:rPr>
          <w:rFonts w:ascii="Open Sans" w:cs="Open Sans" w:eastAsia="Open Sans" w:hAnsi="Open Sans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92.00000000000003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  <w:rtl w:val="0"/>
        </w:rPr>
        <w:t xml:space="preserve">The LEGO Group                                                                                     Feb 2016 - Dec 2020</w:t>
      </w:r>
    </w:p>
    <w:p w:rsidR="00000000" w:rsidDel="00000000" w:rsidP="00000000" w:rsidRDefault="00000000" w:rsidRPr="00000000" w14:paraId="0000001D">
      <w:pPr>
        <w:widowControl w:val="0"/>
        <w:spacing w:after="200" w:before="100" w:line="216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Strategic advisor and corporate venture investor working on LEGO’s innovation agenda. Founding member of LEGO Ventures and trusted partner to the Executive Chairman and C-suite on global strategy initiatives. </w:t>
      </w:r>
    </w:p>
    <w:p w:rsidR="00000000" w:rsidDel="00000000" w:rsidP="00000000" w:rsidRDefault="00000000" w:rsidRPr="00000000" w14:paraId="0000001E">
      <w:pPr>
        <w:widowControl w:val="0"/>
        <w:shd w:fill="f3f3f3" w:val="clear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  <w:rtl w:val="0"/>
        </w:rPr>
        <w:t xml:space="preserve">Investment Partner, LEGO Ventures                                              Oct 2018 – Dec 2020, San Francisco &amp; London</w:t>
      </w:r>
    </w:p>
    <w:p w:rsidR="00000000" w:rsidDel="00000000" w:rsidP="00000000" w:rsidRDefault="00000000" w:rsidRPr="00000000" w14:paraId="0000001F">
      <w:pPr>
        <w:widowControl w:val="0"/>
        <w:shd w:fill="f3f3f3" w:val="clear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Corporate Venture Capital, Strategy &amp; Investment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Member of founding team establishing LEGO Ventures globally; launched U.S. presence in San Francisco and built 3‑person investment team in London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Completed 5 direct early‑stage EdTech investments (2 exits) as lead investor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Led venture theses, diligence, and strategic assessments across EdTech, gaming, and future‑of‑learning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40" w:line="192.00000000000003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3f3f3" w:val="clear"/>
        <w:spacing w:after="40" w:line="192.00000000000003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  <w:rtl w:val="0"/>
        </w:rPr>
        <w:t xml:space="preserve">Advisor to the Chairman of the Board, LEGO Group                                     Sep 2017 - Oct 2018, San Francisco</w:t>
      </w:r>
    </w:p>
    <w:p w:rsidR="00000000" w:rsidDel="00000000" w:rsidP="00000000" w:rsidRDefault="00000000" w:rsidRPr="00000000" w14:paraId="00000025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Special projects lead and advisor as LEGO representative in Silicon Valley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Advised LEGO’s Executive Chairman (Jorgen Vig Knudstorp) on VC strategy and strategic partnerships; built an extensive Silicon Valley network of investors and founders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Lead investor on two investments in leading VC funds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0" w:firstLine="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3f3f3" w:val="clear"/>
        <w:spacing w:after="40" w:line="192.00000000000003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  <w:rtl w:val="0"/>
        </w:rPr>
        <w:t xml:space="preserve">Strategy and Management Consultant, LEGO Group                                           Feb. 2016 – Sep 2017, Denmark</w:t>
      </w:r>
    </w:p>
    <w:p w:rsidR="00000000" w:rsidDel="00000000" w:rsidP="00000000" w:rsidRDefault="00000000" w:rsidRPr="00000000" w14:paraId="0000002A">
      <w:pPr>
        <w:widowControl w:val="0"/>
        <w:shd w:fill="f3f3f3" w:val="clear"/>
        <w:spacing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Management consultant and chief of staff for LEGO executive leaders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As strategy consultant, delivered high‑impact projects including U.S. commercial turnaround, global restructuring, and board governance initiatives.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Strategy consultant / Chief of Staff to LEGO CMO Julia Goldin and later LEGO CEO Bali Padda, driving high priority projects, facilitating leadership meetings and coordinating executive agenda</w:t>
      </w:r>
    </w:p>
    <w:p w:rsidR="00000000" w:rsidDel="00000000" w:rsidP="00000000" w:rsidRDefault="00000000" w:rsidRPr="00000000" w14:paraId="0000002D">
      <w:pPr>
        <w:spacing w:line="192.00000000000003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jc w:val="both"/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  <w:rtl w:val="0"/>
        </w:rPr>
        <w:t xml:space="preserve">Voluntas Advisory                                                               Jan 2015 - Jan 2016, Denmark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before="10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Management consultant delivering strategy and implementation projects, including Africa expansion strategy for Large Danish C20 Cap retailer and MEA entrance strategy a large Danish bedding retailer</w:t>
      </w:r>
    </w:p>
    <w:p w:rsidR="00000000" w:rsidDel="00000000" w:rsidP="00000000" w:rsidRDefault="00000000" w:rsidRPr="00000000" w14:paraId="00000031">
      <w:pPr>
        <w:widowControl w:val="0"/>
        <w:spacing w:before="100" w:line="240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40" w:line="240" w:lineRule="auto"/>
        <w:jc w:val="both"/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  <w:rtl w:val="0"/>
        </w:rPr>
        <w:t xml:space="preserve">Lind Invest </w:t>
      </w:r>
      <w:r w:rsidDel="00000000" w:rsidR="00000000" w:rsidRPr="00000000">
        <w:rPr>
          <w:rFonts w:ascii="Open Sans" w:cs="Open Sans" w:eastAsia="Open Sans" w:hAnsi="Open Sans"/>
          <w:color w:val="1e2733"/>
          <w:sz w:val="18"/>
          <w:szCs w:val="18"/>
          <w:shd w:fill="cfe2f3" w:val="clear"/>
          <w:rtl w:val="0"/>
        </w:rPr>
        <w:t xml:space="preserve">(Part time and internship)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sz w:val="26"/>
          <w:szCs w:val="26"/>
          <w:shd w:fill="cfe2f3" w:val="clear"/>
          <w:rtl w:val="0"/>
        </w:rPr>
        <w:t xml:space="preserve">                                            Jul 2013 - Dec 2014, Denmark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before="6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Business analyst, conducting due diligence on companies across multiple sectors and presented findings to the investment leadership team.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before="60" w:line="240" w:lineRule="auto"/>
        <w:ind w:left="720" w:hanging="360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e2733"/>
          <w:sz w:val="20"/>
          <w:szCs w:val="20"/>
          <w:rtl w:val="0"/>
        </w:rPr>
        <w:t xml:space="preserve">Built financial models and strategic assessments to evaluate potential risks, value creation levers, and investment fit.</w:t>
      </w:r>
    </w:p>
    <w:p w:rsidR="00000000" w:rsidDel="00000000" w:rsidP="00000000" w:rsidRDefault="00000000" w:rsidRPr="00000000" w14:paraId="00000035">
      <w:pPr>
        <w:widowControl w:val="0"/>
        <w:spacing w:before="60" w:line="240" w:lineRule="auto"/>
        <w:jc w:val="both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bottom w:color="000000" w:space="2" w:sz="8" w:val="single"/>
        </w:pBdr>
        <w:spacing w:line="240" w:lineRule="auto"/>
        <w:jc w:val="center"/>
        <w:rPr>
          <w:rFonts w:ascii="Open Sans" w:cs="Open Sans" w:eastAsia="Open Sans" w:hAnsi="Open Sans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c4587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60" w:before="200" w:line="216" w:lineRule="auto"/>
        <w:jc w:val="both"/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rtl w:val="0"/>
        </w:rPr>
        <w:t xml:space="preserve">MSc. in International Economic Consulting, Aarhus University</w:t>
      </w: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                                          2013 – 2016</w:t>
      </w:r>
    </w:p>
    <w:p w:rsidR="00000000" w:rsidDel="00000000" w:rsidP="00000000" w:rsidRDefault="00000000" w:rsidRPr="00000000" w14:paraId="00000038">
      <w:pPr>
        <w:widowControl w:val="0"/>
        <w:spacing w:after="60" w:line="216" w:lineRule="auto"/>
        <w:jc w:val="both"/>
        <w:rPr>
          <w:rFonts w:ascii="Open Sans" w:cs="Open Sans" w:eastAsia="Open Sans" w:hAnsi="Open Sans"/>
          <w:color w:val="1e2733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rtl w:val="0"/>
        </w:rPr>
        <w:t xml:space="preserve">BSc. in Business Administration and Economics, Aarhus University</w:t>
      </w: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                                 2010 – 2013</w:t>
      </w:r>
    </w:p>
    <w:p w:rsidR="00000000" w:rsidDel="00000000" w:rsidP="00000000" w:rsidRDefault="00000000" w:rsidRPr="00000000" w14:paraId="00000039">
      <w:pPr>
        <w:widowControl w:val="0"/>
        <w:spacing w:after="60" w:line="216" w:lineRule="auto"/>
        <w:jc w:val="both"/>
        <w:rPr>
          <w:rFonts w:ascii="Open Sans" w:cs="Open Sans" w:eastAsia="Open Sans" w:hAnsi="Open Sans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e2733"/>
          <w:rtl w:val="0"/>
        </w:rPr>
        <w:t xml:space="preserve">Exchange Student at National ChengChi University, Taipei, Taiwan                                </w:t>
      </w:r>
      <w:r w:rsidDel="00000000" w:rsidR="00000000" w:rsidRPr="00000000">
        <w:rPr>
          <w:rFonts w:ascii="Open Sans" w:cs="Open Sans" w:eastAsia="Open Sans" w:hAnsi="Open Sans"/>
          <w:color w:val="1e2733"/>
          <w:rtl w:val="0"/>
        </w:rPr>
        <w:t xml:space="preserve">2012 –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left"/>
        <w:rPr>
          <w:rFonts w:ascii="Open Sans" w:cs="Open Sans" w:eastAsia="Open Sans" w:hAnsi="Open Sans"/>
          <w:color w:val="1e273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Layout w:type="fixed"/>
        <w:tblLook w:val="0600"/>
      </w:tblPr>
      <w:tblGrid>
        <w:gridCol w:w="1725"/>
        <w:gridCol w:w="3435"/>
        <w:gridCol w:w="1635"/>
        <w:gridCol w:w="1191"/>
        <w:gridCol w:w="1191"/>
        <w:gridCol w:w="1191"/>
        <w:tblGridChange w:id="0">
          <w:tblGrid>
            <w:gridCol w:w="1725"/>
            <w:gridCol w:w="3435"/>
            <w:gridCol w:w="1635"/>
            <w:gridCol w:w="1191"/>
            <w:gridCol w:w="1191"/>
            <w:gridCol w:w="1191"/>
          </w:tblGrid>
        </w:tblGridChange>
      </w:tblGrid>
      <w:tr>
        <w:trPr>
          <w:cantSplit w:val="0"/>
          <w:trHeight w:val="2046.1425781250002" w:hRule="atLeast"/>
          <w:tblHeader w:val="0"/>
        </w:trPr>
        <w:tc>
          <w:tcPr>
            <w:gridSpan w:val="2"/>
            <w:tcBorders>
              <w:top w:color="ffff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bottom w:color="000000" w:space="2" w:sz="8" w:val="single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1c4587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c4587"/>
                <w:sz w:val="28"/>
                <w:szCs w:val="28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Business Operations, GTM Efficiency &amp; Cost Optimization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M&amp;A, Capital Raising &amp; Post-Merger Integration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Market Analysis, Competitive Intelligence &amp; Business Case Development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Board Level Communication, Investor Relations &amp; Leadership Reporting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Project Management and scoping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Strategic Partnerships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bottom w:color="000000" w:space="2" w:sz="8" w:val="single"/>
              </w:pBdr>
              <w:spacing w:line="240" w:lineRule="auto"/>
              <w:jc w:val="center"/>
              <w:rPr>
                <w:rFonts w:ascii="Open Sans" w:cs="Open Sans" w:eastAsia="Open Sans" w:hAnsi="Open Sans"/>
                <w:b w:val="1"/>
                <w:bCs w:val="1"/>
                <w:color w:val="1c4587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1c4587"/>
                <w:sz w:val="28"/>
                <w:szCs w:val="28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P&amp;L Ownership &amp; General Management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Corporate Strategy &amp; Planning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Operating Model Design &amp; Organizational Transformation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Cross functional Leadership &amp; Executive  Stakeholder Alignment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Open Sans" w:cs="Open Sans" w:eastAsia="Open Sans" w:hAnsi="Open Sans"/>
                <w:color w:val="1e2733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e2733"/>
                <w:sz w:val="20"/>
                <w:szCs w:val="20"/>
                <w:rtl w:val="0"/>
              </w:rPr>
              <w:t xml:space="preserve">OKR Frameworks, Operating Rhythms &amp; Performance Management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after="200" w:line="240" w:lineRule="auto"/>
        <w:jc w:val="both"/>
        <w:rPr>
          <w:rFonts w:ascii="Poppins Light" w:cs="Poppins Light" w:eastAsia="Poppins Light" w:hAnsi="Poppins Light"/>
          <w:color w:val="717373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even"/>
      <w:pgSz w:h="15840" w:w="12240" w:orient="portrait"/>
      <w:pgMar w:bottom="990" w:top="720" w:left="936.0000000000001" w:right="936.0000000000001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 ExtraBold">
    <w:embedBold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morten.va2@gmail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OpenSansExtraBold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PoppinsLight-regular.ttf"/><Relationship Id="rId2" Type="http://schemas.openxmlformats.org/officeDocument/2006/relationships/font" Target="fonts/PoppinsLight-bold.ttf"/><Relationship Id="rId3" Type="http://schemas.openxmlformats.org/officeDocument/2006/relationships/font" Target="fonts/PoppinsLight-italic.ttf"/><Relationship Id="rId4" Type="http://schemas.openxmlformats.org/officeDocument/2006/relationships/font" Target="fonts/PoppinsLight-boldItalic.ttf"/><Relationship Id="rId9" Type="http://schemas.openxmlformats.org/officeDocument/2006/relationships/font" Target="fonts/OpenSansExtraBold-bold.ttf"/><Relationship Id="rId14" Type="http://schemas.openxmlformats.org/officeDocument/2006/relationships/font" Target="fonts/OpenSans-boldItalic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