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6B8E9" w14:textId="77777777" w:rsidR="008E2143" w:rsidRPr="00A40C1A" w:rsidRDefault="00A40C1A">
      <w:pPr>
        <w:rPr>
          <w:b/>
          <w:bCs/>
        </w:rPr>
      </w:pPr>
      <w:r w:rsidRPr="00A40C1A">
        <w:rPr>
          <w:b/>
          <w:bCs/>
        </w:rPr>
        <w:t>Topic 9</w:t>
      </w:r>
    </w:p>
    <w:p w14:paraId="34B0B656" w14:textId="7F5C4BD8" w:rsidR="008E2143" w:rsidRDefault="00A40C1A">
      <w:r>
        <w:t>Learning objective: understand some key steps in the budgeting process.</w:t>
      </w:r>
    </w:p>
    <w:p w14:paraId="52EDF37C" w14:textId="77777777" w:rsidR="008E2143" w:rsidRDefault="008E2143"/>
    <w:p w14:paraId="0DA2AED9" w14:textId="4755EBAD" w:rsidR="008E2143" w:rsidRDefault="002F6F7D">
      <w:r>
        <w:t>1</w:t>
      </w:r>
      <w:r w:rsidR="00A40C1A">
        <w:t xml:space="preserve">) </w:t>
      </w:r>
      <w:r>
        <w:t>Red</w:t>
      </w:r>
      <w:r w:rsidR="00A40C1A">
        <w:t xml:space="preserve"> Book printing is budgeting sales of 25,000 units and already has 5,000 in beginning inventory. How many units mus</w:t>
      </w:r>
      <w:r w:rsidR="00A40C1A">
        <w:t xml:space="preserve">t be produced to also meet the 7,000 units required in </w:t>
      </w:r>
      <w:r>
        <w:t xml:space="preserve">the </w:t>
      </w:r>
      <w:r w:rsidR="00A40C1A">
        <w:t>ending inventory?</w:t>
      </w:r>
    </w:p>
    <w:p w14:paraId="351A634B" w14:textId="77777777" w:rsidR="008E2143" w:rsidRDefault="008E2143"/>
    <w:p w14:paraId="50601162" w14:textId="064679CD" w:rsidR="008E2143" w:rsidRDefault="002F6F7D">
      <w:r>
        <w:t>2</w:t>
      </w:r>
      <w:r w:rsidR="00A40C1A">
        <w:t xml:space="preserve">) </w:t>
      </w:r>
      <w:r>
        <w:t>Simple Remotes SA.</w:t>
      </w:r>
      <w:r w:rsidR="00A40C1A">
        <w:t xml:space="preserve"> makes universal remote controls and expects to sell 500 units in January, 800 in February, 450 in March, 550 in April, and 600 in May. The required ending inventory is </w:t>
      </w:r>
      <w:r w:rsidR="00A40C1A">
        <w:t>20% of the next month’s sales. Prepare a production budget for the first four months of the year.</w:t>
      </w:r>
    </w:p>
    <w:p w14:paraId="1087ADFA" w14:textId="77777777" w:rsidR="008E2143" w:rsidRDefault="008E2143"/>
    <w:p w14:paraId="402A0D56" w14:textId="40DE0BE0" w:rsidR="008E2143" w:rsidRDefault="002F6F7D">
      <w:r>
        <w:t>3</w:t>
      </w:r>
      <w:r w:rsidR="00A40C1A">
        <w:t>) Sunrise Poles manufactures hiking poles and is planning on producing 4,000 units in March and 3,700 in April. Each pole requires a half pound of material,</w:t>
      </w:r>
      <w:r w:rsidR="00A40C1A">
        <w:t xml:space="preserve"> which costs $1.20 per pound. The company’s policy is to have enough material on hand to equal 10% of the next month’s production needs and to maintain a finished goods inventory equal to 25% of the next month’s production needs. What is the budgeted cost </w:t>
      </w:r>
      <w:r w:rsidR="00A40C1A">
        <w:t>of purchases for March?</w:t>
      </w:r>
    </w:p>
    <w:p w14:paraId="284E7AF4" w14:textId="77777777" w:rsidR="008E2143" w:rsidRDefault="008E2143"/>
    <w:p w14:paraId="65CFACE5" w14:textId="7FF2CF0C" w:rsidR="008E2143" w:rsidRDefault="002F6F7D">
      <w:r>
        <w:t>4</w:t>
      </w:r>
      <w:r w:rsidR="00A40C1A">
        <w:t xml:space="preserve">) Cash collections for </w:t>
      </w:r>
      <w:r>
        <w:t>“Barcelona</w:t>
      </w:r>
      <w:r w:rsidR="00A40C1A">
        <w:t xml:space="preserve"> Candles</w:t>
      </w:r>
      <w:r>
        <w:t>”</w:t>
      </w:r>
      <w:r w:rsidR="00A40C1A">
        <w:t xml:space="preserve"> found that 60% of sales were collected in the month of the sale, 30% was collected the month after the sale, and 10% was collected the second month after the sale. Given the sales shown, how </w:t>
      </w:r>
      <w:r w:rsidR="00A40C1A">
        <w:t>much cash will be collected in January and February?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E2143" w14:paraId="1EE1D43B" w14:textId="77777777"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28A741" w14:textId="77777777" w:rsidR="008E2143" w:rsidRDefault="00A40C1A">
            <w:pPr>
              <w:pStyle w:val="TableContents"/>
            </w:pPr>
            <w:r>
              <w:t>November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A54F31" w14:textId="77777777" w:rsidR="008E2143" w:rsidRDefault="00A40C1A">
            <w:pPr>
              <w:pStyle w:val="TableContents"/>
            </w:pPr>
            <w:r>
              <w:t>December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DBD7E8" w14:textId="77777777" w:rsidR="008E2143" w:rsidRDefault="00A40C1A">
            <w:pPr>
              <w:pStyle w:val="TableContents"/>
            </w:pPr>
            <w:r>
              <w:t>January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68F3C" w14:textId="77777777" w:rsidR="008E2143" w:rsidRDefault="00A40C1A">
            <w:pPr>
              <w:pStyle w:val="TableContents"/>
            </w:pPr>
            <w:r>
              <w:t>February</w:t>
            </w:r>
          </w:p>
        </w:tc>
      </w:tr>
      <w:tr w:rsidR="008E2143" w14:paraId="161FB5EF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58979055" w14:textId="77777777" w:rsidR="008E2143" w:rsidRDefault="00A40C1A">
            <w:pPr>
              <w:pStyle w:val="TableContents"/>
            </w:pPr>
            <w:r>
              <w:t>$25.000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4988EFDC" w14:textId="77777777" w:rsidR="008E2143" w:rsidRDefault="00A40C1A">
            <w:pPr>
              <w:pStyle w:val="TableContents"/>
            </w:pPr>
            <w:r>
              <w:t>$35.000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2566A2BD" w14:textId="77777777" w:rsidR="008E2143" w:rsidRDefault="00A40C1A">
            <w:pPr>
              <w:pStyle w:val="TableContents"/>
            </w:pPr>
            <w:r>
              <w:t>$20.000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E0200" w14:textId="77777777" w:rsidR="008E2143" w:rsidRDefault="00A40C1A">
            <w:pPr>
              <w:pStyle w:val="TableContents"/>
            </w:pPr>
            <w:r>
              <w:t>$25.000</w:t>
            </w:r>
          </w:p>
        </w:tc>
      </w:tr>
    </w:tbl>
    <w:p w14:paraId="59935615" w14:textId="77777777" w:rsidR="008E2143" w:rsidRDefault="008E2143"/>
    <w:p w14:paraId="045A4FAE" w14:textId="4BC9230E" w:rsidR="008E2143" w:rsidRDefault="002F6F7D">
      <w:r>
        <w:t>5</w:t>
      </w:r>
      <w:r w:rsidR="00A40C1A">
        <w:t xml:space="preserve">) Rehydrator makes a nutrition additive and expects to sell 3,000 units in January, 2,000 in February, 2,500 in March, 2,700 in </w:t>
      </w:r>
      <w:r w:rsidR="00A40C1A">
        <w:t>April, and 2,900 in May. The required ending inventory is 20% of the next month’s sales, and the beginning inventory on January 1 was 600 units. Prepare a production budget for the first four months of the year.</w:t>
      </w:r>
    </w:p>
    <w:p w14:paraId="17AF76D8" w14:textId="77777777" w:rsidR="008E2143" w:rsidRDefault="008E2143"/>
    <w:p w14:paraId="65C4FFFF" w14:textId="028CF66F" w:rsidR="008E2143" w:rsidRDefault="008E2143"/>
    <w:sectPr w:rsidR="008E214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default"/>
  </w:font>
  <w:font w:name="FreeSan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xMTcyNbA0Mjc1MrNU0lEKTi0uzszPAykwrAUAOLhGVCwAAAA="/>
  </w:docVars>
  <w:rsids>
    <w:rsidRoot w:val="008E2143"/>
    <w:rsid w:val="001863A5"/>
    <w:rsid w:val="002F6F7D"/>
    <w:rsid w:val="008E2143"/>
    <w:rsid w:val="00A4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9A329"/>
  <w15:docId w15:val="{B76CACEC-8579-48DB-AAEF-12E73FF1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290</Words>
  <Characters>1417</Characters>
  <Application>Microsoft Office Word</Application>
  <DocSecurity>0</DocSecurity>
  <Lines>37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Ortiz M.</dc:creator>
  <dc:description/>
  <cp:lastModifiedBy>MARCELO IGNACIO ORTIZ MUÑOZ</cp:lastModifiedBy>
  <cp:revision>24</cp:revision>
  <dcterms:created xsi:type="dcterms:W3CDTF">2022-09-07T11:19:00Z</dcterms:created>
  <dcterms:modified xsi:type="dcterms:W3CDTF">2022-11-20T20:06:00Z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98643fcdbef83a05123e7c9598651ba647378cad63233060ec77f3f0c3d2ae95</vt:lpwstr>
  </property>
</Properties>
</file>