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Ledger Bank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Documento 2 — Modelo de dominio</w:t>
      </w:r>
    </w:p>
    <w:p>
      <w:pPr>
        <w:pStyle w:val="Heading1"/>
      </w:pPr>
      <w:r>
        <w:t xml:space="preserve">1. Visión general del modelo</w:t>
      </w:r>
    </w:p>
    <w:p>
      <w:pPr>
        <w:spacing w:after="120"/>
      </w:pPr>
      <w:r>
        <w:t xml:space="preserve">El sistema se modela con cuatro entidades. La fuente de verdad del dinero es el conjunto de apuntes contables (LedgerEntry); todo lo demás se deriva o se organiza alrededor de ellos.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— </w:t>
      </w:r>
      <w:r>
        <w:t xml:space="preserve">persona que se autentica en el sistema, con un rol (USER o ADMIN).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 — </w:t>
      </w:r>
      <w:r>
        <w:t xml:space="preserve">cuenta bancaria; mantiene un saldo materializado que actúa como caché del ledger.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 — </w:t>
      </w:r>
      <w:r>
        <w:t xml:space="preserve">operación de transferencia entre dos cuentas; porta la clave de idempotencia y el estado de la operación.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LedgerEntry — </w:t>
      </w:r>
      <w:r>
        <w:t xml:space="preserve">apunte contable inmutable; una línea de la "cartilla" de una cuenta.</w:t>
      </w:r>
    </w:p>
    <w:p>
      <w:pPr>
        <w:pStyle w:val="Heading1"/>
      </w:pPr>
      <w:r>
        <w:t xml:space="preserve">2. Relaciones y cardinalidades</w:t>
      </w:r>
    </w:p>
    <w:p>
      <w:pPr>
        <w:spacing w:after="40"/>
        <w:ind w:left="576"/>
      </w:pPr>
      <w:r>
        <w:rPr>
          <w:rFonts w:ascii="Courier New" w:cs="Courier New" w:eastAsia="Courier New" w:hAnsi="Courier New"/>
          <w:sz w:val="20"/>
          <w:szCs w:val="20"/>
        </w:rPr>
        <w:t xml:space="preserve">User     (1) ──── (N) Account</w:t>
      </w:r>
    </w:p>
    <w:p>
      <w:pPr>
        <w:spacing w:after="40"/>
        <w:ind w:left="576"/>
      </w:pPr>
      <w:r>
        <w:rPr>
          <w:rFonts w:ascii="Courier New" w:cs="Courier New" w:eastAsia="Courier New" w:hAnsi="Courier New"/>
          <w:sz w:val="20"/>
          <w:szCs w:val="20"/>
        </w:rPr>
        <w:t xml:space="preserve">Account  (1) ──── (N) LedgerEntry</w:t>
      </w:r>
    </w:p>
    <w:p>
      <w:pPr>
        <w:spacing w:after="40"/>
        <w:ind w:left="576"/>
      </w:pPr>
      <w:r>
        <w:rPr>
          <w:rFonts w:ascii="Courier New" w:cs="Courier New" w:eastAsia="Courier New" w:hAnsi="Courier New"/>
          <w:sz w:val="20"/>
          <w:szCs w:val="20"/>
        </w:rPr>
        <w:t xml:space="preserve">Transfer (1) ──── (N) LedgerEntry</w:t>
      </w:r>
    </w:p>
    <w:p>
      <w:pPr>
        <w:spacing w:after="40"/>
        <w:ind w:left="576"/>
      </w:pPr>
      <w:r>
        <w:rPr>
          <w:rFonts w:ascii="Courier New" w:cs="Courier New" w:eastAsia="Courier New" w:hAnsi="Courier New"/>
          <w:sz w:val="20"/>
          <w:szCs w:val="20"/>
        </w:rPr>
        <w:t xml:space="preserve">Account  (1) ──── (N) Transfer   [como cuenta origen]</w:t>
      </w:r>
    </w:p>
    <w:p>
      <w:pPr>
        <w:spacing w:after="40"/>
        <w:ind w:left="576"/>
      </w:pPr>
      <w:r>
        <w:rPr>
          <w:rFonts w:ascii="Courier New" w:cs="Courier New" w:eastAsia="Courier New" w:hAnsi="Courier New"/>
          <w:sz w:val="20"/>
          <w:szCs w:val="20"/>
        </w:rPr>
        <w:t xml:space="preserve">Account  (1) ──── (N) Transfer   [como cuenta destino]</w:t>
      </w:r>
    </w:p>
    <w:p>
      <w:pPr>
        <w:spacing w:after="120"/>
      </w:pPr>
    </w:p>
    <w:p>
      <w:pPr>
        <w:spacing w:after="120"/>
      </w:pPr>
      <w:r>
        <w:t xml:space="preserve">Notas sobre las relaciones:</w:t>
      </w:r>
    </w:p>
    <w:p>
      <w:pPr>
        <w:pStyle w:val="ListParagraph"/>
        <w:numPr>
          <w:ilvl w:val="0"/>
          <w:numId w:val="2"/>
        </w:numPr>
      </w:pPr>
      <w:r>
        <w:t xml:space="preserve">La relación Account–Transfer se materializa como dos relaciones N a 1 independientes (source_account_id y destination_account_id), nunca como N a N: una transferencia tiene exactamente una cuenta origen y una cuenta destino, con papeles distintos.</w:t>
      </w:r>
    </w:p>
    <w:p>
      <w:pPr>
        <w:pStyle w:val="ListParagraph"/>
        <w:numPr>
          <w:ilvl w:val="0"/>
          <w:numId w:val="2"/>
        </w:numPr>
      </w:pPr>
      <w:r>
        <w:t xml:space="preserve">Cada LedgerEntry pertenece a una única cuenta. La otra "pata" de la operación es otro apunte distinto, en otra cuenta, vinculado por la misma Transfer.</w:t>
      </w:r>
    </w:p>
    <w:p>
      <w:pPr>
        <w:pStyle w:val="ListParagraph"/>
        <w:numPr>
          <w:ilvl w:val="0"/>
          <w:numId w:val="2"/>
        </w:numPr>
      </w:pPr>
      <w:r>
        <w:t xml:space="preserve">Una Transfer COMPLETED tiene exactamente 2 apuntes (uno negativo en origen, uno positivo en destino). Una Transfer FAILED tiene 0 apuntes. No existe el caso de 1 apunte: si apareciera, indicaría una violación de la atomicidad.</w:t>
      </w:r>
    </w:p>
    <w:p>
      <w:pPr>
        <w:pStyle w:val="Heading1"/>
      </w:pPr>
      <w:r>
        <w:t xml:space="preserve">3. Entidades y campos</w:t>
      </w:r>
    </w:p>
    <w:p>
      <w:pPr>
        <w:pStyle w:val="Heading2"/>
      </w:pPr>
      <w:r>
        <w:t xml:space="preserve">3.1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Tipo lógico</w:t>
            </w:r>
          </w:p>
        </w:tc>
        <w:tc>
          <w:tcPr>
            <w:tcW w:type="dxa" w:w="5360"/>
            <w:shd w:fill="D9E2F3" w:val="clea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primaria interna. Nunca se expone al exterior.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texto, único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Credencial de acceso.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Hash BCrypt de la contraseña. Nunca se almacena la contraseña en claro. El JWT no se almacena: se genera y firma en el login (stateless).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dni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texto, único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 de identidad.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/ ADMIN. Sustituye a tener entidades separadas Admin/Cliente: mismos datos, distintos permisos.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fecha-hora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entidad del sistema lleva created_at (requisito de auditoría).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Tipo lógico</w:t>
            </w:r>
          </w:p>
        </w:tc>
        <w:tc>
          <w:tcPr>
            <w:tcW w:type="dxa" w:w="5360"/>
            <w:shd w:fill="D9E2F3" w:val="clea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primaria interna.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texto, único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público de la cuenta (estilo IBAN simplificado). Es el que se usa para dirigir transferencias; el id interno nunca se expone.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→ User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Dueño de la cuenta.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Saldo materializado. No es la fuente de verdad: es una caché derivada del ledger, verificable recalculando la suma de apuntes.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ACTIVE / CLOSED. Borrado lógico (soft delete): las cuentas nunca se eliminan físicamente para preservar el historial. Extensible (p. ej. FROZEN) sin cambiar el esquema.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fecha-hora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de apertura de la cuenta.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Tipo lógico</w:t>
            </w:r>
          </w:p>
        </w:tc>
        <w:tc>
          <w:tcPr>
            <w:tcW w:type="dxa" w:w="5360"/>
            <w:shd w:fill="D9E2F3" w:val="clea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primaria interna.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texto, único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generada por el cliente. Si llega una petición con una clave ya registrada, no se procesa de nuevo: se devuelve la Transfer existente. Hace imposible el cobro duplicado por reintentos.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source_account_id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→ Account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Cuenta origen.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destination_account_id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→ Account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Cuenta destino.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Importe sin signo ("100 €"). El signo lo aportan los apuntes.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texto, opcional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Concepto de la transferencia.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enum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COMPLETED / FAILED. Los intentos rechazados (p. ej. por saldo insuficiente) quedan registrados como filas FAILED: cada intento es su propia Transfer, no existe un contador de intentos.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fecha-hora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LedgerEntry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Tipo lógico</w:t>
            </w:r>
          </w:p>
        </w:tc>
        <w:tc>
          <w:tcPr>
            <w:tcW w:type="dxa" w:w="5360"/>
            <w:shd w:fill="D9E2F3" w:val="clea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primaria interna.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→ Account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cuenta (única) a la que pertenece el apunte.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transfer_id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FK → Transfer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operación que originó el apunte. Permite al auditor vincular con certeza las dos patas de una transferencia.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Importe con signo: negativo en la pata origen, positivo en la destino. El saldo de una cuenta es la suma de los amount de sus apuntes.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fecha-hora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LedgerEntry no tiene ningún campo actualizable: ni estado, ni fecha de modificación. Nace completo y no cambia jamás. Su simplicidad es deliberada: es la pieza inmutable del sistema.</w:t>
      </w:r>
    </w:p>
    <w:p>
      <w:pPr>
        <w:pStyle w:val="Heading1"/>
      </w:pPr>
      <w:r>
        <w:t xml:space="preserve">4. Decisiones de diseño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Saldo materializado, no fuente de verdad — </w:t>
      </w:r>
      <w:r>
        <w:t xml:space="preserve">el saldo guardado en Account es una caché de lectura. La fuente de verdad son los apuntes; ante cualquier discrepancia, gana el ledger. Se descartó el enfoque de snapshots/cierres contables por añadir complejidad sin valor demostrable a esta escala.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Apuntes con signo — </w:t>
      </w:r>
      <w:r>
        <w:t xml:space="preserve">los apuntes llevan el signo (+/-) y la Transfer lleva el importe absoluto. El saldo se obtiene con una suma simple, sin lógica condicional.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 FAILED sin apuntes — </w:t>
      </w:r>
      <w:r>
        <w:t xml:space="preserve">las transferencias fallidas quedan registradas (auditoría y soporte) pero no generan apuntes: el dinero no se movió, el ledger no se toca, y el saldo cuadra sin necesidad de filtrar por estado.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Borrado lógico — </w:t>
      </w:r>
      <w:r>
        <w:t xml:space="preserve">nada se borra físicamente. Las cuentas se cierran (status = CLOSED), no se eliminan, preservando la integridad referencial del histórico.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Duplicidad por reintentos — </w:t>
      </w:r>
      <w:r>
        <w:t xml:space="preserve">la evita el propio cliente generando una clave única por operación; el servidor la usa para distinguir reintentos de operaciones nuevas, algo imposible de inferir del contenido de la petición.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Naming — </w:t>
      </w:r>
      <w:r>
        <w:t xml:space="preserve">se evita el nombre "Transaction" para la entidad de transferencias: colisiona con el concepto de transacción de base de datos (y con clases de JPA). Transfer y LedgerEntry nombran sin ambigüedad.</w:t>
      </w:r>
    </w:p>
    <w:p>
      <w:pPr>
        <w:pStyle w:val="Heading1"/>
      </w:pPr>
      <w:r>
        <w:t xml:space="preserve">5. Reglas derivadas del modelo</w:t>
      </w:r>
    </w:p>
    <w:p>
      <w:pPr>
        <w:spacing w:after="120"/>
      </w:pPr>
      <w:r>
        <w:t xml:space="preserve">Invariantes que cualquier implementación debe respetar y que los tests deberán verificar:</w:t>
      </w:r>
    </w:p>
    <w:p>
      <w:pPr>
        <w:pStyle w:val="ListParagraph"/>
        <w:numPr>
          <w:ilvl w:val="0"/>
          <w:numId w:val="2"/>
        </w:numPr>
      </w:pPr>
      <w:r>
        <w:t xml:space="preserve">Para toda cuenta: balance = suma de amount de sus LedgerEntry.</w:t>
      </w:r>
    </w:p>
    <w:p>
      <w:pPr>
        <w:pStyle w:val="ListParagraph"/>
        <w:numPr>
          <w:ilvl w:val="0"/>
          <w:numId w:val="2"/>
        </w:numPr>
      </w:pPr>
      <w:r>
        <w:t xml:space="preserve">Toda Transfer COMPLETED tiene exactamente 2 apuntes cuya suma es 0 (−X y +X).</w:t>
      </w:r>
    </w:p>
    <w:p>
      <w:pPr>
        <w:pStyle w:val="ListParagraph"/>
        <w:numPr>
          <w:ilvl w:val="0"/>
          <w:numId w:val="2"/>
        </w:numPr>
      </w:pPr>
      <w:r>
        <w:t xml:space="preserve">Toda Transfer FAILED tiene exactamente 0 apuntes.</w:t>
      </w:r>
    </w:p>
    <w:p>
      <w:pPr>
        <w:pStyle w:val="ListParagraph"/>
        <w:numPr>
          <w:ilvl w:val="0"/>
          <w:numId w:val="2"/>
        </w:numPr>
      </w:pPr>
      <w:r>
        <w:t xml:space="preserve">Ningún LedgerEntry se actualiza ni se borra después de crearse.</w:t>
      </w:r>
    </w:p>
    <w:p>
      <w:pPr>
        <w:pStyle w:val="ListParagraph"/>
        <w:numPr>
          <w:ilvl w:val="0"/>
          <w:numId w:val="2"/>
        </w:numPr>
      </w:pPr>
      <w:r>
        <w:t xml:space="preserve">No existen dos Transfer con la misma idempotency_key.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2026-07-13T19:58:41.084Z</dcterms:created>
  <dcterms:modified xsi:type="dcterms:W3CDTF">2026-07-13T19:58:41.107Z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