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Ledger Bank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Documento 4 — Diseño de la API</w:t>
      </w:r>
    </w:p>
    <w:p>
      <w:pPr>
        <w:pStyle w:val="Heading1"/>
      </w:pPr>
      <w:r>
        <w:t xml:space="preserve">1. Principios de diseño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append-only — </w:t>
      </w:r>
      <w:r>
        <w:t xml:space="preserve">la API refleja el dominio: un ledger es append-only, así que la API se compone casi exclusivamente de POST (crear) y GET (consultar). No existe ningún DELETE — un banco no borra historia. Existe un único PUT, y solo sobre datos descriptivos del usuario, nunca sobre nada contable.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Identificadores públicos — </w:t>
      </w:r>
      <w:r>
        <w:t xml:space="preserve">las rutas usan el account_number (identificador público) y nunca el id interno de la base de datos.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Autorización por propiedad — </w:t>
      </w:r>
      <w:r>
        <w:t xml:space="preserve">todos los endpoints salvo los de autenticación requieren JWT. Los endpoints de cuentas y transferencias verifican propiedad: un usuario solo puede ver y operar sus propias cuentas (regla R6, aplicada también a las lecturas). El rol ADMIN accede a las vistas globales.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Idempotencia por header — </w:t>
      </w:r>
      <w:r>
        <w:t xml:space="preserve">la clave de idempotencia viaja en el header Idempotency-Key, convención estándar de la industria (p. ej. Stripe).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Acciones, no borrados — </w:t>
      </w:r>
      <w:r>
        <w:t xml:space="preserve">cerrar una cuenta se expone como POST /accounts/{accountNumber}/close y no como DELETE: es un cambio de estado (soft delete), no un borrado.</w:t>
      </w:r>
    </w:p>
    <w:p>
      <w:pPr>
        <w:pStyle w:val="Heading1"/>
      </w:pPr>
      <w:r>
        <w:t xml:space="preserve">2. Endpoints</w:t>
      </w:r>
    </w:p>
    <w:p>
      <w:pPr>
        <w:pStyle w:val="Heading2"/>
      </w:pPr>
      <w:r>
        <w:t xml:space="preserve">2.1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300"/>
        <w:gridCol w:w="3760"/>
      </w:tblGrid>
      <w:tr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Verbo</w:t>
            </w:r>
          </w:p>
        </w:tc>
        <w:tc>
          <w:tcPr>
            <w:tcW w:type="dxa" w:w="3400"/>
            <w:shd w:fill="D9E2F3" w:val="clear"/>
          </w:tcPr>
          <w:p>
            <w:r>
              <w:rPr>
                <w:b/>
                <w:bCs/>
              </w:rPr>
              <w:t xml:space="preserve">Ruta</w:t>
            </w:r>
          </w:p>
        </w:tc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3760"/>
            <w:shd w:fill="D9E2F3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Pública</w:t>
            </w:r>
          </w:p>
        </w:tc>
        <w:tc>
          <w:tcPr>
            <w:tcW w:type="dxa" w:w="37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Registro de usuario.</w:t>
            </w:r>
          </w:p>
        </w:tc>
      </w:tr>
      <w:tr>
        <w:tc>
          <w:tcPr>
            <w:tcW w:type="dxa" w:w="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Pública</w:t>
            </w:r>
          </w:p>
        </w:tc>
        <w:tc>
          <w:tcPr>
            <w:tcW w:type="dxa" w:w="37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Autenticación; devuelve el JWT.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300"/>
        <w:gridCol w:w="3760"/>
      </w:tblGrid>
      <w:tr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Verbo</w:t>
            </w:r>
          </w:p>
        </w:tc>
        <w:tc>
          <w:tcPr>
            <w:tcW w:type="dxa" w:w="3400"/>
            <w:shd w:fill="D9E2F3" w:val="clear"/>
          </w:tcPr>
          <w:p>
            <w:r>
              <w:rPr>
                <w:b/>
                <w:bCs/>
              </w:rPr>
              <w:t xml:space="preserve">Ruta</w:t>
            </w:r>
          </w:p>
        </w:tc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3760"/>
            <w:shd w:fill="D9E2F3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/users/me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</w:t>
            </w:r>
          </w:p>
        </w:tc>
        <w:tc>
          <w:tcPr>
            <w:tcW w:type="dxa" w:w="37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Perfil del usuario autenticado.</w:t>
            </w:r>
          </w:p>
        </w:tc>
      </w:tr>
      <w:tr>
        <w:tc>
          <w:tcPr>
            <w:tcW w:type="dxa" w:w="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/users/me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</w:t>
            </w:r>
          </w:p>
        </w:tc>
        <w:tc>
          <w:tcPr>
            <w:tcW w:type="dxa" w:w="37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Modificación de datos descriptivos del perfil (nombre, apellidos). Único PUT del sistema.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Cuentas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300"/>
        <w:gridCol w:w="3760"/>
      </w:tblGrid>
      <w:tr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Verbo</w:t>
            </w:r>
          </w:p>
        </w:tc>
        <w:tc>
          <w:tcPr>
            <w:tcW w:type="dxa" w:w="3400"/>
            <w:shd w:fill="D9E2F3" w:val="clear"/>
          </w:tcPr>
          <w:p>
            <w:r>
              <w:rPr>
                <w:b/>
                <w:bCs/>
              </w:rPr>
              <w:t xml:space="preserve">Ruta</w:t>
            </w:r>
          </w:p>
        </w:tc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3760"/>
            <w:shd w:fill="D9E2F3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/accounts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</w:t>
            </w:r>
          </w:p>
        </w:tc>
        <w:tc>
          <w:tcPr>
            <w:tcW w:type="dxa" w:w="37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Abrir una cuenta; el dueño es el usuario autenticado.</w:t>
            </w:r>
          </w:p>
        </w:tc>
      </w:tr>
      <w:tr>
        <w:tc>
          <w:tcPr>
            <w:tcW w:type="dxa" w:w="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/accounts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</w:t>
            </w:r>
          </w:p>
        </w:tc>
        <w:tc>
          <w:tcPr>
            <w:tcW w:type="dxa" w:w="37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Listar las cuentas del usuario autenticado.</w:t>
            </w:r>
          </w:p>
        </w:tc>
      </w:tr>
      <w:tr>
        <w:tc>
          <w:tcPr>
            <w:tcW w:type="dxa" w:w="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/accounts/{accountNumber}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(dueño)</w:t>
            </w:r>
          </w:p>
        </w:tc>
        <w:tc>
          <w:tcPr>
            <w:tcW w:type="dxa" w:w="37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Detalle de una cuenta, incluido su saldo.</w:t>
            </w:r>
          </w:p>
        </w:tc>
      </w:tr>
      <w:tr>
        <w:tc>
          <w:tcPr>
            <w:tcW w:type="dxa" w:w="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/accounts/{accountNumber}/entries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(dueño)</w:t>
            </w:r>
          </w:p>
        </w:tc>
        <w:tc>
          <w:tcPr>
            <w:tcW w:type="dxa" w:w="37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Apuntes de la cuenta (la "cartilla"). Es el ledger visto desde fuera.</w:t>
            </w:r>
          </w:p>
        </w:tc>
      </w:tr>
      <w:tr>
        <w:tc>
          <w:tcPr>
            <w:tcW w:type="dxa" w:w="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/accounts/{accountNumber}/close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(dueño)</w:t>
            </w:r>
          </w:p>
        </w:tc>
        <w:tc>
          <w:tcPr>
            <w:tcW w:type="dxa" w:w="37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Cerrar la cuenta (status → CLOSED).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Transferencias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300"/>
        <w:gridCol w:w="3760"/>
      </w:tblGrid>
      <w:tr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Verbo</w:t>
            </w:r>
          </w:p>
        </w:tc>
        <w:tc>
          <w:tcPr>
            <w:tcW w:type="dxa" w:w="3400"/>
            <w:shd w:fill="D9E2F3" w:val="clear"/>
          </w:tcPr>
          <w:p>
            <w:r>
              <w:rPr>
                <w:b/>
                <w:bCs/>
              </w:rPr>
              <w:t xml:space="preserve">Ruta</w:t>
            </w:r>
          </w:p>
        </w:tc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3760"/>
            <w:shd w:fill="D9E2F3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/transfers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(dueño origen)</w:t>
            </w:r>
          </w:p>
        </w:tc>
        <w:tc>
          <w:tcPr>
            <w:tcW w:type="dxa" w:w="37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Ejecutar transferencia. Requiere header Idempotency-Key. Cuerpo: cuenta origen, cuenta destino, importe, descripción opcional.</w:t>
            </w:r>
          </w:p>
        </w:tc>
      </w:tr>
      <w:tr>
        <w:tc>
          <w:tcPr>
            <w:tcW w:type="dxa" w:w="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/transfers/{id}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(implicado)</w:t>
            </w:r>
          </w:p>
        </w:tc>
        <w:tc>
          <w:tcPr>
            <w:tcW w:type="dxa" w:w="37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Consultar una transferencia. Accesible para los dueños de las cuentas implicadas.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Administración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300"/>
        <w:gridCol w:w="3760"/>
      </w:tblGrid>
      <w:tr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Verbo</w:t>
            </w:r>
          </w:p>
        </w:tc>
        <w:tc>
          <w:tcPr>
            <w:tcW w:type="dxa" w:w="3400"/>
            <w:shd w:fill="D9E2F3" w:val="clear"/>
          </w:tcPr>
          <w:p>
            <w:r>
              <w:rPr>
                <w:b/>
                <w:bCs/>
              </w:rPr>
              <w:t xml:space="preserve">Ruta</w:t>
            </w:r>
          </w:p>
        </w:tc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3760"/>
            <w:shd w:fill="D9E2F3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/admin/accounts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tcPr>
            <w:tcW w:type="dxa" w:w="37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Todas las cuentas del sistema.</w:t>
            </w:r>
          </w:p>
        </w:tc>
      </w:tr>
      <w:tr>
        <w:tc>
          <w:tcPr>
            <w:tcW w:type="dxa" w:w="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/admin/transfers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tcPr>
            <w:tcW w:type="dxa" w:w="37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Todas las transferencias del sistema.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Códigos de estado HTTP</w:t>
      </w:r>
    </w:p>
    <w:p>
      <w:pPr>
        <w:spacing w:after="120"/>
      </w:pPr>
      <w:r>
        <w:t xml:space="preserve">Mapeo de las reglas de negocio (Documento 3) y situaciones generales a códigos HTTP: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Situación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4160"/>
            <w:shd w:fill="D9E2F3" w:val="clear"/>
          </w:tcPr>
          <w:p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Operación de lectura correcta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200</w:t>
            </w:r>
          </w:p>
        </w:tc>
        <w:tc>
          <w:tcPr>
            <w:tcW w:type="dxa" w:w="41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OK.</w:t>
            </w:r>
          </w:p>
        </w:tc>
      </w:tr>
      <w:tr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Recurso creado (registro, cuenta, transferencia COMPLETED)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201</w:t>
            </w:r>
          </w:p>
        </w:tc>
        <w:tc>
          <w:tcPr>
            <w:tcW w:type="dxa" w:w="41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Created.</w:t>
            </w:r>
          </w:p>
        </w:tc>
      </w:tr>
      <w:tr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Reintento idempotente (R7, mismos datos)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200</w:t>
            </w:r>
          </w:p>
        </w:tc>
        <w:tc>
          <w:tcPr>
            <w:tcW w:type="dxa" w:w="41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 devuelve la Transfer original ya existente; no se crea nada nuevo.</w:t>
            </w:r>
          </w:p>
        </w:tc>
      </w:tr>
      <w:tr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Petición malformada: importe no positivo (R1), misma cuenta (R4), falta Idempotency-Key, JSON inválido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400</w:t>
            </w:r>
          </w:p>
        </w:tc>
        <w:tc>
          <w:tcPr>
            <w:tcW w:type="dxa" w:w="41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Bad Request — el cliente envió datos incorrectos.</w:t>
            </w:r>
          </w:p>
        </w:tc>
      </w:tr>
      <w:tr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 token o token inválido/expirado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401</w:t>
            </w:r>
          </w:p>
        </w:tc>
        <w:tc>
          <w:tcPr>
            <w:tcW w:type="dxa" w:w="41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Unauthorized — no sabemos quién eres.</w:t>
            </w:r>
          </w:p>
        </w:tc>
      </w:tr>
      <w:tr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Cuenta origen ajena (R6), acceso a recursos de otro usuario, endpoint admin sin rol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403</w:t>
            </w:r>
          </w:p>
        </w:tc>
        <w:tc>
          <w:tcPr>
            <w:tcW w:type="dxa" w:w="41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Forbidden — sabemos quién eres, pero no puedes hacer esto.</w:t>
            </w:r>
          </w:p>
        </w:tc>
      </w:tr>
      <w:tr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Cuenta o transferencia inexistente (R2/R3 caso inexistente)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404</w:t>
            </w:r>
          </w:p>
        </w:tc>
        <w:tc>
          <w:tcPr>
            <w:tcW w:type="dxa" w:w="41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Found.</w:t>
            </w:r>
          </w:p>
        </w:tc>
      </w:tr>
      <w:tr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Idempotency key repetida con datos distintos (R7, conflicto)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409</w:t>
            </w:r>
          </w:p>
        </w:tc>
        <w:tc>
          <w:tcPr>
            <w:tcW w:type="dxa" w:w="41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Conflict — la key ya está ligada a otra operación.</w:t>
            </w:r>
          </w:p>
        </w:tc>
      </w:tr>
      <w:tr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Fallo de negocio: saldo insuficiente (R5), cuenta cerrada (R2/R3 caso cerrada)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422</w:t>
            </w:r>
          </w:p>
        </w:tc>
        <w:tc>
          <w:tcPr>
            <w:tcW w:type="dxa" w:w="41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Unprocessable Entity — petición válida que el estado del sistema no permite completar. Se registra Transfer FAILED.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</w:rPr>
        <w:t xml:space="preserve">Nota: la distinción 400 vs 422 sigue la clasificación del Documento 3. Los 400 son peticiones inválidas (no se persiste nada); los 422 son fallos de negocio (queda Transfer FAILED). La distinción 401 vs 403 es la estándar: 401 = identidad no acreditada, 403 = identidad acreditada sin permisos.</w:t>
      </w:r>
    </w:p>
    <w:p>
      <w:pPr>
        <w:pStyle w:val="Heading1"/>
      </w:pPr>
      <w:r>
        <w:t xml:space="preserve">4. Fuera de alcance de la API (fase 1)</w:t>
      </w:r>
    </w:p>
    <w:p>
      <w:pPr>
        <w:pStyle w:val="ListParagraph"/>
        <w:numPr>
          <w:ilvl w:val="0"/>
          <w:numId w:val="2"/>
        </w:numPr>
      </w:pPr>
      <w:r>
        <w:t xml:space="preserve">No existe eliminación de usuarios: sus cuentas referencian el historial. Una eventual baja seguiría el mismo patrón de borrado lógico que las cuentas (fase 2).</w:t>
      </w:r>
    </w:p>
    <w:p>
      <w:pPr>
        <w:pStyle w:val="ListParagraph"/>
        <w:numPr>
          <w:ilvl w:val="0"/>
          <w:numId w:val="2"/>
        </w:numPr>
      </w:pPr>
      <w:r>
        <w:t xml:space="preserve">No hay paginación en los listados (se documenta como mejora conocida para la fase 2; con volúmenes reales sería imprescindible).</w:t>
      </w:r>
    </w:p>
    <w:p>
      <w:pPr>
        <w:pStyle w:val="ListParagraph"/>
        <w:numPr>
          <w:ilvl w:val="0"/>
          <w:numId w:val="2"/>
        </w:numPr>
      </w:pPr>
      <w:r>
        <w:t xml:space="preserve">La documentación interactiva completa (esquemas de request/response) se generará con OpenAPI/Swagger sobre el propio código, evitando duplicarla aquí.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2026-07-13T20:11:35.935Z</dcterms:created>
  <dcterms:modified xsi:type="dcterms:W3CDTF">2026-07-13T20:11:35.950Z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