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1F34E" w14:textId="77777777" w:rsidR="00102498" w:rsidRPr="0025498E" w:rsidRDefault="00102498" w:rsidP="00102498">
      <w:pPr>
        <w:pStyle w:val="Articletitle"/>
      </w:pPr>
      <w:r w:rsidRPr="0025498E">
        <w:t>SCOPE++: Sequence Classification Of homoPolymer Emissions</w:t>
      </w:r>
    </w:p>
    <w:p w14:paraId="6F8FBA78" w14:textId="77777777" w:rsidR="00102498" w:rsidRPr="0025498E" w:rsidRDefault="00102498" w:rsidP="00102498">
      <w:pPr>
        <w:rPr>
          <w:noProof w:val="0"/>
        </w:rPr>
      </w:pPr>
    </w:p>
    <w:p w14:paraId="77F18434" w14:textId="77777777"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0769AD6A" w14:textId="77777777" w:rsidR="00102498" w:rsidRPr="0025498E" w:rsidRDefault="00102498" w:rsidP="00102498">
      <w:pPr>
        <w:rPr>
          <w:noProof w:val="0"/>
        </w:rPr>
      </w:pPr>
    </w:p>
    <w:p w14:paraId="7C2E6BFC"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1BF19065" w14:textId="77777777" w:rsidR="00102498" w:rsidRPr="0025498E" w:rsidRDefault="00102498" w:rsidP="00102498">
      <w:pPr>
        <w:rPr>
          <w:noProof w:val="0"/>
        </w:rPr>
      </w:pPr>
    </w:p>
    <w:p w14:paraId="1D3D3142"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F977E27" w14:textId="77777777" w:rsidR="00102498" w:rsidRPr="0025498E" w:rsidRDefault="00102498" w:rsidP="00102498">
      <w:pPr>
        <w:rPr>
          <w:noProof w:val="0"/>
        </w:rPr>
      </w:pPr>
    </w:p>
    <w:p w14:paraId="01CF7B75" w14:textId="77777777" w:rsidR="00102498" w:rsidRPr="0025498E" w:rsidRDefault="00102498" w:rsidP="00102498">
      <w:pPr>
        <w:rPr>
          <w:noProof w:val="0"/>
        </w:rPr>
      </w:pPr>
      <w:r w:rsidRPr="0025498E">
        <w:rPr>
          <w:noProof w:val="0"/>
        </w:rPr>
        <w:t>Email addresses:</w:t>
      </w:r>
    </w:p>
    <w:p w14:paraId="0FBFF074" w14:textId="77777777" w:rsidR="00102498" w:rsidRPr="0025498E" w:rsidRDefault="00102498" w:rsidP="00102498">
      <w:pPr>
        <w:ind w:left="720"/>
        <w:rPr>
          <w:noProof w:val="0"/>
        </w:rPr>
      </w:pPr>
      <w:r w:rsidRPr="0025498E">
        <w:rPr>
          <w:noProof w:val="0"/>
        </w:rPr>
        <w:t xml:space="preserve">JTM: </w:t>
      </w:r>
      <w:hyperlink r:id="rId9" w:history="1">
        <w:r w:rsidRPr="0025498E">
          <w:rPr>
            <w:rStyle w:val="Hyperlink"/>
            <w:noProof w:val="0"/>
          </w:rPr>
          <w:t>mortonjt@miamiOH.edu</w:t>
        </w:r>
      </w:hyperlink>
    </w:p>
    <w:p w14:paraId="5178476B" w14:textId="77777777" w:rsidR="00102498" w:rsidRPr="0025498E" w:rsidRDefault="00102498" w:rsidP="00102498">
      <w:pPr>
        <w:ind w:left="720"/>
        <w:rPr>
          <w:noProof w:val="0"/>
        </w:rPr>
      </w:pPr>
      <w:r w:rsidRPr="0025498E">
        <w:rPr>
          <w:noProof w:val="0"/>
        </w:rPr>
        <w:t xml:space="preserve">PA: </w:t>
      </w:r>
      <w:hyperlink r:id="rId10" w:history="1">
        <w:r w:rsidRPr="0025498E">
          <w:rPr>
            <w:rStyle w:val="Hyperlink"/>
            <w:noProof w:val="0"/>
          </w:rPr>
          <w:t>abrudapa@miamiOH.edu</w:t>
        </w:r>
      </w:hyperlink>
      <w:r w:rsidRPr="0025498E">
        <w:rPr>
          <w:noProof w:val="0"/>
        </w:rPr>
        <w:t xml:space="preserve"> </w:t>
      </w:r>
    </w:p>
    <w:p w14:paraId="0E58A3F9" w14:textId="77777777" w:rsidR="00102498" w:rsidRPr="0025498E" w:rsidRDefault="00102498" w:rsidP="00102498">
      <w:pPr>
        <w:ind w:left="720"/>
        <w:rPr>
          <w:noProof w:val="0"/>
        </w:rPr>
      </w:pPr>
      <w:r w:rsidRPr="0025498E">
        <w:rPr>
          <w:noProof w:val="0"/>
        </w:rPr>
        <w:t xml:space="preserve">NF: </w:t>
      </w:r>
      <w:hyperlink r:id="rId11" w:history="1">
        <w:r w:rsidRPr="0025498E">
          <w:rPr>
            <w:rStyle w:val="Hyperlink"/>
            <w:noProof w:val="0"/>
          </w:rPr>
          <w:t>figuernd@miamiOH.edu</w:t>
        </w:r>
      </w:hyperlink>
      <w:r w:rsidRPr="0025498E">
        <w:rPr>
          <w:noProof w:val="0"/>
        </w:rPr>
        <w:t xml:space="preserve">  </w:t>
      </w:r>
    </w:p>
    <w:p w14:paraId="79974199" w14:textId="77777777" w:rsidR="00102498" w:rsidRPr="0025498E" w:rsidRDefault="00102498" w:rsidP="00102498">
      <w:pPr>
        <w:ind w:left="720"/>
        <w:rPr>
          <w:noProof w:val="0"/>
        </w:rPr>
      </w:pPr>
      <w:r w:rsidRPr="0025498E">
        <w:rPr>
          <w:noProof w:val="0"/>
        </w:rPr>
        <w:t xml:space="preserve">CL: </w:t>
      </w:r>
      <w:hyperlink r:id="rId12" w:history="1">
        <w:r w:rsidRPr="0025498E">
          <w:rPr>
            <w:rStyle w:val="Hyperlink"/>
            <w:noProof w:val="0"/>
          </w:rPr>
          <w:t>liangc@miamiOH.edu</w:t>
        </w:r>
      </w:hyperlink>
      <w:r w:rsidRPr="0025498E">
        <w:rPr>
          <w:noProof w:val="0"/>
        </w:rPr>
        <w:t xml:space="preserve"> </w:t>
      </w:r>
    </w:p>
    <w:p w14:paraId="3ABC88FD" w14:textId="77777777" w:rsidR="00102498" w:rsidRPr="0025498E" w:rsidRDefault="00102498" w:rsidP="00102498">
      <w:pPr>
        <w:ind w:left="720"/>
        <w:rPr>
          <w:noProof w:val="0"/>
        </w:rPr>
      </w:pPr>
      <w:r w:rsidRPr="0025498E">
        <w:rPr>
          <w:noProof w:val="0"/>
        </w:rPr>
        <w:t xml:space="preserve">JEK: </w:t>
      </w:r>
      <w:hyperlink r:id="rId13" w:history="1">
        <w:r w:rsidRPr="0025498E">
          <w:rPr>
            <w:rStyle w:val="Hyperlink"/>
            <w:noProof w:val="0"/>
          </w:rPr>
          <w:t>karroje@miamiOH.edu</w:t>
        </w:r>
      </w:hyperlink>
      <w:r w:rsidRPr="0025498E">
        <w:rPr>
          <w:noProof w:val="0"/>
        </w:rPr>
        <w:t xml:space="preserve"> </w:t>
      </w:r>
    </w:p>
    <w:p w14:paraId="6DE015DE"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48B3DC2F" w14:textId="77777777"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and differentiate them from artificial adapter sequences added in the sequencing process.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3712DEB3" w14:textId="77777777" w:rsidR="00102498" w:rsidRPr="0025498E" w:rsidRDefault="00102498" w:rsidP="00102498">
      <w:pPr>
        <w:pStyle w:val="CommentText"/>
        <w:rPr>
          <w:b/>
          <w:bCs/>
          <w:sz w:val="24"/>
          <w:szCs w:val="24"/>
        </w:rPr>
      </w:pPr>
    </w:p>
    <w:p w14:paraId="69F65AE2" w14:textId="77777777"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2B09727C" w14:textId="77777777" w:rsidR="00102498" w:rsidRPr="0025498E" w:rsidRDefault="00102498" w:rsidP="00102498">
      <w:pPr>
        <w:pStyle w:val="CommentText"/>
        <w:rPr>
          <w:b/>
          <w:bCs/>
          <w:sz w:val="24"/>
          <w:szCs w:val="24"/>
        </w:rPr>
      </w:pPr>
    </w:p>
    <w:p w14:paraId="2479C57B" w14:textId="77777777"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6E99CFA1" w14:textId="77777777" w:rsidR="00102498" w:rsidRPr="0025498E" w:rsidRDefault="00102498" w:rsidP="00102498">
      <w:pPr>
        <w:pStyle w:val="Heading1"/>
        <w:rPr>
          <w:noProof w:val="0"/>
        </w:rPr>
      </w:pPr>
      <w:r w:rsidRPr="0025498E">
        <w:rPr>
          <w:noProof w:val="0"/>
        </w:rPr>
        <w:t xml:space="preserve">Background </w:t>
      </w:r>
    </w:p>
    <w:p w14:paraId="1DBF4C6D" w14:textId="77777777"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00605003">
        <w:rPr>
          <w:i/>
          <w:noProof w:val="0"/>
          <w:szCs w:val="18"/>
        </w:rPr>
        <w:t>poly(A)</w:t>
      </w:r>
      <w:r w:rsidRPr="0025498E">
        <w:rPr>
          <w:i/>
          <w:noProof w:val="0"/>
          <w:szCs w:val="18"/>
        </w:rPr>
        <w:t xml:space="preserve">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AE6389">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AE6389">
        <w:rPr>
          <w:noProof w:val="0"/>
        </w:rPr>
        <w:fldChar w:fldCharType="separate"/>
      </w:r>
      <w:r w:rsidR="00E44CB1">
        <w:rPr>
          <w:noProof w:val="0"/>
        </w:rPr>
        <w:t>[1-6]</w:t>
      </w:r>
      <w:r w:rsidR="00AE6389">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w:t>
      </w:r>
      <w:r w:rsidR="00605003">
        <w:rPr>
          <w:noProof w:val="0"/>
        </w:rPr>
        <w:t>tics of poly(A)</w:t>
      </w:r>
      <w:r w:rsidRPr="0025498E">
        <w:rPr>
          <w:noProof w:val="0"/>
        </w:rPr>
        <w:t xml:space="preserve"> tails in transcriptom</w:t>
      </w:r>
      <w:r w:rsidR="0065571B" w:rsidRPr="0025498E">
        <w:rPr>
          <w:noProof w:val="0"/>
        </w:rPr>
        <w:t>e</w:t>
      </w:r>
      <w:r w:rsidRPr="0025498E">
        <w:rPr>
          <w:noProof w:val="0"/>
        </w:rPr>
        <w:t xml:space="preserve"> data.  While finding a significantly long stretch of adenine bases in a transcript </w:t>
      </w:r>
      <w:r w:rsidR="00605003" w:rsidRPr="0025498E">
        <w:rPr>
          <w:noProof w:val="0"/>
        </w:rPr>
        <w:t xml:space="preserve">sequence </w:t>
      </w:r>
      <w:r w:rsidRPr="0025498E">
        <w:rPr>
          <w:noProof w:val="0"/>
        </w:rPr>
        <w:t xml:space="preserve">is not difficult, the challenge deepens when you try to account for sequence modifications that could obscure the tail sequence </w:t>
      </w:r>
      <w:r w:rsidR="00605003">
        <w:rPr>
          <w:noProof w:val="0"/>
        </w:rPr>
        <w:t xml:space="preserve">purity </w:t>
      </w:r>
      <w:r w:rsidRPr="0025498E">
        <w:rPr>
          <w:noProof w:val="0"/>
        </w:rPr>
        <w:t xml:space="preserve">(e.g. base-call errors, the effect of processes such as RNA editing, or sequencing artifacts).  Tools such as SeqClean </w:t>
      </w:r>
      <w:r w:rsidR="00AE6389"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AA74B6">
        <w:rPr>
          <w:noProof w:val="0"/>
        </w:rPr>
        <w:t>[7]</w:t>
      </w:r>
      <w:r w:rsidR="00AE6389" w:rsidRPr="0025498E">
        <w:rPr>
          <w:noProof w:val="0"/>
        </w:rPr>
        <w:fldChar w:fldCharType="end"/>
      </w:r>
      <w:r w:rsidRPr="0025498E">
        <w:rPr>
          <w:noProof w:val="0"/>
        </w:rPr>
        <w:t xml:space="preserve">, TrimEst </w:t>
      </w:r>
      <w:r w:rsidR="00AE6389"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AA74B6">
        <w:rPr>
          <w:noProof w:val="0"/>
        </w:rPr>
        <w:t>[8]</w:t>
      </w:r>
      <w:r w:rsidR="00AE6389" w:rsidRPr="0025498E">
        <w:rPr>
          <w:noProof w:val="0"/>
        </w:rPr>
        <w:fldChar w:fldCharType="end"/>
      </w:r>
      <w:r w:rsidRPr="0025498E">
        <w:rPr>
          <w:noProof w:val="0"/>
        </w:rPr>
        <w:t xml:space="preserve">, or SeqTrim </w:t>
      </w:r>
      <w:r w:rsidR="00AE6389"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AA74B6">
        <w:rPr>
          <w:noProof w:val="0"/>
        </w:rPr>
        <w:t>[9]</w:t>
      </w:r>
      <w:r w:rsidR="00AE6389"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4EE3ABAB" w14:textId="77777777"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00AE6389"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00AE6389" w:rsidRPr="0025498E">
        <w:rPr>
          <w:noProof w:val="0"/>
          <w:szCs w:val="18"/>
        </w:rPr>
        <w:fldChar w:fldCharType="separate"/>
      </w:r>
      <w:r w:rsidR="00AA74B6">
        <w:rPr>
          <w:noProof w:val="0"/>
        </w:rPr>
        <w:t>[1]</w:t>
      </w:r>
      <w:r w:rsidR="00AE6389"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E6389">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E6389">
        <w:rPr>
          <w:noProof w:val="0"/>
          <w:szCs w:val="18"/>
        </w:rPr>
        <w:fldChar w:fldCharType="separate"/>
      </w:r>
      <w:r w:rsidR="00AA74B6">
        <w:rPr>
          <w:noProof w:val="0"/>
        </w:rPr>
        <w:t>[1,2]</w:t>
      </w:r>
      <w:r w:rsidR="00AE6389">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(APA), in which multiple distinctive poly(A) sites are utilized to create different transcript isoforms from the same gene</w:t>
      </w:r>
      <w:r w:rsidR="00605003">
        <w:rPr>
          <w:noProof w:val="0"/>
          <w:szCs w:val="18"/>
        </w:rPr>
        <w:t>s</w:t>
      </w:r>
      <w:r w:rsidRPr="0025498E">
        <w:rPr>
          <w:noProof w:val="0"/>
          <w:szCs w:val="18"/>
        </w:rPr>
        <w:t xml:space="preserve"> </w:t>
      </w:r>
      <w:r w:rsidR="00AE6389">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E6389">
        <w:rPr>
          <w:noProof w:val="0"/>
          <w:szCs w:val="18"/>
        </w:rPr>
        <w:fldChar w:fldCharType="separate"/>
      </w:r>
      <w:r w:rsidR="00AA74B6">
        <w:rPr>
          <w:noProof w:val="0"/>
        </w:rPr>
        <w:t>[1-3]</w:t>
      </w:r>
      <w:r w:rsidR="00AE6389">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00605003">
        <w:rPr>
          <w:noProof w:val="0"/>
          <w:szCs w:val="18"/>
        </w:rPr>
        <w:t xml:space="preserve"> </w:t>
      </w:r>
      <w:r w:rsidR="00AE6389"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AE6389" w:rsidRPr="0025498E">
        <w:rPr>
          <w:noProof w:val="0"/>
          <w:szCs w:val="18"/>
        </w:rPr>
        <w:fldChar w:fldCharType="separate"/>
      </w:r>
      <w:r w:rsidR="00AA74B6">
        <w:rPr>
          <w:noProof w:val="0"/>
        </w:rPr>
        <w:t>[4]</w:t>
      </w:r>
      <w:r w:rsidR="00AE6389"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E6389">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E6389">
        <w:rPr>
          <w:noProof w:val="0"/>
          <w:szCs w:val="18"/>
        </w:rPr>
        <w:fldChar w:fldCharType="separate"/>
      </w:r>
      <w:r w:rsidR="00AA74B6">
        <w:rPr>
          <w:noProof w:val="0"/>
        </w:rPr>
        <w:t>[5,10]</w:t>
      </w:r>
      <w:r w:rsidR="00AE6389">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605003">
        <w:rPr>
          <w:noProof w:val="0"/>
          <w:szCs w:val="18"/>
        </w:rPr>
        <w:t xml:space="preserve"> </w:t>
      </w:r>
      <w:commentRangeStart w:id="0"/>
      <w:r w:rsidR="00AE6389">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Pr>
          <w:noProof w:val="0"/>
          <w:szCs w:val="18"/>
        </w:rPr>
        <w:fldChar w:fldCharType="separate"/>
      </w:r>
      <w:r w:rsidR="00AA74B6">
        <w:rPr>
          <w:noProof w:val="0"/>
        </w:rPr>
        <w:t>[6,8]</w:t>
      </w:r>
      <w:r w:rsidR="00AE6389">
        <w:rPr>
          <w:noProof w:val="0"/>
          <w:szCs w:val="18"/>
        </w:rPr>
        <w:fldChar w:fldCharType="end"/>
      </w:r>
      <w:commentRangeEnd w:id="0"/>
      <w:r w:rsidR="003D725C">
        <w:rPr>
          <w:rStyle w:val="CommentReference"/>
          <w:noProof w:val="0"/>
        </w:rPr>
        <w:commentReference w:id="0"/>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E6389">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E6389">
        <w:rPr>
          <w:noProof w:val="0"/>
          <w:szCs w:val="18"/>
        </w:rPr>
        <w:fldChar w:fldCharType="separate"/>
      </w:r>
      <w:r w:rsidR="00AA74B6">
        <w:rPr>
          <w:noProof w:val="0"/>
        </w:rPr>
        <w:t>[11,12]</w:t>
      </w:r>
      <w:r w:rsidR="00AE6389">
        <w:rPr>
          <w:noProof w:val="0"/>
          <w:szCs w:val="18"/>
        </w:rPr>
        <w:fldChar w:fldCharType="end"/>
      </w:r>
      <w:r w:rsidRPr="0025498E">
        <w:rPr>
          <w:noProof w:val="0"/>
          <w:szCs w:val="18"/>
        </w:rPr>
        <w:t>.</w:t>
      </w:r>
    </w:p>
    <w:p w14:paraId="0F3D9032" w14:textId="77777777" w:rsidR="00102498" w:rsidRPr="00605003" w:rsidRDefault="00840009" w:rsidP="00840009">
      <w:pPr>
        <w:pStyle w:val="ParaNoInd"/>
        <w:spacing w:line="480" w:lineRule="auto"/>
        <w:ind w:firstLine="360"/>
        <w:jc w:val="left"/>
        <w:rPr>
          <w:sz w:val="24"/>
          <w:szCs w:val="18"/>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605003">
        <w:rPr>
          <w:sz w:val="24"/>
          <w:szCs w:val="18"/>
        </w:rPr>
        <w:t xml:space="preserve">addition </w:t>
      </w:r>
      <w:r w:rsidR="00AE6389" w:rsidRPr="00605003">
        <w:rPr>
          <w:sz w:val="24"/>
          <w:szCs w:val="18"/>
        </w:rPr>
        <w:fldChar w:fldCharType="begin"/>
      </w:r>
      <w:r w:rsidR="00E44CB1" w:rsidRPr="00605003">
        <w:rPr>
          <w:sz w:val="24"/>
          <w:szCs w:val="18"/>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E6389" w:rsidRPr="00605003">
        <w:rPr>
          <w:sz w:val="24"/>
          <w:szCs w:val="18"/>
        </w:rPr>
        <w:fldChar w:fldCharType="separate"/>
      </w:r>
      <w:r w:rsidR="00AA74B6" w:rsidRPr="00605003">
        <w:rPr>
          <w:sz w:val="24"/>
          <w:szCs w:val="18"/>
        </w:rPr>
        <w:t>[13,14]</w:t>
      </w:r>
      <w:r w:rsidR="00AE6389" w:rsidRPr="00605003">
        <w:rPr>
          <w:sz w:val="24"/>
          <w:szCs w:val="18"/>
        </w:rPr>
        <w:fldChar w:fldCharType="end"/>
      </w:r>
      <w:r w:rsidR="00102498" w:rsidRPr="00605003">
        <w:rPr>
          <w:sz w:val="24"/>
          <w:szCs w:val="18"/>
        </w:rPr>
        <w:t>)</w:t>
      </w:r>
      <w:r w:rsidR="00521257" w:rsidRPr="00605003">
        <w:rPr>
          <w:sz w:val="24"/>
          <w:szCs w:val="18"/>
        </w:rPr>
        <w:t>,</w:t>
      </w:r>
      <w:r w:rsidR="00102498" w:rsidRPr="00605003">
        <w:rPr>
          <w:sz w:val="24"/>
          <w:szCs w:val="18"/>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605003">
        <w:rPr>
          <w:sz w:val="24"/>
          <w:szCs w:val="18"/>
        </w:rPr>
        <w:t xml:space="preserve">algorithms. </w:t>
      </w:r>
      <w:r w:rsidRPr="00605003">
        <w:rPr>
          <w:sz w:val="24"/>
          <w:szCs w:val="18"/>
        </w:rPr>
        <w:t>Certain t</w:t>
      </w:r>
      <w:r w:rsidR="00102498" w:rsidRPr="00605003">
        <w:rPr>
          <w:sz w:val="24"/>
          <w:szCs w:val="18"/>
        </w:rPr>
        <w:t>ools</w:t>
      </w:r>
      <w:r w:rsidRPr="00605003">
        <w:rPr>
          <w:sz w:val="24"/>
          <w:szCs w:val="18"/>
        </w:rPr>
        <w:t>,</w:t>
      </w:r>
      <w:r w:rsidR="00102498" w:rsidRPr="00605003">
        <w:rPr>
          <w:sz w:val="24"/>
          <w:szCs w:val="18"/>
        </w:rPr>
        <w:t xml:space="preserve"> such as SeqClean </w:t>
      </w:r>
      <w:r w:rsidR="00AE6389" w:rsidRPr="00605003">
        <w:rPr>
          <w:sz w:val="24"/>
          <w:szCs w:val="18"/>
        </w:rPr>
        <w:fldChar w:fldCharType="begin"/>
      </w:r>
      <w:r w:rsidR="00E44CB1" w:rsidRPr="00605003">
        <w:rPr>
          <w:sz w:val="24"/>
          <w:szCs w:val="18"/>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605003">
        <w:rPr>
          <w:sz w:val="24"/>
          <w:szCs w:val="18"/>
        </w:rPr>
        <w:fldChar w:fldCharType="separate"/>
      </w:r>
      <w:r w:rsidR="00AA74B6" w:rsidRPr="00605003">
        <w:rPr>
          <w:sz w:val="24"/>
          <w:szCs w:val="18"/>
        </w:rPr>
        <w:t>[7]</w:t>
      </w:r>
      <w:r w:rsidR="00AE6389" w:rsidRPr="00605003">
        <w:rPr>
          <w:sz w:val="24"/>
          <w:szCs w:val="18"/>
        </w:rPr>
        <w:fldChar w:fldCharType="end"/>
      </w:r>
      <w:r w:rsidR="00102498" w:rsidRPr="00605003">
        <w:rPr>
          <w:sz w:val="24"/>
          <w:szCs w:val="18"/>
        </w:rPr>
        <w:t xml:space="preserve">, TrimEST </w:t>
      </w:r>
      <w:r w:rsidR="00AE6389" w:rsidRPr="00605003">
        <w:rPr>
          <w:sz w:val="24"/>
          <w:szCs w:val="18"/>
        </w:rPr>
        <w:fldChar w:fldCharType="begin"/>
      </w:r>
      <w:r w:rsidR="00E44CB1" w:rsidRPr="00605003">
        <w:rPr>
          <w:sz w:val="24"/>
          <w:szCs w:val="18"/>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605003">
        <w:rPr>
          <w:sz w:val="24"/>
          <w:szCs w:val="18"/>
        </w:rPr>
        <w:fldChar w:fldCharType="separate"/>
      </w:r>
      <w:r w:rsidR="00AA74B6" w:rsidRPr="00605003">
        <w:rPr>
          <w:sz w:val="24"/>
          <w:szCs w:val="18"/>
        </w:rPr>
        <w:t>[8]</w:t>
      </w:r>
      <w:r w:rsidR="00AE6389" w:rsidRPr="00605003">
        <w:rPr>
          <w:sz w:val="24"/>
          <w:szCs w:val="18"/>
        </w:rPr>
        <w:fldChar w:fldCharType="end"/>
      </w:r>
      <w:r w:rsidR="00102498" w:rsidRPr="00605003">
        <w:rPr>
          <w:sz w:val="24"/>
          <w:szCs w:val="18"/>
        </w:rPr>
        <w:t xml:space="preserve">, </w:t>
      </w:r>
      <w:r w:rsidRPr="00605003">
        <w:rPr>
          <w:sz w:val="24"/>
          <w:szCs w:val="18"/>
        </w:rPr>
        <w:t xml:space="preserve">and </w:t>
      </w:r>
      <w:r w:rsidR="00102498" w:rsidRPr="00605003">
        <w:rPr>
          <w:sz w:val="24"/>
          <w:szCs w:val="18"/>
        </w:rPr>
        <w:t xml:space="preserve">SeqTrim </w:t>
      </w:r>
      <w:r w:rsidR="00AE6389" w:rsidRPr="00605003">
        <w:rPr>
          <w:sz w:val="24"/>
          <w:szCs w:val="18"/>
        </w:rPr>
        <w:fldChar w:fldCharType="begin"/>
      </w:r>
      <w:r w:rsidR="00E44CB1" w:rsidRPr="00605003">
        <w:rPr>
          <w:sz w:val="24"/>
          <w:szCs w:val="18"/>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605003">
        <w:rPr>
          <w:sz w:val="24"/>
          <w:szCs w:val="18"/>
        </w:rPr>
        <w:fldChar w:fldCharType="separate"/>
      </w:r>
      <w:r w:rsidR="00AA74B6" w:rsidRPr="00605003">
        <w:rPr>
          <w:sz w:val="24"/>
          <w:szCs w:val="18"/>
        </w:rPr>
        <w:t>[9]</w:t>
      </w:r>
      <w:r w:rsidR="00AE6389" w:rsidRPr="00605003">
        <w:rPr>
          <w:sz w:val="24"/>
          <w:szCs w:val="18"/>
        </w:rPr>
        <w:fldChar w:fldCharType="end"/>
      </w:r>
      <w:r w:rsidR="00521257" w:rsidRPr="00605003">
        <w:rPr>
          <w:sz w:val="24"/>
          <w:szCs w:val="18"/>
        </w:rPr>
        <w:t>,</w:t>
      </w:r>
      <w:r w:rsidR="00102498" w:rsidRPr="00605003">
        <w:rPr>
          <w:sz w:val="24"/>
          <w:szCs w:val="18"/>
        </w:rPr>
        <w:t xml:space="preserve"> are able </w:t>
      </w:r>
      <w:r w:rsidRPr="00605003">
        <w:rPr>
          <w:sz w:val="24"/>
          <w:szCs w:val="18"/>
        </w:rPr>
        <w:t xml:space="preserve">to </w:t>
      </w:r>
      <w:r w:rsidR="00102498" w:rsidRPr="00605003">
        <w:rPr>
          <w:sz w:val="24"/>
          <w:szCs w:val="18"/>
        </w:rPr>
        <w:t>reliably remove such tails by identifying one end and truncating</w:t>
      </w:r>
      <w:r w:rsidR="00521257" w:rsidRPr="00605003">
        <w:rPr>
          <w:sz w:val="24"/>
          <w:szCs w:val="18"/>
        </w:rPr>
        <w:t xml:space="preserve"> it</w:t>
      </w:r>
      <w:r w:rsidR="00605003">
        <w:rPr>
          <w:sz w:val="24"/>
          <w:szCs w:val="18"/>
        </w:rPr>
        <w:t xml:space="preserve">. </w:t>
      </w:r>
      <w:r w:rsidRPr="00605003">
        <w:rPr>
          <w:sz w:val="24"/>
          <w:szCs w:val="18"/>
        </w:rPr>
        <w:t xml:space="preserve"> But they a</w:t>
      </w:r>
      <w:r w:rsidR="00102498" w:rsidRPr="00605003">
        <w:rPr>
          <w:sz w:val="24"/>
          <w:szCs w:val="18"/>
        </w:rPr>
        <w:t>re not able to provide the inf</w:t>
      </w:r>
      <w:r w:rsidR="00102498" w:rsidRPr="0025498E">
        <w:rPr>
          <w:sz w:val="24"/>
          <w:szCs w:val="18"/>
        </w:rPr>
        <w:t xml:space="preserve">ormation needed to study the polyadenylation process itself. </w:t>
      </w:r>
    </w:p>
    <w:p w14:paraId="47D1962C" w14:textId="77777777"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poly(A)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605003">
        <w:rPr>
          <w:sz w:val="24"/>
          <w:szCs w:val="18"/>
        </w:rPr>
        <w:t xml:space="preserve">poly(A) tail length and boundaries, </w:t>
      </w:r>
      <w:r w:rsidRPr="0025498E">
        <w:rPr>
          <w:sz w:val="24"/>
          <w:szCs w:val="18"/>
        </w:rPr>
        <w:t>and their role</w:t>
      </w:r>
      <w:r w:rsidR="00521257" w:rsidRPr="0025498E">
        <w:rPr>
          <w:sz w:val="24"/>
          <w:szCs w:val="18"/>
        </w:rPr>
        <w:t>s</w:t>
      </w:r>
      <w:r w:rsidRPr="0025498E">
        <w:rPr>
          <w:sz w:val="24"/>
          <w:szCs w:val="18"/>
        </w:rPr>
        <w:t xml:space="preserve"> in regulating gene expression.  In particular, our tool is designed to accurately detect poly(A) tails of lower purity, where tail boundaries will be difficult to identify using conventional algorithms. </w:t>
      </w:r>
    </w:p>
    <w:p w14:paraId="4E7ADED0" w14:textId="77777777" w:rsidR="00102498" w:rsidRPr="0025498E" w:rsidRDefault="00102498" w:rsidP="00102498">
      <w:pPr>
        <w:pStyle w:val="Heading1"/>
        <w:rPr>
          <w:noProof w:val="0"/>
        </w:rPr>
      </w:pPr>
      <w:r w:rsidRPr="0025498E">
        <w:rPr>
          <w:noProof w:val="0"/>
        </w:rPr>
        <w:t>Methods</w:t>
      </w:r>
    </w:p>
    <w:p w14:paraId="5AC2C0AE" w14:textId="77777777" w:rsidR="00102498" w:rsidRPr="0025498E" w:rsidRDefault="00102498" w:rsidP="00102498">
      <w:pPr>
        <w:jc w:val="both"/>
        <w:rPr>
          <w:noProof w:val="0"/>
        </w:rPr>
      </w:pPr>
    </w:p>
    <w:p w14:paraId="7C66BB5C" w14:textId="77777777" w:rsidR="00102498" w:rsidRPr="0025498E" w:rsidRDefault="00102498" w:rsidP="00102498">
      <w:pPr>
        <w:ind w:firstLine="720"/>
        <w:jc w:val="both"/>
        <w:rPr>
          <w:noProof w:val="0"/>
        </w:rPr>
      </w:pPr>
      <w:r w:rsidRPr="0025498E">
        <w:rPr>
          <w:noProof w:val="0"/>
        </w:rPr>
        <w:lastRenderedPageBreak/>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00AE6389"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AE6389"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AE6389" w:rsidRPr="0025498E">
        <w:rPr>
          <w:noProof w:val="0"/>
        </w:rPr>
        <w:fldChar w:fldCharType="separate"/>
      </w:r>
      <w:r w:rsidR="00AA74B6">
        <w:rPr>
          <w:noProof w:val="0"/>
        </w:rPr>
        <w:t>[16]</w:t>
      </w:r>
      <w:r w:rsidR="00AE6389"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AE6389"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Pr="0025498E">
        <w:rPr>
          <w:noProof w:val="0"/>
        </w:rPr>
        <w:t xml:space="preserve">  </w:t>
      </w:r>
    </w:p>
    <w:p w14:paraId="0C2EA4B2"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74710645" w14:textId="77777777"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00AE6389"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w:t>
      </w:r>
      <w:r w:rsidR="003B2046">
        <w:rPr>
          <w:noProof w:val="0"/>
        </w:rPr>
        <w:t>l within any given fragment. In</w:t>
      </w:r>
      <w:r w:rsidRPr="0025498E">
        <w:rPr>
          <w:noProof w:val="0"/>
        </w:rPr>
        <w:t xml:space="preserve"> Figure 1</w:t>
      </w:r>
      <w:r w:rsidR="003555FE">
        <w:rPr>
          <w:noProof w:val="0"/>
        </w:rPr>
        <w:t>(a)</w:t>
      </w:r>
      <w:r w:rsidRPr="0025498E">
        <w:rPr>
          <w:noProof w:val="0"/>
        </w:rPr>
        <w:t xml:space="preserve"> we see the HMM topology, and in </w:t>
      </w:r>
      <w:r w:rsidR="00605003">
        <w:rPr>
          <w:noProof w:val="0"/>
        </w:rPr>
        <w:t xml:space="preserve">Figure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2F0A7B74" w14:textId="77777777" w:rsidR="00FE5C05" w:rsidRPr="0025498E" w:rsidRDefault="00E123FB" w:rsidP="00B67615">
      <w:pPr>
        <w:ind w:firstLine="720"/>
        <w:jc w:val="both"/>
        <w:rPr>
          <w:noProof w:val="0"/>
        </w:rPr>
      </w:pPr>
      <w:r w:rsidRPr="00992EEE">
        <w:rPr>
          <w:noProof w:val="0"/>
        </w:rPr>
        <w:lastRenderedPageBreak/>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and the tolerance of non-adenine tail bases will be dictated by probabilities assigned in the poly(A) state. There is the possibility of a non-tail adenine sitting by chance close to the tail and thus</w:t>
      </w:r>
      <w:r w:rsidR="00605003">
        <w:rPr>
          <w:noProof w:val="0"/>
        </w:rPr>
        <w:t xml:space="preserve"> being</w:t>
      </w:r>
      <w:r w:rsidRPr="0025498E">
        <w:rPr>
          <w:noProof w:val="0"/>
        </w:rPr>
        <w:t xml:space="preserve">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D725C">
        <w:rPr>
          <w:noProof w:val="0"/>
        </w:rPr>
        <w:t xml:space="preserve">probability </w:t>
      </w:r>
      <w:r w:rsidR="007F3D79">
        <w:rPr>
          <w:noProof w:val="0"/>
        </w:rPr>
        <w:t>of two homo</w:t>
      </w:r>
      <w:r w:rsidRPr="0025498E">
        <w:rPr>
          <w:noProof w:val="0"/>
        </w:rPr>
        <w:t xml:space="preserve">polymers actually </w:t>
      </w:r>
      <w:r w:rsidR="003214DE" w:rsidRPr="0025498E">
        <w:rPr>
          <w:noProof w:val="0"/>
        </w:rPr>
        <w:t>occurring</w:t>
      </w:r>
      <w:r w:rsidRPr="0025498E">
        <w:rPr>
          <w:noProof w:val="0"/>
        </w:rPr>
        <w:t xml:space="preserve"> close enough to </w:t>
      </w:r>
      <w:r w:rsidR="009354DD">
        <w:rPr>
          <w:noProof w:val="0"/>
        </w:rPr>
        <w:t xml:space="preserve">each other </w:t>
      </w:r>
      <w:r w:rsidRPr="0025498E">
        <w:rPr>
          <w:noProof w:val="0"/>
        </w:rPr>
        <w:t>be a problem appears to be very small.</w:t>
      </w:r>
    </w:p>
    <w:p w14:paraId="402EEAAE"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62EDF15F" w14:textId="77777777"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xml:space="preserve">, we require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5D51B362" w14:textId="77777777"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determining the approximate location of the poly(A) tails</w:t>
      </w:r>
      <w:r w:rsidR="0025498E">
        <w:rPr>
          <w:noProof w:val="0"/>
        </w:rPr>
        <w:t>, and using that data for the basis of the estimation</w:t>
      </w:r>
      <w:r w:rsidR="00605003">
        <w:rPr>
          <w:noProof w:val="0"/>
        </w:rPr>
        <w:t>.</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w:t>
      </w:r>
      <w:r w:rsidR="003D725C">
        <w:rPr>
          <w:noProof w:val="0"/>
        </w:rPr>
        <w:t xml:space="preserve">the </w:t>
      </w:r>
      <w:r w:rsidRPr="0025498E">
        <w:rPr>
          <w:noProof w:val="0"/>
        </w:rPr>
        <w:t xml:space="preserve">purpose of this discussion we will confine ourselves </w:t>
      </w:r>
      <w:r w:rsidR="00605003">
        <w:rPr>
          <w:noProof w:val="0"/>
        </w:rPr>
        <w:t>to discussing poly(A) searches.</w:t>
      </w:r>
      <w:r w:rsidR="003D725C">
        <w:rPr>
          <w:noProof w:val="0"/>
        </w:rPr>
        <w:t>)</w:t>
      </w:r>
      <w:r w:rsidRPr="0025498E">
        <w:rPr>
          <w:noProof w:val="0"/>
        </w:rPr>
        <w:t xml:space="preserve">  </w:t>
      </w:r>
      <w:r w:rsidR="00C70D82">
        <w:rPr>
          <w:noProof w:val="0"/>
        </w:rPr>
        <w:t>As illustrated in Figure 2</w:t>
      </w:r>
      <w:r w:rsidR="003D725C">
        <w:rPr>
          <w:noProof w:val="0"/>
        </w:rPr>
        <w:t>,</w:t>
      </w:r>
      <w:r w:rsidR="001911D6">
        <w:rPr>
          <w:noProof w:val="0"/>
        </w:rPr>
        <w:t xml:space="preserve">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 to form one contiguous sequence representing a hypothetical poly(A) tail to be </w:t>
      </w:r>
      <w:r w:rsidR="003B2046">
        <w:rPr>
          <w:noProof w:val="0"/>
        </w:rPr>
        <w:t>used</w:t>
      </w:r>
      <w:r w:rsidR="003F1198">
        <w:rPr>
          <w:noProof w:val="0"/>
        </w:rPr>
        <w:t xml:space="preserve"> for parameter training (as illus</w:t>
      </w:r>
      <w:r w:rsidR="00C70D82">
        <w:rPr>
          <w:noProof w:val="0"/>
        </w:rPr>
        <w:t>trated in Figure 2</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w:t>
      </w:r>
      <w:r w:rsidR="00605003">
        <w:rPr>
          <w:noProof w:val="0"/>
        </w:rPr>
        <w:t>t the ends of the poly(A) tail.</w:t>
      </w:r>
      <w:r w:rsidRPr="0025498E">
        <w:rPr>
          <w:noProof w:val="0"/>
        </w:rPr>
        <w:t xml:space="preserve">  From these putative sets we can then estimate the HMM parameters: transition probabilities a</w:t>
      </w:r>
      <w:r w:rsidR="00605003">
        <w:rPr>
          <w:noProof w:val="0"/>
        </w:rPr>
        <w:t>re based on mean tail length with</w:t>
      </w:r>
      <w:r w:rsidRPr="0025498E">
        <w:rPr>
          <w:noProof w:val="0"/>
        </w:rPr>
        <w:t xml:space="preserve">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225BA9B2" w14:textId="77777777"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00AE6389"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AA74B6">
        <w:rPr>
          <w:noProof w:val="0"/>
        </w:rPr>
        <w:t>[15]</w:t>
      </w:r>
      <w:r w:rsidR="00AE6389"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not worth the </w:t>
      </w:r>
      <w:r w:rsidR="009354DD">
        <w:rPr>
          <w:noProof w:val="0"/>
        </w:rPr>
        <w:t>extra</w:t>
      </w:r>
      <w:r w:rsidR="00B36F7C" w:rsidRPr="0025498E">
        <w:rPr>
          <w:noProof w:val="0"/>
        </w:rPr>
        <w:t xml:space="preserve"> time.</w:t>
      </w:r>
    </w:p>
    <w:p w14:paraId="3189C524" w14:textId="77777777" w:rsidR="00B36F7C" w:rsidRPr="0025498E" w:rsidRDefault="001911D6" w:rsidP="00A807A9">
      <w:pPr>
        <w:ind w:firstLine="720"/>
        <w:jc w:val="both"/>
        <w:rPr>
          <w:noProof w:val="0"/>
        </w:rPr>
      </w:pPr>
      <w:r>
        <w:rPr>
          <w:noProof w:val="0"/>
        </w:rPr>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sidR="00AE6389">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Pr>
          <w:noProof w:val="0"/>
        </w:rPr>
        <w:fldChar w:fldCharType="separate"/>
      </w:r>
      <w:r w:rsidR="00AA74B6">
        <w:rPr>
          <w:noProof w:val="0"/>
        </w:rPr>
        <w:t>[15]</w:t>
      </w:r>
      <w:r w:rsidR="00AE6389">
        <w:rPr>
          <w:noProof w:val="0"/>
        </w:rPr>
        <w:fldChar w:fldCharType="end"/>
      </w:r>
      <w:r w:rsidR="00B36F7C" w:rsidRPr="0025498E">
        <w:rPr>
          <w:noProof w:val="0"/>
        </w:rPr>
        <w:t xml:space="preserve"> to each sequence</w:t>
      </w:r>
      <w:r>
        <w:rPr>
          <w:noProof w:val="0"/>
        </w:rPr>
        <w:t xml:space="preserve">, getting back the best fit of the sequence to our model (and thus an </w:t>
      </w:r>
      <w:r w:rsidR="009354DD">
        <w:rPr>
          <w:noProof w:val="0"/>
        </w:rPr>
        <w:t>assignment</w:t>
      </w:r>
      <w:r>
        <w:rPr>
          <w:noProof w:val="0"/>
        </w:rPr>
        <w:t xml:space="preserve"> of each base to one of the characterizing states)</w:t>
      </w:r>
      <w:r w:rsidR="00102498" w:rsidRPr="0025498E">
        <w:rPr>
          <w:noProof w:val="0"/>
        </w:rPr>
        <w:t xml:space="preserve">.  </w:t>
      </w:r>
      <w:r w:rsidR="00770802">
        <w:rPr>
          <w:noProof w:val="0"/>
        </w:rPr>
        <w:t>W</w:t>
      </w:r>
      <w:r w:rsidR="00B36F7C" w:rsidRPr="0025498E">
        <w:rPr>
          <w:noProof w:val="0"/>
        </w:rPr>
        <w:t xml:space="preserve">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605003">
        <w:rPr>
          <w:noProof w:val="0"/>
        </w:rPr>
        <w:t>linear with respect to</w:t>
      </w:r>
      <w:r w:rsidR="00B36F7C" w:rsidRPr="0025498E">
        <w:rPr>
          <w:noProof w:val="0"/>
        </w:rPr>
        <w:t xml:space="preserve"> the size of the sequence fragment.</w:t>
      </w:r>
    </w:p>
    <w:p w14:paraId="0D5CC7C1" w14:textId="77777777"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subject </w:t>
      </w:r>
      <w:r w:rsidR="00770802">
        <w:rPr>
          <w:noProof w:val="0"/>
        </w:rPr>
        <w:t>to</w:t>
      </w:r>
      <w:r w:rsidR="00770802" w:rsidRPr="0025498E">
        <w:rPr>
          <w:noProof w:val="0"/>
        </w:rPr>
        <w:t xml:space="preserve"> </w:t>
      </w:r>
      <w:r w:rsidR="004357E4" w:rsidRPr="0025498E">
        <w:rPr>
          <w:noProof w:val="0"/>
        </w:rPr>
        <w:t>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w:t>
      </w:r>
      <w:r w:rsidR="00770802">
        <w:rPr>
          <w:noProof w:val="0"/>
        </w:rPr>
        <w:t>ing</w:t>
      </w:r>
      <w:r w:rsidR="00386132">
        <w:rPr>
          <w:noProof w:val="0"/>
        </w:rPr>
        <w:t xml:space="preserve">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605003">
        <w:rPr>
          <w:noProof w:val="0"/>
        </w:rPr>
        <w:t xml:space="preserve"> </w:t>
      </w:r>
      <w:r w:rsidR="00AE6389">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E6389">
        <w:rPr>
          <w:noProof w:val="0"/>
        </w:rPr>
        <w:fldChar w:fldCharType="separate"/>
      </w:r>
      <w:r w:rsidR="00AA74B6">
        <w:rPr>
          <w:noProof w:val="0"/>
        </w:rPr>
        <w:t>[17,18]</w:t>
      </w:r>
      <w:r w:rsidR="00AE6389">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3B67EA24" w14:textId="77777777" w:rsidR="00102498" w:rsidRPr="0025498E" w:rsidRDefault="00102498" w:rsidP="00CB0275">
      <w:pPr>
        <w:pStyle w:val="Heading1"/>
        <w:ind w:left="720" w:hanging="720"/>
        <w:rPr>
          <w:noProof w:val="0"/>
        </w:rPr>
      </w:pPr>
      <w:r w:rsidRPr="0025498E">
        <w:rPr>
          <w:noProof w:val="0"/>
        </w:rPr>
        <w:t xml:space="preserve">Results </w:t>
      </w:r>
    </w:p>
    <w:p w14:paraId="1C8E354E" w14:textId="77777777"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fy poly(A)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A807A9">
        <w:rPr>
          <w:noProof w:val="0"/>
        </w:rPr>
        <w:t>When</w:t>
      </w:r>
      <w:r w:rsidR="00FA3629" w:rsidRPr="0025498E">
        <w:rPr>
          <w:noProof w:val="0"/>
        </w:rPr>
        <w:t xml:space="preserve"> we </w:t>
      </w:r>
      <w:r w:rsidR="00A807A9">
        <w:rPr>
          <w:noProof w:val="0"/>
        </w:rPr>
        <w:t>examined</w:t>
      </w:r>
      <w:r w:rsidR="00FA3629" w:rsidRPr="0025498E">
        <w:rPr>
          <w:noProof w:val="0"/>
        </w:rPr>
        <w:t xml:space="preserve"> specificity</w:t>
      </w:r>
      <w:r w:rsidR="003214DE">
        <w:rPr>
          <w:noProof w:val="0"/>
        </w:rPr>
        <w:t xml:space="preserve"> in our initial analysis</w:t>
      </w:r>
      <w:r w:rsidR="00FA3629" w:rsidRPr="0025498E">
        <w:rPr>
          <w:noProof w:val="0"/>
        </w:rPr>
        <w:t xml:space="preserve">, we found </w:t>
      </w:r>
      <w:r w:rsidR="00A807A9">
        <w:rPr>
          <w:noProof w:val="0"/>
        </w:rPr>
        <w:t>it to be near perfect for all tools</w:t>
      </w:r>
      <w:r w:rsidR="00FA3629" w:rsidRPr="0025498E">
        <w:rPr>
          <w:noProof w:val="0"/>
        </w:rPr>
        <w:t>; avoiding false-positives is not a difficult task for any tool,</w:t>
      </w:r>
      <w:r w:rsidR="003214DE">
        <w:rPr>
          <w:noProof w:val="0"/>
        </w:rPr>
        <w:t xml:space="preserve"> and not worth discussion here.</w:t>
      </w:r>
      <w:r w:rsidR="00FA3629" w:rsidRPr="0025498E">
        <w:rPr>
          <w:noProof w:val="0"/>
        </w:rPr>
        <w:t xml:space="preserve">  </w:t>
      </w:r>
      <w:r w:rsidR="00A807A9">
        <w:rPr>
          <w:noProof w:val="0"/>
        </w:rPr>
        <w:t xml:space="preserve">We assessed sensitivity with </w:t>
      </w:r>
      <w:r w:rsidR="00605003">
        <w:rPr>
          <w:noProof w:val="0"/>
        </w:rPr>
        <w:t>the standard formula, the ratio</w:t>
      </w:r>
      <w:r w:rsidR="00A807A9">
        <w:rPr>
          <w:noProof w:val="0"/>
        </w:rPr>
        <w:t xml:space="preserve"> of tru</w:t>
      </w:r>
      <w:r w:rsidR="00605003">
        <w:rPr>
          <w:noProof w:val="0"/>
        </w:rPr>
        <w:t>e positives to actual positives</w:t>
      </w:r>
      <w:r w:rsidR="00A807A9">
        <w:rPr>
          <w:noProof w:val="0"/>
        </w:rPr>
        <w:t xml:space="preserve">.  </w:t>
      </w:r>
      <w:r w:rsidRPr="0025498E">
        <w:rPr>
          <w:noProof w:val="0"/>
        </w:rPr>
        <w:t>To assess a tool’s precision, we measure</w:t>
      </w:r>
      <w:r w:rsidR="009B4150" w:rsidRPr="0025498E">
        <w:rPr>
          <w:noProof w:val="0"/>
        </w:rPr>
        <w:t>d</w:t>
      </w:r>
      <w:r w:rsidRPr="0025498E">
        <w:rPr>
          <w:noProof w:val="0"/>
        </w:rPr>
        <w:t xml:space="preserv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sidRPr="00605003">
        <w:rPr>
          <w:i/>
          <w:noProof w:val="0"/>
        </w:rPr>
        <w:t>% correct</w:t>
      </w:r>
      <w:r w:rsidR="00A807A9">
        <w:rPr>
          <w:noProof w:val="0"/>
        </w:rPr>
        <w:t xml:space="preserve"> is the</w:t>
      </w:r>
      <w:r w:rsidRPr="0025498E">
        <w:rPr>
          <w:noProof w:val="0"/>
        </w:rPr>
        <w:t xml:space="preserve"> fraction of tails with </w:t>
      </w:r>
      <w:r w:rsidR="003214DE">
        <w:rPr>
          <w:noProof w:val="0"/>
        </w:rPr>
        <w:t xml:space="preserve">correctly identified end points.  </w:t>
      </w:r>
      <w:r w:rsidR="00A807A9" w:rsidRPr="00605003">
        <w:rPr>
          <w:i/>
          <w:noProof w:val="0"/>
        </w:rPr>
        <w:t>Average trim error</w:t>
      </w:r>
      <w:r w:rsidR="00A807A9">
        <w:rPr>
          <w:noProof w:val="0"/>
        </w:rPr>
        <w:t xml:space="preserve"> is</w:t>
      </w:r>
      <w:r w:rsidR="003214DE">
        <w:rPr>
          <w:noProof w:val="0"/>
        </w:rPr>
        <w:t xml:space="preserve"> </w:t>
      </w:r>
      <w:r w:rsidR="00A807A9">
        <w:rPr>
          <w:noProof w:val="0"/>
        </w:rPr>
        <w:t xml:space="preserve">the distance between estimated and actual boundaries (with positive values indicating the estimation is </w:t>
      </w:r>
      <w:r w:rsidR="009354DD">
        <w:rPr>
          <w:noProof w:val="0"/>
        </w:rPr>
        <w:t xml:space="preserve">extended </w:t>
      </w:r>
      <w:r w:rsidR="00A807A9">
        <w:rPr>
          <w:noProof w:val="0"/>
        </w:rPr>
        <w:t>past the actual</w:t>
      </w:r>
      <w:r w:rsidR="009354DD">
        <w:rPr>
          <w:noProof w:val="0"/>
        </w:rPr>
        <w:t xml:space="preserve"> boundary – including bases it should not be</w:t>
      </w:r>
      <w:r w:rsidR="00A807A9">
        <w:rPr>
          <w:noProof w:val="0"/>
        </w:rPr>
        <w:t xml:space="preserve">), averaged over all incorrect sequence.  </w:t>
      </w:r>
      <w:r w:rsidR="00A807A9" w:rsidRPr="00605003">
        <w:rPr>
          <w:i/>
          <w:noProof w:val="0"/>
        </w:rPr>
        <w:t>Sum of squares error</w:t>
      </w:r>
      <w:r w:rsidR="00A807A9">
        <w:rPr>
          <w:noProof w:val="0"/>
        </w:rPr>
        <w:t xml:space="preserve">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w:t>
      </w:r>
      <w:r w:rsidR="00770802">
        <w:rPr>
          <w:noProof w:val="0"/>
        </w:rPr>
        <w:t>problematic</w:t>
      </w:r>
      <w:r w:rsidR="00770802" w:rsidRPr="0025498E">
        <w:rPr>
          <w:noProof w:val="0"/>
        </w:rPr>
        <w:t xml:space="preserve"> </w:t>
      </w:r>
      <w:r w:rsidRPr="0025498E">
        <w:rPr>
          <w:noProof w:val="0"/>
        </w:rPr>
        <w:t xml:space="preserve">as being off by two bases), given the effect of such error on downstream analysis. </w:t>
      </w:r>
    </w:p>
    <w:p w14:paraId="169FBD17" w14:textId="77777777"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perfect tails), the simple tool is able to correctly identify boundaries less than 25% of the time, and over-extends the boundaries by an average of 8 bases; under these conditions SCOPE++ returns perfect results.  Bumping the error rate improves th</w:t>
      </w:r>
      <w:r w:rsidR="00605003">
        <w:rPr>
          <w:noProof w:val="0"/>
        </w:rPr>
        <w:t xml:space="preserve">e simple tail results slightly, </w:t>
      </w:r>
      <w:r w:rsidR="00BE75A1" w:rsidRPr="0025498E">
        <w:rPr>
          <w:noProof w:val="0"/>
        </w:rPr>
        <w:t xml:space="preserve">as more errors in the </w:t>
      </w:r>
      <w:r w:rsidR="003214DE">
        <w:rPr>
          <w:noProof w:val="0"/>
        </w:rPr>
        <w:t xml:space="preserve">tail </w:t>
      </w:r>
      <w:r w:rsidR="00605003">
        <w:rPr>
          <w:noProof w:val="0"/>
        </w:rPr>
        <w:t>prevent over-extension</w:t>
      </w:r>
      <w:r w:rsidR="003214DE">
        <w:rPr>
          <w:noProof w:val="0"/>
        </w:rPr>
        <w:t>.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0925E756" w14:textId="77777777"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“poly(A)”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w:t>
      </w:r>
      <w:r w:rsidR="00605003">
        <w:rPr>
          <w:noProof w:val="0"/>
        </w:rPr>
        <w:t>++</w:t>
      </w:r>
      <w:r>
        <w:rPr>
          <w:noProof w:val="0"/>
        </w:rPr>
        <w:t xml:space="preserve"> (see Methods)</w:t>
      </w:r>
      <w:r w:rsidR="00F926EC" w:rsidRPr="0025498E">
        <w:rPr>
          <w:noProof w:val="0"/>
        </w:rPr>
        <w:t>, the tool tends to assign all bases to the non-poly(A) state.</w:t>
      </w:r>
      <w:r>
        <w:rPr>
          <w:noProof w:val="0"/>
        </w:rPr>
        <w:t xml:space="preserve">  Th</w:t>
      </w:r>
      <w:r w:rsidR="003214DE">
        <w:rPr>
          <w:noProof w:val="0"/>
        </w:rPr>
        <w:t>e simplified HMM is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0E2888C4" w14:textId="77777777" w:rsidR="00102498" w:rsidRPr="0025498E" w:rsidRDefault="00F926EC" w:rsidP="00102498">
      <w:pPr>
        <w:ind w:firstLine="720"/>
        <w:rPr>
          <w:noProof w:val="0"/>
        </w:rPr>
      </w:pPr>
      <w:r w:rsidRPr="0025498E">
        <w:rPr>
          <w:noProof w:val="0"/>
        </w:rPr>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AE6389"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AA74B6">
        <w:rPr>
          <w:noProof w:val="0"/>
        </w:rPr>
        <w:t>[7]</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AA74B6">
        <w:rPr>
          <w:noProof w:val="0"/>
        </w:rPr>
        <w:t>[8]</w:t>
      </w:r>
      <w:r w:rsidR="00AE6389" w:rsidRPr="0025498E">
        <w:rPr>
          <w:noProof w:val="0"/>
        </w:rPr>
        <w:fldChar w:fldCharType="end"/>
      </w:r>
      <w:r w:rsidR="00102498" w:rsidRPr="0025498E">
        <w:rPr>
          <w:noProof w:val="0"/>
        </w:rPr>
        <w:t xml:space="preserve">; SeqTrim  </w:t>
      </w:r>
      <w:r w:rsidR="00AE6389"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AA74B6">
        <w:rPr>
          <w:noProof w:val="0"/>
        </w:rPr>
        <w:t>[9]</w:t>
      </w:r>
      <w:r w:rsidR="00AE6389"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AE638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AA74B6">
        <w:rPr>
          <w:noProof w:val="0"/>
        </w:rPr>
        <w:t>[7]</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AA74B6">
        <w:rPr>
          <w:noProof w:val="0"/>
        </w:rPr>
        <w:t>[8]</w:t>
      </w:r>
      <w:r w:rsidR="00AE6389"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9B4150" w:rsidRPr="0025498E">
        <w:rPr>
          <w:noProof w:val="0"/>
        </w:rPr>
        <w:t>saw</w:t>
      </w:r>
      <w:r w:rsidR="00102498" w:rsidRPr="0025498E">
        <w:rPr>
          <w:noProof w:val="0"/>
        </w:rPr>
        <w:t xml:space="preserve"> almost perfect sensitivity and specificity in both the SCOPE++ and TrimPoly tools. </w:t>
      </w:r>
    </w:p>
    <w:p w14:paraId="4413755C" w14:textId="77777777"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w:t>
      </w:r>
      <w:commentRangeStart w:id="1"/>
      <w:r w:rsidRPr="0025498E">
        <w:rPr>
          <w:noProof w:val="0"/>
        </w:rPr>
        <w:t>correct boundaries</w:t>
      </w:r>
      <w:commentRangeEnd w:id="1"/>
      <w:r w:rsidR="00EB5451">
        <w:rPr>
          <w:rStyle w:val="CommentReference"/>
          <w:noProof w:val="0"/>
        </w:rPr>
        <w:commentReference w:id="1"/>
      </w:r>
      <w:r w:rsidR="00AC0F77">
        <w:rPr>
          <w:noProof w:val="0"/>
        </w:rPr>
        <w:t>,</w:t>
      </w:r>
      <w:r w:rsidRPr="0025498E">
        <w:rPr>
          <w:noProof w:val="0"/>
        </w:rPr>
        <w:t xml:space="preserve"> a significantly higher number of tails (</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398A2011" w14:textId="77777777"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w:t>
      </w:r>
      <w:r w:rsidR="00896BA5">
        <w:rPr>
          <w:noProof w:val="0"/>
        </w:rPr>
        <w:t>5</w:t>
      </w:r>
      <w:r w:rsidR="00FA3629" w:rsidRPr="0025498E">
        <w:rPr>
          <w:noProof w:val="0"/>
        </w:rPr>
        <w:t>]</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02FCF742"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3DA6529A" w14:textId="77777777" w:rsidR="00102498" w:rsidRPr="006E6CCA" w:rsidRDefault="00102498" w:rsidP="00102498">
      <w:pPr>
        <w:ind w:firstLine="720"/>
        <w:rPr>
          <w:noProof w:val="0"/>
          <w:u w:val="single"/>
        </w:rPr>
      </w:pPr>
      <w:r w:rsidRPr="0025498E">
        <w:rPr>
          <w:noProof w:val="0"/>
        </w:rPr>
        <w:t>SCOPE++ was run against a 17 GB Arab</w:t>
      </w:r>
      <w:r w:rsidR="00896BA5">
        <w:rPr>
          <w:noProof w:val="0"/>
        </w:rPr>
        <w:t>idopsis dataset [5</w:t>
      </w:r>
      <w:r w:rsidRPr="0025498E">
        <w:rPr>
          <w:noProof w:val="0"/>
        </w:rPr>
        <w:t>]</w:t>
      </w:r>
      <w:r w:rsidR="006E6CCA">
        <w:rPr>
          <w:noProof w:val="0"/>
        </w:rPr>
        <w:t xml:space="preserve">, </w:t>
      </w:r>
      <w:r w:rsidR="00EB5451">
        <w:rPr>
          <w:noProof w:val="0"/>
        </w:rPr>
        <w:t xml:space="preserve">configured </w:t>
      </w:r>
      <w:r w:rsidR="006E6CCA">
        <w:rPr>
          <w:noProof w:val="0"/>
        </w:rPr>
        <w:t>to find poly(T) tails</w:t>
      </w:r>
      <w:r w:rsidR="009354DD">
        <w:rPr>
          <w:noProof w:val="0"/>
        </w:rPr>
        <w:t xml:space="preserve"> (results presented in Table 2)</w:t>
      </w:r>
      <w:r w:rsidRPr="0025498E">
        <w:rPr>
          <w:noProof w:val="0"/>
        </w:rPr>
        <w:t xml:space="preserve">. The Arabidopsis data set was developed using poly(T) tag </w:t>
      </w:r>
      <w:r w:rsidRPr="00031858">
        <w:rPr>
          <w:noProof w:val="0"/>
        </w:rPr>
        <w:t>sequencing and it was estimated that around 60% of the reads contained poly(T) tails.  Our tool discovered that</w:t>
      </w:r>
      <w:r w:rsidRPr="0025498E">
        <w:rPr>
          <w:noProof w:val="0"/>
        </w:rPr>
        <w:t xml:space="preserve"> 59.6% of all of the reads contained poly(T) tails, which </w:t>
      </w:r>
      <w:r w:rsidR="009B4150" w:rsidRPr="0025498E">
        <w:rPr>
          <w:noProof w:val="0"/>
        </w:rPr>
        <w:t>was</w:t>
      </w:r>
      <w:r w:rsidRPr="0025498E">
        <w:rPr>
          <w:noProof w:val="0"/>
        </w:rPr>
        <w:t xml:space="preserve"> very close to </w:t>
      </w:r>
      <w:r w:rsidRPr="006E6CCA">
        <w:rPr>
          <w:noProof w:val="0"/>
        </w:rPr>
        <w:t xml:space="preserve">the initial estimate.  A quick search for sequences containing short homopolymers returns only 126 clear false negatives, all of which were present in low quality regions and probably would have been </w:t>
      </w:r>
      <w:r w:rsidR="00EB5451">
        <w:rPr>
          <w:noProof w:val="0"/>
        </w:rPr>
        <w:t>discarded</w:t>
      </w:r>
      <w:r w:rsidR="00EB5451" w:rsidRPr="006E6CCA">
        <w:rPr>
          <w:noProof w:val="0"/>
        </w:rPr>
        <w:t xml:space="preserve"> </w:t>
      </w:r>
      <w:r w:rsidRPr="006E6CCA">
        <w:rPr>
          <w:noProof w:val="0"/>
        </w:rPr>
        <w:t>anyway.</w:t>
      </w:r>
    </w:p>
    <w:p w14:paraId="30BBBD8F"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2D63D8BD" w14:textId="77777777" w:rsidR="00102498" w:rsidRPr="006E6CCA" w:rsidRDefault="00102498" w:rsidP="00102498">
      <w:pPr>
        <w:pStyle w:val="Heading1"/>
        <w:spacing w:before="0" w:after="0"/>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p>
    <w:p w14:paraId="6A7E9091" w14:textId="77777777" w:rsidR="00102498" w:rsidRPr="006E6CCA" w:rsidRDefault="00102498" w:rsidP="00102498">
      <w:pPr>
        <w:rPr>
          <w:noProof w:val="0"/>
        </w:rPr>
      </w:pPr>
    </w:p>
    <w:p w14:paraId="147CF693" w14:textId="77777777" w:rsidR="00102498" w:rsidRPr="006E6CCA" w:rsidRDefault="00102498" w:rsidP="00102498">
      <w:pPr>
        <w:pStyle w:val="AbstractText"/>
        <w:spacing w:line="480" w:lineRule="auto"/>
        <w:ind w:firstLine="720"/>
        <w:rPr>
          <w:rFonts w:ascii="Times New Roman" w:hAnsi="Times New Roman"/>
          <w:sz w:val="24"/>
        </w:rPr>
      </w:pPr>
      <w:r w:rsidRPr="006E6CCA">
        <w:rPr>
          <w:rFonts w:ascii="Times New Roman" w:hAnsi="Times New Roman"/>
          <w:sz w:val="24"/>
        </w:rPr>
        <w:t xml:space="preserve">Our software can be found at </w:t>
      </w:r>
      <w:hyperlink r:id="rId15" w:history="1">
        <w:r w:rsidRPr="006E6CCA">
          <w:rPr>
            <w:rStyle w:val="Hyperlink"/>
            <w:rFonts w:ascii="Times New Roman" w:hAnsi="Times New Roman"/>
            <w:sz w:val="24"/>
          </w:rPr>
          <w:t>https://github.com/mortonjt/SCOPE</w:t>
        </w:r>
      </w:hyperlink>
      <w:r w:rsidRPr="006E6CCA">
        <w:rPr>
          <w:rFonts w:ascii="Times New Roman" w:hAnsi="Times New Roman"/>
          <w:sz w:val="24"/>
        </w:rPr>
        <w:t xml:space="preserve">, with code to be distributed as open source.  SCOPE++ was implemented in C++11, and has been tested using the gnu g++ compiler (v. 4.6) on both OS X and Ubuntu Linux.  </w:t>
      </w:r>
    </w:p>
    <w:p w14:paraId="190C2E76" w14:textId="77777777" w:rsidR="00102498" w:rsidRPr="006E6CCA"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t>Conclusions</w:t>
      </w:r>
    </w:p>
    <w:p w14:paraId="035F1C2B" w14:textId="77777777" w:rsidR="00102498" w:rsidRPr="006E6CCA" w:rsidRDefault="00102498" w:rsidP="00102498">
      <w:pPr>
        <w:ind w:firstLine="720"/>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a more complex approach to what </w:t>
      </w:r>
      <w:r w:rsidR="003214DE" w:rsidRPr="006E6CCA">
        <w:rPr>
          <w:noProof w:val="0"/>
        </w:rPr>
        <w:t>initially</w:t>
      </w:r>
      <w:r w:rsidR="003F6C23" w:rsidRPr="006E6CCA">
        <w:rPr>
          <w:noProof w:val="0"/>
        </w:rPr>
        <w:t xml:space="preserve"> seems like a simple problem. </w:t>
      </w:r>
      <w:r w:rsidR="002066C2" w:rsidRPr="006E6CCA">
        <w:rPr>
          <w:noProof w:val="0"/>
        </w:rPr>
        <w:t>Unlike other tools, SCOPE++ is able to identify both end boundaries of a tail</w:t>
      </w:r>
      <w:r w:rsidR="003214DE" w:rsidRPr="006E6CCA">
        <w:rPr>
          <w:noProof w:val="0"/>
        </w:rPr>
        <w:t xml:space="preserve"> (as opposed to simple trimming</w:t>
      </w:r>
      <w:r w:rsidR="002066C2" w:rsidRPr="006E6CCA">
        <w:rPr>
          <w:noProof w:val="0"/>
        </w:rPr>
        <w:t>) and is able to train on data-specific model parameters.  Our tests have shown that the tool</w:t>
      </w:r>
      <w:r w:rsidRPr="006E6CCA">
        <w:rPr>
          <w:noProof w:val="0"/>
        </w:rPr>
        <w:t xml:space="preserve"> performs on par with existing poly(A) trimming tools in terms of speed, while showing considerably more accuracy in terms of identifying end-point boundaries and predicting tails buried further away from the fragment ends. </w:t>
      </w:r>
    </w:p>
    <w:p w14:paraId="72C8530B" w14:textId="77777777"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w:t>
      </w:r>
      <w:r w:rsidR="00667F4D">
        <w:rPr>
          <w:noProof w:val="0"/>
          <w:szCs w:val="18"/>
        </w:rPr>
        <w:t>-kill for this sort of problem</w:t>
      </w:r>
      <w:r w:rsidR="00EB5451">
        <w:rPr>
          <w:noProof w:val="0"/>
          <w:szCs w:val="18"/>
        </w:rPr>
        <w:t>,</w:t>
      </w:r>
      <w:r w:rsidR="001F40F6" w:rsidRPr="0025498E">
        <w:rPr>
          <w:noProof w:val="0"/>
          <w:szCs w:val="18"/>
        </w:rPr>
        <w:t xml:space="preserve"> in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w:t>
      </w:r>
      <w:r w:rsidR="00EB5451">
        <w:rPr>
          <w:noProof w:val="0"/>
          <w:szCs w:val="18"/>
        </w:rPr>
        <w:t>techniques</w:t>
      </w:r>
      <w:r w:rsidR="00EB5451" w:rsidRPr="0025498E">
        <w:rPr>
          <w:noProof w:val="0"/>
          <w:szCs w:val="18"/>
        </w:rPr>
        <w:t xml:space="preserve"> </w:t>
      </w:r>
      <w:r w:rsidR="001F40F6" w:rsidRPr="0025498E">
        <w:rPr>
          <w:noProof w:val="0"/>
          <w:szCs w:val="18"/>
        </w:rPr>
        <w:t xml:space="preserve">might work to keep the runtime within reason. </w:t>
      </w:r>
    </w:p>
    <w:p w14:paraId="0A26BA65" w14:textId="77777777" w:rsidR="002066C2" w:rsidRPr="0025498E" w:rsidRDefault="002066C2" w:rsidP="00102498">
      <w:pPr>
        <w:ind w:firstLine="720"/>
        <w:rPr>
          <w:noProof w:val="0"/>
          <w:szCs w:val="18"/>
        </w:rPr>
      </w:pPr>
    </w:p>
    <w:p w14:paraId="0AC96FAA" w14:textId="77777777" w:rsidR="00102498" w:rsidRPr="0025498E" w:rsidRDefault="00102498" w:rsidP="00102498">
      <w:pPr>
        <w:pStyle w:val="Heading1"/>
        <w:rPr>
          <w:noProof w:val="0"/>
        </w:rPr>
      </w:pPr>
      <w:r w:rsidRPr="0025498E">
        <w:rPr>
          <w:noProof w:val="0"/>
        </w:rPr>
        <w:t>Authors' contributions</w:t>
      </w:r>
    </w:p>
    <w:p w14:paraId="6CCD7E5C" w14:textId="77777777" w:rsidR="00102498" w:rsidRPr="0025498E" w:rsidRDefault="00605003" w:rsidP="00605003">
      <w:pPr>
        <w:rPr>
          <w:noProof w:val="0"/>
          <w:sz w:val="30"/>
        </w:rPr>
      </w:pPr>
      <w:r w:rsidRPr="00605003">
        <w:rPr>
          <w:rFonts w:eastAsiaTheme="minorHAnsi"/>
          <w:noProof w:val="0"/>
        </w:rPr>
        <w:t>JK and LC designed, coordinated and managed the whole project.</w:t>
      </w:r>
      <w:r>
        <w:rPr>
          <w:rFonts w:eastAsiaTheme="minorHAnsi"/>
          <w:noProof w:val="0"/>
        </w:rPr>
        <w:t xml:space="preserve">  </w:t>
      </w:r>
      <w:r w:rsidR="00102498" w:rsidRPr="0025498E">
        <w:rPr>
          <w:rFonts w:eastAsiaTheme="minorHAnsi"/>
          <w:noProof w:val="0"/>
        </w:rPr>
        <w:t xml:space="preserve">JM designed, developed and implemented most of the software algorithms.  PA conducted human validation on the tests.  NF </w:t>
      </w:r>
      <w:r w:rsidR="00A05304">
        <w:rPr>
          <w:rFonts w:eastAsiaTheme="minorHAnsi"/>
          <w:noProof w:val="0"/>
        </w:rPr>
        <w:t>developed software for finding</w:t>
      </w:r>
      <w:r w:rsidR="00102498" w:rsidRPr="0025498E">
        <w:rPr>
          <w:rFonts w:eastAsiaTheme="minorHAnsi"/>
          <w:noProof w:val="0"/>
        </w:rPr>
        <w:t xml:space="preserve"> the optimal parameters of </w:t>
      </w:r>
      <w:r w:rsidR="00EB5451">
        <w:rPr>
          <w:rFonts w:eastAsiaTheme="minorHAnsi"/>
          <w:noProof w:val="0"/>
        </w:rPr>
        <w:t>SCOPE++</w:t>
      </w:r>
      <w:r w:rsidR="00A05304">
        <w:rPr>
          <w:rFonts w:eastAsiaTheme="minorHAnsi"/>
          <w:noProof w:val="0"/>
        </w:rPr>
        <w:t xml:space="preserve">. JK contributed to the </w:t>
      </w:r>
      <w:r w:rsidR="00AF7954">
        <w:rPr>
          <w:rFonts w:eastAsiaTheme="minorHAnsi"/>
          <w:noProof w:val="0"/>
        </w:rPr>
        <w:t>algorithm design</w:t>
      </w:r>
      <w:r w:rsidR="00102498" w:rsidRPr="0025498E">
        <w:rPr>
          <w:rFonts w:eastAsiaTheme="minorHAnsi"/>
          <w:noProof w:val="0"/>
        </w:rPr>
        <w:t xml:space="preserve"> and conducted all of the simulation tests and performed a statistical analysis </w:t>
      </w:r>
      <w:r w:rsidR="00A05304">
        <w:rPr>
          <w:rFonts w:eastAsiaTheme="minorHAnsi"/>
          <w:noProof w:val="0"/>
        </w:rPr>
        <w:t>of</w:t>
      </w:r>
      <w:r w:rsidR="00102498" w:rsidRPr="0025498E">
        <w:rPr>
          <w:rFonts w:eastAsiaTheme="minorHAnsi"/>
          <w:noProof w:val="0"/>
        </w:rPr>
        <w:t xml:space="preserve"> the results.  </w:t>
      </w:r>
      <w:r w:rsidRPr="00605003">
        <w:rPr>
          <w:rFonts w:eastAsiaTheme="minorHAnsi"/>
          <w:noProof w:val="0"/>
        </w:rPr>
        <w:t>LC contributed to software testing and</w:t>
      </w:r>
      <w:r>
        <w:rPr>
          <w:rFonts w:eastAsiaTheme="minorHAnsi"/>
          <w:noProof w:val="0"/>
        </w:rPr>
        <w:t xml:space="preserve"> </w:t>
      </w:r>
      <w:r w:rsidR="00102498" w:rsidRPr="0025498E">
        <w:rPr>
          <w:rFonts w:eastAsiaTheme="minorHAnsi"/>
          <w:noProof w:val="0"/>
        </w:rPr>
        <w:t>conducted human validation on the results.  All authors read and approved the final manuscript.</w:t>
      </w:r>
      <w:r w:rsidR="00102498" w:rsidRPr="0025498E">
        <w:rPr>
          <w:noProof w:val="0"/>
          <w:sz w:val="30"/>
        </w:rPr>
        <w:t xml:space="preserve"> </w:t>
      </w:r>
    </w:p>
    <w:p w14:paraId="227572B4" w14:textId="77777777" w:rsidR="00102498" w:rsidRPr="0025498E" w:rsidRDefault="00102498" w:rsidP="00102498">
      <w:pPr>
        <w:pStyle w:val="Heading1"/>
        <w:rPr>
          <w:noProof w:val="0"/>
        </w:rPr>
      </w:pPr>
    </w:p>
    <w:p w14:paraId="0EBE30CB" w14:textId="77777777" w:rsidR="00102498" w:rsidRPr="0025498E" w:rsidRDefault="00102498" w:rsidP="00102498">
      <w:pPr>
        <w:pStyle w:val="Heading1"/>
        <w:rPr>
          <w:noProof w:val="0"/>
        </w:rPr>
      </w:pPr>
      <w:r w:rsidRPr="0025498E">
        <w:rPr>
          <w:noProof w:val="0"/>
        </w:rPr>
        <w:t xml:space="preserve">Acknowledgements </w:t>
      </w:r>
    </w:p>
    <w:p w14:paraId="3162A793"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C3855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57DF8418" w14:textId="77777777" w:rsidR="00185088" w:rsidRP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rPr>
      </w:pPr>
      <w:r w:rsidRPr="00185088">
        <w:rPr>
          <w:rFonts w:ascii="Times New Roman" w:eastAsia="Times New Roman" w:hAnsi="Times New Roman" w:cs="Times New Roman"/>
          <w:b/>
          <w:noProof w:val="0"/>
        </w:rPr>
        <w:t>Data deposition</w:t>
      </w:r>
      <w:r w:rsidRPr="00185088">
        <w:rPr>
          <w:rFonts w:ascii="Times New Roman" w:eastAsia="Times New Roman" w:hAnsi="Times New Roman" w:cs="Times New Roman"/>
          <w:noProof w:val="0"/>
        </w:rPr>
        <w:t>: The sequence reported in this paper has been deposited in the National Center for Biotechnology Information Short Reads Archive (accession no</w:t>
      </w:r>
      <w:commentRangeStart w:id="2"/>
      <w:r w:rsidRPr="00185088">
        <w:rPr>
          <w:rFonts w:ascii="Times New Roman" w:eastAsia="Times New Roman" w:hAnsi="Times New Roman" w:cs="Times New Roman"/>
          <w:noProof w:val="0"/>
        </w:rPr>
        <w:t>. </w:t>
      </w:r>
      <w:hyperlink r:id="rId16" w:history="1">
        <w:r w:rsidRPr="00185088">
          <w:rPr>
            <w:rFonts w:ascii="Times New Roman" w:eastAsia="Times New Roman" w:hAnsi="Times New Roman" w:cs="Times New Roman"/>
            <w:noProof w:val="0"/>
          </w:rPr>
          <w:t>SRA028410</w:t>
        </w:r>
      </w:hyperlink>
      <w:commentRangeEnd w:id="2"/>
      <w:r w:rsidR="004F2C5A">
        <w:rPr>
          <w:rStyle w:val="CommentReference"/>
          <w:rFonts w:ascii="Times New Roman" w:eastAsia="Times New Roman" w:hAnsi="Times New Roman" w:cs="Times New Roman"/>
          <w:noProof w:val="0"/>
        </w:rPr>
        <w:commentReference w:id="2"/>
      </w:r>
      <w:r w:rsidRPr="00185088">
        <w:rPr>
          <w:rFonts w:ascii="Times New Roman" w:eastAsia="Times New Roman" w:hAnsi="Times New Roman" w:cs="Times New Roman"/>
          <w:noProof w:val="0"/>
        </w:rPr>
        <w:t>).</w:t>
      </w:r>
    </w:p>
    <w:p w14:paraId="34DB619D"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5F3C9628" w14:textId="77777777" w:rsidR="00102498" w:rsidRPr="0025498E" w:rsidRDefault="00102498" w:rsidP="00102498">
      <w:pPr>
        <w:pStyle w:val="Heading1"/>
        <w:rPr>
          <w:noProof w:val="0"/>
        </w:rPr>
      </w:pPr>
      <w:r w:rsidRPr="0025498E">
        <w:rPr>
          <w:noProof w:val="0"/>
        </w:rPr>
        <w:t>Figures</w:t>
      </w:r>
    </w:p>
    <w:p w14:paraId="3259595E" w14:textId="77777777" w:rsidR="00102498" w:rsidRPr="0025498E" w:rsidRDefault="00102498" w:rsidP="00102498">
      <w:pPr>
        <w:rPr>
          <w:noProof w:val="0"/>
        </w:rPr>
      </w:pPr>
    </w:p>
    <w:p w14:paraId="28C64703" w14:textId="77777777" w:rsidR="004F2C5A" w:rsidRDefault="004F2C5A" w:rsidP="004F2C5A">
      <w:r>
        <w:drawing>
          <wp:inline distT="0" distB="0" distL="0" distR="0" wp14:anchorId="7426776A" wp14:editId="02C015C6">
            <wp:extent cx="1943100" cy="71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711571"/>
                    </a:xfrm>
                    <a:prstGeom prst="rect">
                      <a:avLst/>
                    </a:prstGeom>
                  </pic:spPr>
                </pic:pic>
              </a:graphicData>
            </a:graphic>
          </wp:inline>
        </w:drawing>
      </w:r>
      <w:r>
        <w:drawing>
          <wp:inline distT="0" distB="0" distL="0" distR="0" wp14:anchorId="1E0FEE93" wp14:editId="6440463C">
            <wp:extent cx="3095625" cy="885825"/>
            <wp:effectExtent l="0" t="0" r="9525"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18">
                      <a:extLst>
                        <a:ext uri="{28A0092B-C50C-407E-A947-70E740481C1C}">
                          <a14:useLocalDpi xmlns:a14="http://schemas.microsoft.com/office/drawing/2010/main" val="0"/>
                        </a:ext>
                      </a:extLst>
                    </a:blip>
                    <a:srcRect t="27003" b="27003"/>
                    <a:stretch>
                      <a:fillRect/>
                    </a:stretch>
                  </pic:blipFill>
                  <pic:spPr bwMode="auto">
                    <a:xfrm>
                      <a:off x="0" y="0"/>
                      <a:ext cx="3095625" cy="885825"/>
                    </a:xfrm>
                    <a:prstGeom prst="rect">
                      <a:avLst/>
                    </a:prstGeom>
                    <a:noFill/>
                    <a:ln>
                      <a:noFill/>
                    </a:ln>
                  </pic:spPr>
                </pic:pic>
              </a:graphicData>
            </a:graphic>
          </wp:inline>
        </w:drawing>
      </w:r>
    </w:p>
    <w:p w14:paraId="599F0C17" w14:textId="77777777" w:rsidR="004F2C5A" w:rsidRPr="00E76AE6" w:rsidRDefault="004F2C5A" w:rsidP="004F2C5A">
      <w:r>
        <w:t xml:space="preserve">                       (a)                                                                  (b)</w:t>
      </w:r>
    </w:p>
    <w:p w14:paraId="459FAB91" w14:textId="77777777" w:rsidR="00102498" w:rsidRPr="00C70D82" w:rsidRDefault="00102498" w:rsidP="00C70D82">
      <w:pPr>
        <w:pStyle w:val="Caption"/>
        <w:ind w:left="720"/>
        <w:rPr>
          <w:b w:val="0"/>
        </w:rPr>
      </w:pPr>
      <w:r w:rsidRPr="0025498E">
        <w:t xml:space="preserve">Figure </w:t>
      </w:r>
      <w:fldSimple w:instr=" SEQ Figure \* ARABIC ">
        <w:r w:rsidR="00BD2A25">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1985B205" w14:textId="77777777" w:rsidR="00102498" w:rsidRPr="00C70D82" w:rsidRDefault="00102498" w:rsidP="00102498">
      <w:pPr>
        <w:rPr>
          <w:noProof w:val="0"/>
          <w:sz w:val="20"/>
          <w:szCs w:val="20"/>
        </w:rPr>
      </w:pPr>
    </w:p>
    <w:p w14:paraId="390B2336" w14:textId="77777777" w:rsidR="004F2C5A" w:rsidRDefault="004F2C5A" w:rsidP="004F2C5A">
      <w:pPr>
        <w:keepNext/>
        <w:jc w:val="center"/>
      </w:pPr>
      <w:r>
        <w:drawing>
          <wp:inline distT="0" distB="0" distL="0" distR="0" wp14:anchorId="10D34B8F" wp14:editId="150665AC">
            <wp:extent cx="2745211" cy="1161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977" cy="1168145"/>
                    </a:xfrm>
                    <a:prstGeom prst="rect">
                      <a:avLst/>
                    </a:prstGeom>
                    <a:noFill/>
                    <a:ln>
                      <a:noFill/>
                    </a:ln>
                  </pic:spPr>
                </pic:pic>
              </a:graphicData>
            </a:graphic>
          </wp:inline>
        </w:drawing>
      </w:r>
      <w:r>
        <w:drawing>
          <wp:inline distT="0" distB="0" distL="0" distR="0" wp14:anchorId="31773E38" wp14:editId="469AAFCD">
            <wp:extent cx="2251875" cy="1165908"/>
            <wp:effectExtent l="0" t="0" r="0" b="0"/>
            <wp:docPr id="1" name="Picture 1" descr="E:\Downloads\scop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cope_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156" cy="1168642"/>
                    </a:xfrm>
                    <a:prstGeom prst="rect">
                      <a:avLst/>
                    </a:prstGeom>
                    <a:noFill/>
                    <a:ln>
                      <a:noFill/>
                    </a:ln>
                  </pic:spPr>
                </pic:pic>
              </a:graphicData>
            </a:graphic>
          </wp:inline>
        </w:drawing>
      </w:r>
    </w:p>
    <w:p w14:paraId="7B52ADB3" w14:textId="77777777" w:rsidR="004F2C5A" w:rsidRDefault="004F2C5A" w:rsidP="004F2C5A"/>
    <w:p w14:paraId="2DDE9920" w14:textId="77777777" w:rsidR="00102498" w:rsidRPr="0025498E" w:rsidRDefault="00102498" w:rsidP="00102498">
      <w:pPr>
        <w:pStyle w:val="Caption"/>
        <w:keepNext/>
        <w:ind w:left="720"/>
      </w:pPr>
      <w:bookmarkStart w:id="3" w:name="_Ref230927869"/>
      <w:r w:rsidRPr="0025498E">
        <w:t xml:space="preserve">Figure </w:t>
      </w:r>
      <w:bookmarkEnd w:id="3"/>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4FA52615" w14:textId="77777777" w:rsidR="00102498" w:rsidRPr="0025498E" w:rsidRDefault="00102498" w:rsidP="00102498">
      <w:pPr>
        <w:jc w:val="center"/>
        <w:rPr>
          <w:noProof w:val="0"/>
        </w:rPr>
      </w:pPr>
    </w:p>
    <w:p w14:paraId="0DB2DC15" w14:textId="77777777" w:rsidR="004F2C5A" w:rsidRDefault="004F2C5A" w:rsidP="004F2C5A">
      <w:r>
        <w:drawing>
          <wp:inline distT="0" distB="0" distL="0" distR="0" wp14:anchorId="375733EC" wp14:editId="276FC685">
            <wp:extent cx="5486400" cy="228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1B1CD0D" w14:textId="77777777" w:rsidR="00102498" w:rsidRPr="004F2C5A" w:rsidRDefault="00102498" w:rsidP="004F2C5A">
      <w:pPr>
        <w:pStyle w:val="Caption"/>
        <w:ind w:left="720"/>
        <w:rPr>
          <w:b w:val="0"/>
        </w:rPr>
      </w:pPr>
      <w:bookmarkStart w:id="4" w:name="_Ref230927906"/>
      <w:r w:rsidRPr="0025498E">
        <w:t xml:space="preserve">Figure </w:t>
      </w:r>
      <w:bookmarkEnd w:id="4"/>
      <w:r w:rsidR="00C70D82">
        <w:t>3</w:t>
      </w:r>
      <w:r w:rsidRPr="0025498E">
        <w:rPr>
          <w:b w:val="0"/>
        </w:rPr>
        <w:t>: (a) Plot of tool sensitivity as a function of the ratio of adapter segment length to tail length: while SCOPE++ is robust to this ratio, TrimPoly sensitivity deteriorates as the length of the adapter segment become</w:t>
      </w:r>
      <w:r w:rsidR="004F2C5A">
        <w:rPr>
          <w:b w:val="0"/>
        </w:rPr>
        <w:t>s longer than that of the tail.</w:t>
      </w:r>
    </w:p>
    <w:p w14:paraId="3D1420C6" w14:textId="77777777" w:rsidR="00102498" w:rsidRPr="0025498E" w:rsidRDefault="00102498" w:rsidP="00102498">
      <w:pPr>
        <w:pStyle w:val="Caption"/>
        <w:keepNext/>
      </w:pPr>
      <w:r w:rsidRPr="0025498E">
        <w:rPr>
          <w:noProof/>
          <w:sz w:val="36"/>
        </w:rPr>
        <w:drawing>
          <wp:inline distT="0" distB="0" distL="0" distR="0" wp14:anchorId="061F915F" wp14:editId="04188DB5">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483A167C" w14:textId="77777777" w:rsidR="00102498" w:rsidRPr="0025498E" w:rsidRDefault="00102498" w:rsidP="00102498">
      <w:pPr>
        <w:pStyle w:val="Caption"/>
        <w:ind w:left="720"/>
        <w:rPr>
          <w:sz w:val="36"/>
        </w:rPr>
      </w:pPr>
      <w:bookmarkStart w:id="5" w:name="_Ref230927977"/>
      <w:r w:rsidRPr="0025498E">
        <w:t xml:space="preserve">Figure </w:t>
      </w:r>
      <w:bookmarkEnd w:id="5"/>
      <w:r w:rsidR="00C70D82">
        <w:t>4</w:t>
      </w:r>
      <w:r w:rsidRPr="0025498E">
        <w:t xml:space="preserve">: </w:t>
      </w:r>
      <w:r w:rsidRPr="0025498E">
        <w:rPr>
          <w:b w:val="0"/>
        </w:rPr>
        <w:t xml:space="preserve">Application of tools to the Triticum aestivum ERR125556 fragment set </w:t>
      </w:r>
      <w:r w:rsidR="00AE6389"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00AE6389" w:rsidRPr="0025498E">
        <w:rPr>
          <w:b w:val="0"/>
        </w:rPr>
        <w:fldChar w:fldCharType="separate"/>
      </w:r>
      <w:r w:rsidR="00AA74B6">
        <w:t>[19]</w:t>
      </w:r>
      <w:r w:rsidR="00AE6389"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777D629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03D43DB"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6960F728" w14:textId="076E71DA" w:rsidR="00102498" w:rsidRPr="0025498E" w:rsidRDefault="00102498" w:rsidP="00102498">
      <w:pPr>
        <w:ind w:left="90"/>
        <w:rPr>
          <w:noProof w:val="0"/>
          <w:sz w:val="20"/>
          <w:szCs w:val="20"/>
        </w:rPr>
      </w:pPr>
      <w:r w:rsidRPr="0025498E">
        <w:rPr>
          <w:b/>
          <w:noProof w:val="0"/>
          <w:sz w:val="20"/>
          <w:szCs w:val="20"/>
        </w:rPr>
        <w:t>Table 1:</w:t>
      </w:r>
      <w:r w:rsidRPr="0025498E">
        <w:rPr>
          <w:noProof w:val="0"/>
          <w:sz w:val="20"/>
          <w:szCs w:val="20"/>
        </w:rPr>
        <w:t xml:space="preserve"> Results of tests on data-derived simulated sets using SCOPE++, the TrimPoly component of SeqClean </w:t>
      </w:r>
      <w:r w:rsidR="00AE6389"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sz w:val="20"/>
          <w:szCs w:val="20"/>
        </w:rPr>
        <w:fldChar w:fldCharType="separate"/>
      </w:r>
      <w:r w:rsidR="00AA74B6">
        <w:rPr>
          <w:noProof w:val="0"/>
          <w:sz w:val="20"/>
          <w:szCs w:val="20"/>
        </w:rPr>
        <w:t>[7]</w:t>
      </w:r>
      <w:r w:rsidR="00AE6389" w:rsidRPr="0025498E">
        <w:rPr>
          <w:noProof w:val="0"/>
          <w:sz w:val="20"/>
          <w:szCs w:val="20"/>
        </w:rPr>
        <w:fldChar w:fldCharType="end"/>
      </w:r>
      <w:r w:rsidRPr="0025498E">
        <w:rPr>
          <w:noProof w:val="0"/>
          <w:sz w:val="20"/>
          <w:szCs w:val="20"/>
        </w:rPr>
        <w:t xml:space="preserve">, and TrimEst </w:t>
      </w:r>
      <w:r w:rsidR="00AE6389"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sz w:val="20"/>
          <w:szCs w:val="20"/>
        </w:rPr>
        <w:fldChar w:fldCharType="separate"/>
      </w:r>
      <w:r w:rsidR="00AA74B6">
        <w:rPr>
          <w:noProof w:val="0"/>
          <w:sz w:val="20"/>
          <w:szCs w:val="20"/>
        </w:rPr>
        <w:t>[8]</w:t>
      </w:r>
      <w:r w:rsidR="00AE6389" w:rsidRPr="0025498E">
        <w:rPr>
          <w:noProof w:val="0"/>
          <w:sz w:val="20"/>
          <w:szCs w:val="20"/>
        </w:rPr>
        <w:fldChar w:fldCharType="end"/>
      </w:r>
      <w:r w:rsidRPr="0025498E">
        <w:rPr>
          <w:noProof w:val="0"/>
          <w:sz w:val="20"/>
          <w:szCs w:val="20"/>
        </w:rPr>
        <w:t xml:space="preserve">; SeqTrim </w:t>
      </w:r>
      <w:r w:rsidR="00AE6389"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sz w:val="20"/>
          <w:szCs w:val="20"/>
        </w:rPr>
        <w:fldChar w:fldCharType="separate"/>
      </w:r>
      <w:r w:rsidR="00AA74B6">
        <w:rPr>
          <w:noProof w:val="0"/>
          <w:sz w:val="20"/>
          <w:szCs w:val="20"/>
        </w:rPr>
        <w:t>[9]</w:t>
      </w:r>
      <w:r w:rsidR="00AE6389"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Chalamydomons, and Sanger-sequence Human [</w:t>
      </w:r>
      <w:r w:rsidR="001A1DBA">
        <w:rPr>
          <w:noProof w:val="0"/>
          <w:sz w:val="20"/>
          <w:szCs w:val="20"/>
        </w:rPr>
        <w:t>21</w:t>
      </w:r>
      <w:r w:rsidRPr="0025498E">
        <w:rPr>
          <w:noProof w:val="0"/>
          <w:sz w:val="20"/>
          <w:szCs w:val="20"/>
        </w:rPr>
        <w:t>]), we remove all sequencing errors within the human identified poly(A) or poly(T) tails, then introduce simulated error</w:t>
      </w:r>
      <w:r w:rsidR="00EB5451">
        <w:rPr>
          <w:noProof w:val="0"/>
          <w:sz w:val="20"/>
          <w:szCs w:val="20"/>
        </w:rPr>
        <w:t>s</w:t>
      </w:r>
      <w:r w:rsidRPr="0025498E">
        <w:rPr>
          <w:noProof w:val="0"/>
          <w:sz w:val="20"/>
          <w:szCs w:val="20"/>
        </w:rPr>
        <w:t xml:space="preserve"> into those tails to allow </w:t>
      </w:r>
      <w:r w:rsidR="00EB5451">
        <w:rPr>
          <w:noProof w:val="0"/>
          <w:sz w:val="20"/>
          <w:szCs w:val="20"/>
        </w:rPr>
        <w:t xml:space="preserve">for </w:t>
      </w:r>
      <w:r w:rsidRPr="0025498E">
        <w:rPr>
          <w:noProof w:val="0"/>
          <w:sz w:val="20"/>
          <w:szCs w:val="20"/>
        </w:rPr>
        <w:t xml:space="preserve">the testing of sensitivity and boundary </w:t>
      </w:r>
      <w:r w:rsidR="00D263D6">
        <w:rPr>
          <w:noProof w:val="0"/>
          <w:sz w:val="20"/>
          <w:szCs w:val="20"/>
        </w:rPr>
        <w:t>identification</w:t>
      </w:r>
      <w:bookmarkStart w:id="6" w:name="_GoBack"/>
      <w:bookmarkEnd w:id="6"/>
      <w:r w:rsidRPr="0025498E">
        <w:rPr>
          <w:noProof w:val="0"/>
          <w:sz w:val="20"/>
          <w:szCs w:val="20"/>
        </w:rPr>
        <w:t xml:space="preserve"> at a controlled error rate.  For specificity we generate sequences using the base distribution of the non-tail segments of the sequences in the set.  Applying each tool to the set, we then have a reference solution that allows us to compute result qualities.</w:t>
      </w:r>
    </w:p>
    <w:p w14:paraId="47F6A820" w14:textId="77777777" w:rsidR="00102498" w:rsidRPr="0025498E" w:rsidRDefault="00102498" w:rsidP="00102498">
      <w:pPr>
        <w:rPr>
          <w:noProof w:val="0"/>
        </w:rPr>
      </w:pPr>
      <w:r w:rsidRPr="0025498E">
        <w:drawing>
          <wp:inline distT="0" distB="0" distL="0" distR="0" wp14:anchorId="3D0101F7" wp14:editId="6AB536D2">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C9CB15C" w14:textId="77777777" w:rsidR="00102498" w:rsidRPr="0025498E" w:rsidRDefault="00102498" w:rsidP="00102498">
      <w:pPr>
        <w:pStyle w:val="Caption"/>
        <w:keepNext/>
        <w:ind w:left="810"/>
      </w:pPr>
      <w:bookmarkStart w:id="7" w:name="_Ref229121257"/>
    </w:p>
    <w:p w14:paraId="024CF92E" w14:textId="77777777" w:rsidR="00102498" w:rsidRPr="0025498E" w:rsidRDefault="00102498" w:rsidP="00102498">
      <w:pPr>
        <w:pStyle w:val="Caption"/>
        <w:keepNext/>
        <w:ind w:left="810"/>
      </w:pPr>
    </w:p>
    <w:p w14:paraId="5E001C9F" w14:textId="77777777" w:rsidR="00102498" w:rsidRPr="0025498E" w:rsidRDefault="00102498" w:rsidP="00102498">
      <w:pPr>
        <w:pStyle w:val="Caption"/>
        <w:keepNext/>
        <w:ind w:left="810"/>
      </w:pPr>
    </w:p>
    <w:p w14:paraId="4556E178" w14:textId="77777777" w:rsidR="00102498" w:rsidRPr="0025498E" w:rsidRDefault="00102498" w:rsidP="00102498">
      <w:pPr>
        <w:pStyle w:val="Caption"/>
        <w:keepNext/>
        <w:ind w:left="810"/>
      </w:pPr>
    </w:p>
    <w:p w14:paraId="3114A40B"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7FE5FF9A" w14:textId="77777777" w:rsidR="00102498" w:rsidRPr="0025498E" w:rsidRDefault="00102498" w:rsidP="00102498">
      <w:pPr>
        <w:pStyle w:val="Caption"/>
        <w:keepNext/>
        <w:ind w:left="90"/>
        <w:rPr>
          <w:b w:val="0"/>
        </w:rPr>
      </w:pPr>
      <w:r w:rsidRPr="0025498E">
        <w:t xml:space="preserve">Table </w:t>
      </w:r>
      <w:bookmarkEnd w:id="7"/>
      <w:r w:rsidRPr="0025498E">
        <w:t xml:space="preserve">2: </w:t>
      </w:r>
      <w:r w:rsidR="009354DD">
        <w:rPr>
          <w:b w:val="0"/>
        </w:rPr>
        <w:t xml:space="preserve">With the </w:t>
      </w:r>
      <w:r w:rsidRPr="0025498E">
        <w:rPr>
          <w:b w:val="0"/>
        </w:rPr>
        <w:t xml:space="preserve">SCOPE++ trim option, poly(A) tails and poly(T) tails can be simultaneously trimmed. The table below lists all possible arrangements of poly(A) and poly(T) tails within a single read and the frequencies in which they appear in the actual dataset </w:t>
      </w:r>
      <w:r w:rsidR="00AE6389"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00AE6389" w:rsidRPr="0025498E">
        <w:rPr>
          <w:b w:val="0"/>
        </w:rPr>
        <w:fldChar w:fldCharType="separate"/>
      </w:r>
      <w:r w:rsidR="00AA74B6">
        <w:t>[20]</w:t>
      </w:r>
      <w:r w:rsidR="00AE6389" w:rsidRPr="0025498E">
        <w:rPr>
          <w:b w:val="0"/>
        </w:rPr>
        <w:fldChar w:fldCharType="end"/>
      </w:r>
      <w:r w:rsidRPr="0025498E">
        <w:rPr>
          <w:b w:val="0"/>
        </w:rPr>
        <w:t>.</w:t>
      </w:r>
    </w:p>
    <w:p w14:paraId="358BAD55"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3186E975" w14:textId="77777777" w:rsidTr="008C786B">
        <w:tc>
          <w:tcPr>
            <w:tcW w:w="2250" w:type="dxa"/>
          </w:tcPr>
          <w:p w14:paraId="4A856F6B" w14:textId="77777777" w:rsidR="00102498" w:rsidRPr="0025498E" w:rsidRDefault="00102498" w:rsidP="008C786B">
            <w:pPr>
              <w:rPr>
                <w:noProof w:val="0"/>
              </w:rPr>
            </w:pPr>
            <w:r w:rsidRPr="0025498E">
              <w:rPr>
                <w:noProof w:val="0"/>
              </w:rPr>
              <w:t>Trim type</w:t>
            </w:r>
          </w:p>
        </w:tc>
        <w:tc>
          <w:tcPr>
            <w:tcW w:w="2250" w:type="dxa"/>
          </w:tcPr>
          <w:p w14:paraId="7C103808" w14:textId="77777777" w:rsidR="00102498" w:rsidRPr="0025498E" w:rsidRDefault="00102498" w:rsidP="008C786B">
            <w:pPr>
              <w:rPr>
                <w:noProof w:val="0"/>
              </w:rPr>
            </w:pPr>
            <w:r w:rsidRPr="0025498E">
              <w:rPr>
                <w:noProof w:val="0"/>
              </w:rPr>
              <w:t>Number identified</w:t>
            </w:r>
          </w:p>
        </w:tc>
        <w:tc>
          <w:tcPr>
            <w:tcW w:w="2430" w:type="dxa"/>
          </w:tcPr>
          <w:p w14:paraId="154274C8" w14:textId="77777777" w:rsidR="00102498" w:rsidRPr="0025498E" w:rsidRDefault="00102498" w:rsidP="008C786B">
            <w:pPr>
              <w:rPr>
                <w:noProof w:val="0"/>
              </w:rPr>
            </w:pPr>
            <w:r w:rsidRPr="0025498E">
              <w:rPr>
                <w:noProof w:val="0"/>
              </w:rPr>
              <w:t>Percent identified</w:t>
            </w:r>
          </w:p>
        </w:tc>
      </w:tr>
      <w:tr w:rsidR="00102498" w:rsidRPr="0025498E" w14:paraId="52BE432D" w14:textId="77777777" w:rsidTr="008C786B">
        <w:tc>
          <w:tcPr>
            <w:tcW w:w="2250" w:type="dxa"/>
          </w:tcPr>
          <w:p w14:paraId="1FB70E5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CACE09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1F31C0C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77E9C178" w14:textId="77777777" w:rsidTr="008C786B">
        <w:tc>
          <w:tcPr>
            <w:tcW w:w="2250" w:type="dxa"/>
          </w:tcPr>
          <w:p w14:paraId="6823F2D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628AFC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21EC0E3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21B2B594" w14:textId="77777777" w:rsidTr="008C786B">
        <w:tc>
          <w:tcPr>
            <w:tcW w:w="2250" w:type="dxa"/>
          </w:tcPr>
          <w:p w14:paraId="5DB01DF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87A72DC"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1C952B8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2E42C5D6" w14:textId="77777777" w:rsidTr="008C786B">
        <w:tc>
          <w:tcPr>
            <w:tcW w:w="2250" w:type="dxa"/>
          </w:tcPr>
          <w:p w14:paraId="5FECADB4"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15D0C2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04BEFED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27C8F7BA" w14:textId="77777777" w:rsidTr="008C786B">
        <w:tc>
          <w:tcPr>
            <w:tcW w:w="2250" w:type="dxa"/>
          </w:tcPr>
          <w:p w14:paraId="52AC6CC5"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3BD5AD1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F5E17E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1CD9DB" w14:textId="77777777" w:rsidTr="008C786B">
        <w:tc>
          <w:tcPr>
            <w:tcW w:w="2250" w:type="dxa"/>
          </w:tcPr>
          <w:p w14:paraId="63D4747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688591A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6732E23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6AD9CDF1" w14:textId="77777777" w:rsidTr="008C786B">
        <w:tc>
          <w:tcPr>
            <w:tcW w:w="2250" w:type="dxa"/>
          </w:tcPr>
          <w:p w14:paraId="3BDE6E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5F4D191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2BC976A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0E6C72D9" w14:textId="77777777" w:rsidTr="008C786B">
        <w:tc>
          <w:tcPr>
            <w:tcW w:w="2250" w:type="dxa"/>
          </w:tcPr>
          <w:p w14:paraId="40BE7842"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661850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4DD20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6DAF0E67" w14:textId="77777777" w:rsidTr="008C786B">
        <w:tc>
          <w:tcPr>
            <w:tcW w:w="2250" w:type="dxa"/>
          </w:tcPr>
          <w:p w14:paraId="717EA215"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221CE2C3"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4934124E"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6FC87DFA"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7995C3B2"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commentRangeStart w:id="8"/>
    <w:p w14:paraId="018188D1" w14:textId="77777777" w:rsidR="00AA74B6" w:rsidRDefault="00AE6389"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sidR="00AA74B6">
        <w:rPr>
          <w:noProof w:val="0"/>
        </w:rPr>
        <w:instrText xml:space="preserve"> ADDIN PAPERS2_CITATIONS &lt;papers2_bibliography/&gt;</w:instrText>
      </w:r>
      <w:r>
        <w:rPr>
          <w:noProof w:val="0"/>
        </w:rPr>
        <w:fldChar w:fldCharType="separate"/>
      </w:r>
      <w:r w:rsidR="00AA74B6">
        <w:rPr>
          <w:noProof w:val="0"/>
        </w:rPr>
        <w:t>[1]</w:t>
      </w:r>
      <w:r w:rsidR="00AA74B6">
        <w:rPr>
          <w:noProof w:val="0"/>
        </w:rPr>
        <w:tab/>
        <w:t>N.J. Proudfoot, Ending the message: poly(A) signals then and now, Genes &amp; Development. 25 (2011) 1770–1782.</w:t>
      </w:r>
    </w:p>
    <w:p w14:paraId="616A64DC"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49AC28D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6CA761AC"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6C5AEB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77117211"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7351E4FE"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27CAD6FE"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2BA6855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2E566E3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44CF076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C. Bonaïti, S. Parayre, F. Irlinger, Novel extraction strategy of ribosomal RNA and genomic DNA from cheese for PCR-based investigations, Int. J. Food Microbiol. 107 (2006) 171–179.</w:t>
      </w:r>
    </w:p>
    <w:p w14:paraId="555ACE1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17A0DE2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1779F4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3525BB6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03937E7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4C67747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37EC063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74B872E1"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631C135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471E6571" w14:textId="77777777" w:rsidR="005564AF" w:rsidRPr="0025498E" w:rsidRDefault="00AE6389" w:rsidP="00102498">
      <w:pPr>
        <w:rPr>
          <w:noProof w:val="0"/>
        </w:rPr>
      </w:pPr>
      <w:r>
        <w:rPr>
          <w:noProof w:val="0"/>
        </w:rPr>
        <w:fldChar w:fldCharType="end"/>
      </w:r>
      <w:commentRangeEnd w:id="8"/>
      <w:r w:rsidR="00BE6AF8">
        <w:rPr>
          <w:rStyle w:val="CommentReference"/>
          <w:noProof w:val="0"/>
        </w:rPr>
        <w:commentReference w:id="8"/>
      </w:r>
      <w:commentRangeStart w:id="9"/>
      <w:r w:rsidR="00896BA5">
        <w:t>[21]       C</w:t>
      </w:r>
      <w:r w:rsidR="00896BA5" w:rsidRPr="00896BA5">
        <w:t>onifergdb</w:t>
      </w:r>
      <w:r w:rsidR="00896BA5">
        <w:t xml:space="preserve">: </w:t>
      </w:r>
      <w:r w:rsidR="00896BA5" w:rsidRPr="00896BA5">
        <w:rPr>
          <w:noProof w:val="0"/>
        </w:rPr>
        <w:t>http://bioinfolab.miamioh.edu/bioinfolab/index.php</w:t>
      </w:r>
      <w:commentRangeEnd w:id="9"/>
      <w:r w:rsidR="001A1DBA">
        <w:rPr>
          <w:rStyle w:val="CommentReference"/>
          <w:noProof w:val="0"/>
        </w:rPr>
        <w:commentReference w:id="9"/>
      </w:r>
    </w:p>
    <w:sectPr w:rsidR="005564AF" w:rsidRPr="0025498E" w:rsidSect="00AE6389">
      <w:footerReference w:type="default" r:id="rId2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than" w:date="2014-06-29T21:47:00Z" w:initials="N">
    <w:p w14:paraId="45050B2D" w14:textId="77777777" w:rsidR="003D725C" w:rsidRDefault="003D725C">
      <w:pPr>
        <w:pStyle w:val="CommentText"/>
      </w:pPr>
      <w:r>
        <w:rPr>
          <w:rStyle w:val="CommentReference"/>
        </w:rPr>
        <w:annotationRef/>
      </w:r>
      <w:r>
        <w:t>8 is TrimEst- that make sense here?</w:t>
      </w:r>
    </w:p>
  </w:comment>
  <w:comment w:id="1" w:author="Nathan" w:date="2014-06-29T22:06:00Z" w:initials="N">
    <w:p w14:paraId="6D8AA4F9" w14:textId="77777777" w:rsidR="00EB5451" w:rsidRDefault="00EB5451">
      <w:pPr>
        <w:pStyle w:val="CommentText"/>
      </w:pPr>
      <w:r>
        <w:rPr>
          <w:rStyle w:val="CommentReference"/>
        </w:rPr>
        <w:annotationRef/>
      </w:r>
      <w:r>
        <w:t>Moreso than TrimPoly?</w:t>
      </w:r>
    </w:p>
  </w:comment>
  <w:comment w:id="2" w:author="Morton" w:date="2014-06-24T10:45:00Z" w:initials="M">
    <w:p w14:paraId="7AE7C64F" w14:textId="77777777" w:rsidR="004F2C5A" w:rsidRDefault="004F2C5A">
      <w:pPr>
        <w:pStyle w:val="CommentText"/>
      </w:pPr>
      <w:r>
        <w:rPr>
          <w:rStyle w:val="CommentReference"/>
        </w:rPr>
        <w:annotationRef/>
      </w:r>
      <w:r>
        <w:t>Here is the SRA number.  However it is a dead link</w:t>
      </w:r>
    </w:p>
  </w:comment>
  <w:comment w:id="8" w:author="Nathan" w:date="2014-06-29T22:14:00Z" w:initials="N">
    <w:p w14:paraId="7B6F14A9" w14:textId="77777777" w:rsidR="00BE6AF8" w:rsidRDefault="00BE6AF8">
      <w:pPr>
        <w:pStyle w:val="CommentText"/>
      </w:pPr>
      <w:r>
        <w:rPr>
          <w:rStyle w:val="CommentReference"/>
        </w:rPr>
        <w:annotationRef/>
      </w:r>
      <w:r>
        <w:t>19 seems kinda bare, no?</w:t>
      </w:r>
    </w:p>
  </w:comment>
  <w:comment w:id="9" w:author="Morton" w:date="2014-06-24T10:51:00Z" w:initials="M">
    <w:p w14:paraId="6F788C6E" w14:textId="77777777" w:rsidR="001A1DBA" w:rsidRDefault="001A1DBA">
      <w:pPr>
        <w:pStyle w:val="CommentText"/>
      </w:pPr>
      <w:r>
        <w:rPr>
          <w:rStyle w:val="CommentReference"/>
        </w:rPr>
        <w:annotationRef/>
      </w:r>
      <w:r>
        <w:t>New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8FC8F" w14:textId="77777777" w:rsidR="001B3D55" w:rsidRDefault="001B3D55">
      <w:pPr>
        <w:spacing w:line="240" w:lineRule="auto"/>
      </w:pPr>
      <w:r>
        <w:separator/>
      </w:r>
    </w:p>
  </w:endnote>
  <w:endnote w:type="continuationSeparator" w:id="0">
    <w:p w14:paraId="2F84D0AE" w14:textId="77777777" w:rsidR="001B3D55" w:rsidRDefault="001B3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91159" w14:textId="77777777" w:rsidR="00A05304" w:rsidRDefault="00A05304">
    <w:pPr>
      <w:pStyle w:val="Footer"/>
    </w:pPr>
    <w:r>
      <w:tab/>
      <w:t xml:space="preserve">- </w:t>
    </w:r>
    <w:r w:rsidR="00AE6389">
      <w:fldChar w:fldCharType="begin"/>
    </w:r>
    <w:r>
      <w:instrText xml:space="preserve"> PAGE </w:instrText>
    </w:r>
    <w:r w:rsidR="00AE6389">
      <w:fldChar w:fldCharType="separate"/>
    </w:r>
    <w:r w:rsidR="00D263D6">
      <w:t>17</w:t>
    </w:r>
    <w:r w:rsidR="00AE6389">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0A71C" w14:textId="77777777" w:rsidR="001B3D55" w:rsidRDefault="001B3D55">
      <w:pPr>
        <w:spacing w:line="240" w:lineRule="auto"/>
      </w:pPr>
      <w:r>
        <w:separator/>
      </w:r>
    </w:p>
  </w:footnote>
  <w:footnote w:type="continuationSeparator" w:id="0">
    <w:p w14:paraId="57AB31CB" w14:textId="77777777" w:rsidR="001B3D55" w:rsidRDefault="001B3D5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05"/>
    <w:multiLevelType w:val="multilevel"/>
    <w:tmpl w:val="CB5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1858"/>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85088"/>
    <w:rsid w:val="001911D6"/>
    <w:rsid w:val="001A1DBA"/>
    <w:rsid w:val="001B3D55"/>
    <w:rsid w:val="001C2A2E"/>
    <w:rsid w:val="001D442C"/>
    <w:rsid w:val="001F40F6"/>
    <w:rsid w:val="002066C2"/>
    <w:rsid w:val="002472CE"/>
    <w:rsid w:val="0025498E"/>
    <w:rsid w:val="002806DD"/>
    <w:rsid w:val="002807CD"/>
    <w:rsid w:val="00285839"/>
    <w:rsid w:val="00290E07"/>
    <w:rsid w:val="002A2853"/>
    <w:rsid w:val="002A43F8"/>
    <w:rsid w:val="002B05ED"/>
    <w:rsid w:val="002B3DC3"/>
    <w:rsid w:val="002B555F"/>
    <w:rsid w:val="002D422E"/>
    <w:rsid w:val="003214DE"/>
    <w:rsid w:val="003267E5"/>
    <w:rsid w:val="00346B0F"/>
    <w:rsid w:val="003555FE"/>
    <w:rsid w:val="003638DC"/>
    <w:rsid w:val="003652D3"/>
    <w:rsid w:val="0036778F"/>
    <w:rsid w:val="00386132"/>
    <w:rsid w:val="0038679E"/>
    <w:rsid w:val="00386C04"/>
    <w:rsid w:val="003B2046"/>
    <w:rsid w:val="003C65C3"/>
    <w:rsid w:val="003D725C"/>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4F2C5A"/>
    <w:rsid w:val="00515820"/>
    <w:rsid w:val="00517447"/>
    <w:rsid w:val="00521257"/>
    <w:rsid w:val="005322CE"/>
    <w:rsid w:val="005564AF"/>
    <w:rsid w:val="00582D13"/>
    <w:rsid w:val="005A02A1"/>
    <w:rsid w:val="005B57F6"/>
    <w:rsid w:val="005B5FC1"/>
    <w:rsid w:val="005C5BCA"/>
    <w:rsid w:val="005D0947"/>
    <w:rsid w:val="005F2DAB"/>
    <w:rsid w:val="006009E9"/>
    <w:rsid w:val="00605003"/>
    <w:rsid w:val="00651FAC"/>
    <w:rsid w:val="00652628"/>
    <w:rsid w:val="0065571B"/>
    <w:rsid w:val="00667F4D"/>
    <w:rsid w:val="006967D3"/>
    <w:rsid w:val="006A302A"/>
    <w:rsid w:val="006C2125"/>
    <w:rsid w:val="006E58AE"/>
    <w:rsid w:val="006E6CCA"/>
    <w:rsid w:val="006F33CD"/>
    <w:rsid w:val="007027F9"/>
    <w:rsid w:val="00731F0C"/>
    <w:rsid w:val="00770802"/>
    <w:rsid w:val="00771BC5"/>
    <w:rsid w:val="007856F4"/>
    <w:rsid w:val="0079394C"/>
    <w:rsid w:val="007C47BD"/>
    <w:rsid w:val="007F3D79"/>
    <w:rsid w:val="007F6C97"/>
    <w:rsid w:val="00840009"/>
    <w:rsid w:val="008412BA"/>
    <w:rsid w:val="00847D2E"/>
    <w:rsid w:val="00896BA5"/>
    <w:rsid w:val="008C786B"/>
    <w:rsid w:val="008D6E09"/>
    <w:rsid w:val="008E252C"/>
    <w:rsid w:val="008F6A51"/>
    <w:rsid w:val="00914A56"/>
    <w:rsid w:val="0092173F"/>
    <w:rsid w:val="009354DD"/>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E6389"/>
    <w:rsid w:val="00AF7954"/>
    <w:rsid w:val="00B12C47"/>
    <w:rsid w:val="00B27CAD"/>
    <w:rsid w:val="00B36F7C"/>
    <w:rsid w:val="00B6013D"/>
    <w:rsid w:val="00B67615"/>
    <w:rsid w:val="00B84827"/>
    <w:rsid w:val="00B8507D"/>
    <w:rsid w:val="00B94113"/>
    <w:rsid w:val="00BA373D"/>
    <w:rsid w:val="00BB534A"/>
    <w:rsid w:val="00BC633A"/>
    <w:rsid w:val="00BD2A25"/>
    <w:rsid w:val="00BE37CD"/>
    <w:rsid w:val="00BE46AE"/>
    <w:rsid w:val="00BE6AF8"/>
    <w:rsid w:val="00BE74E3"/>
    <w:rsid w:val="00BE75A1"/>
    <w:rsid w:val="00C13A6C"/>
    <w:rsid w:val="00C221D4"/>
    <w:rsid w:val="00C230A7"/>
    <w:rsid w:val="00C45837"/>
    <w:rsid w:val="00C70D82"/>
    <w:rsid w:val="00C7202B"/>
    <w:rsid w:val="00C755AB"/>
    <w:rsid w:val="00C8683F"/>
    <w:rsid w:val="00CB0275"/>
    <w:rsid w:val="00CC15A4"/>
    <w:rsid w:val="00CF2DB5"/>
    <w:rsid w:val="00D11230"/>
    <w:rsid w:val="00D263D6"/>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5451"/>
    <w:rsid w:val="00EB673B"/>
    <w:rsid w:val="00EC6C93"/>
    <w:rsid w:val="00ED4E07"/>
    <w:rsid w:val="00F100FC"/>
    <w:rsid w:val="00F130EB"/>
    <w:rsid w:val="00F2276D"/>
    <w:rsid w:val="00F34581"/>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3C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 w:id="134135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ortonjt@miamiOH.edu" TargetMode="External"/><Relationship Id="rId20" Type="http://schemas.openxmlformats.org/officeDocument/2006/relationships/image" Target="media/image4.png"/><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brudapa@miamiOH.edu" TargetMode="External"/><Relationship Id="rId11" Type="http://schemas.openxmlformats.org/officeDocument/2006/relationships/hyperlink" Target="mailto:figuernd@miamiOH.edu" TargetMode="External"/><Relationship Id="rId12" Type="http://schemas.openxmlformats.org/officeDocument/2006/relationships/hyperlink" Target="mailto:liangc@miamiOH.edu" TargetMode="External"/><Relationship Id="rId13" Type="http://schemas.openxmlformats.org/officeDocument/2006/relationships/hyperlink" Target="mailto:karroje@miamiOH.edu" TargetMode="External"/><Relationship Id="rId14" Type="http://schemas.openxmlformats.org/officeDocument/2006/relationships/comments" Target="comments.xml"/><Relationship Id="rId15" Type="http://schemas.openxmlformats.org/officeDocument/2006/relationships/hyperlink" Target="https://github.com/mortonjt/SCOPE" TargetMode="External"/><Relationship Id="rId16" Type="http://schemas.openxmlformats.org/officeDocument/2006/relationships/hyperlink" Target="http://www.pnas.org/external-ref?link_type=GEN&amp;access_num=SRA028410"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9C575-AECB-1040-B41E-4DFA9ECA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13623</Words>
  <Characters>77656</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91097</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3</cp:revision>
  <cp:lastPrinted>2014-06-21T15:39:00Z</cp:lastPrinted>
  <dcterms:created xsi:type="dcterms:W3CDTF">2014-06-30T19:17:00Z</dcterms:created>
  <dcterms:modified xsi:type="dcterms:W3CDTF">2014-06-30T23:11:00Z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