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7FE9" w14:textId="36CBD25A" w:rsidR="00B54D1E"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w:t>
      </w:r>
    </w:p>
    <w:p w14:paraId="084F530D" w14:textId="6631D71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Industry 4.0</w:t>
      </w:r>
      <w:r>
        <w:rPr>
          <w:rFonts w:ascii="Times New Roman" w:eastAsia="標楷體-繁" w:hAnsi="Times New Roman" w:hint="eastAsia"/>
        </w:rPr>
        <w:t>；智能製造；信息物理系統；製造業數字化。</w:t>
      </w:r>
    </w:p>
    <w:p w14:paraId="4BC8EA7C" w14:textId="75D8705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原文實際研究內容：該報告圍繞德國工業</w:t>
      </w:r>
      <w:r>
        <w:rPr>
          <w:rFonts w:ascii="Times New Roman" w:eastAsia="標楷體-繁" w:hAnsi="Times New Roman" w:hint="eastAsia"/>
          <w:lang w:eastAsia="zh-CN"/>
        </w:rPr>
        <w:t>4.0</w:t>
      </w:r>
      <w:r>
        <w:rPr>
          <w:rFonts w:ascii="Times New Roman" w:eastAsia="標楷體-繁" w:hAnsi="Times New Roman" w:hint="eastAsia"/>
        </w:rPr>
        <w:t>戰略展開，說明製造業應通過信息物理系統、網絡化生產和數據集成實現產業升級。它討論的不是單一算法，而是智能製造體系的戰略框架和實施建議。</w:t>
      </w:r>
    </w:p>
    <w:p w14:paraId="4C8CE0F2" w14:textId="539E767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方法或觀點：以政策報告和產業路線圖形式提出工業</w:t>
      </w:r>
      <w:r>
        <w:rPr>
          <w:rFonts w:ascii="Times New Roman" w:eastAsia="標楷體-繁" w:hAnsi="Times New Roman" w:hint="eastAsia"/>
          <w:lang w:eastAsia="zh-CN"/>
        </w:rPr>
        <w:t>4.0</w:t>
      </w:r>
      <w:r>
        <w:rPr>
          <w:rFonts w:ascii="Times New Roman" w:eastAsia="標楷體-繁" w:hAnsi="Times New Roman" w:hint="eastAsia"/>
        </w:rPr>
        <w:t>架構、標準化、組織和實施路徑。</w:t>
      </w:r>
    </w:p>
    <w:p w14:paraId="4F6DA704" w14:textId="3CAD14B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主要結論：製造系統未來需要實現設備、生產過程和信息系統的深度互聯，並通過實時數據支持柔性生產和智能決策。</w:t>
      </w:r>
    </w:p>
    <w:p w14:paraId="38968EF8" w14:textId="02F79A6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第一章如何引用：第一章用該文獻引出智能製造背景，說明機器狀態和調度決策需要放入工業</w:t>
      </w:r>
      <w:r>
        <w:rPr>
          <w:rFonts w:ascii="Times New Roman" w:eastAsia="標楷體-繁" w:hAnsi="Times New Roman" w:hint="eastAsia"/>
          <w:lang w:eastAsia="zh-CN"/>
        </w:rPr>
        <w:t>4.0</w:t>
      </w:r>
      <w:r>
        <w:rPr>
          <w:rFonts w:ascii="Times New Roman" w:eastAsia="標楷體-繁" w:hAnsi="Times New Roman" w:hint="eastAsia"/>
        </w:rPr>
        <w:t>的數據互聯框架中討論。</w:t>
      </w:r>
    </w:p>
    <w:p w14:paraId="10D957E0" w14:textId="7D0CED7C" w:rsidR="00265175" w:rsidRPr="00265175" w:rsidRDefault="00265175" w:rsidP="00265175">
      <w:pPr>
        <w:spacing w:line="240" w:lineRule="auto"/>
        <w:jc w:val="both"/>
        <w:rPr>
          <w:rFonts w:ascii="Times New Roman" w:eastAsia="標楷體-繁" w:hAnsi="Times New Roman" w:hint="eastAsia"/>
          <w:b/>
          <w:bCs/>
        </w:rPr>
      </w:pPr>
      <w:r w:rsidRPr="00265175">
        <w:rPr>
          <w:rFonts w:ascii="Times New Roman" w:eastAsia="標楷體-繁" w:hAnsi="Times New Roman" w:hint="eastAsia"/>
          <w:b/>
          <w:bCs/>
        </w:rPr>
        <w:t>文獻</w:t>
      </w:r>
      <w:r w:rsidRPr="00265175">
        <w:rPr>
          <w:rFonts w:ascii="Times New Roman" w:eastAsia="標楷體-繁" w:hAnsi="Times New Roman" w:hint="eastAsia"/>
          <w:b/>
          <w:bCs/>
        </w:rPr>
        <w:t>[2]</w:t>
      </w:r>
    </w:p>
    <w:p w14:paraId="31E98924" w14:textId="673EEFD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主題：動態柔性作業車間；新作業插入；深度強化學習；調度規則。</w:t>
      </w:r>
    </w:p>
    <w:p w14:paraId="7DD144AF" w14:textId="6044F0E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原文實際研究內容：該文獻研究動態柔性作業車間中不斷插入新作業時的調度問題，目標是在動態環境下快速選擇合適的派工規則。</w:t>
      </w:r>
    </w:p>
    <w:p w14:paraId="31886866" w14:textId="5919EAE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方法或觀點：將動態調度過程構造為強化學習問題，使用深度強化學習學習狀態到調度動作的映射，以適應新作業到達導致的狀態變化。</w:t>
      </w:r>
    </w:p>
    <w:p w14:paraId="27740BAD" w14:textId="29F0BA1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主要結論：深度強化學習能夠在動態作業插入環境中形成比固定規則更具自適應性的調度策略。</w:t>
      </w:r>
    </w:p>
    <w:p w14:paraId="2F809703" w14:textId="732E089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第一章如何引用：第一章引用該文獻說明動態</w:t>
      </w:r>
      <w:r>
        <w:rPr>
          <w:rFonts w:ascii="Times New Roman" w:eastAsia="標楷體-繁" w:hAnsi="Times New Roman" w:hint="eastAsia"/>
          <w:lang w:eastAsia="zh-CN"/>
        </w:rPr>
        <w:t>FJSP</w:t>
      </w:r>
      <w:r>
        <w:rPr>
          <w:rFonts w:ascii="Times New Roman" w:eastAsia="標楷體-繁" w:hAnsi="Times New Roman" w:hint="eastAsia"/>
        </w:rPr>
        <w:t>已有</w:t>
      </w:r>
      <w:r>
        <w:rPr>
          <w:rFonts w:ascii="Times New Roman" w:eastAsia="標楷體-繁" w:hAnsi="Times New Roman" w:hint="eastAsia"/>
          <w:lang w:eastAsia="zh-CN"/>
        </w:rPr>
        <w:t>DRL</w:t>
      </w:r>
      <w:r>
        <w:rPr>
          <w:rFonts w:ascii="Times New Roman" w:eastAsia="標楷體-繁" w:hAnsi="Times New Roman" w:hint="eastAsia"/>
        </w:rPr>
        <w:t>求解路徑，本文進一步在動態調度中加入</w:t>
      </w:r>
      <w:r>
        <w:rPr>
          <w:rFonts w:ascii="Times New Roman" w:eastAsia="標楷體-繁" w:hAnsi="Times New Roman" w:hint="eastAsia"/>
          <w:lang w:eastAsia="zh-CN"/>
        </w:rPr>
        <w:t>RUL</w:t>
      </w:r>
      <w:r>
        <w:rPr>
          <w:rFonts w:ascii="Times New Roman" w:eastAsia="標楷體-繁" w:hAnsi="Times New Roman" w:hint="eastAsia"/>
        </w:rPr>
        <w:t>和維護耦合。</w:t>
      </w:r>
    </w:p>
    <w:p w14:paraId="3A25B672" w14:textId="53D4FE7E" w:rsidR="00265175" w:rsidRPr="00265175" w:rsidRDefault="00265175" w:rsidP="00265175">
      <w:pPr>
        <w:spacing w:line="240" w:lineRule="auto"/>
        <w:jc w:val="both"/>
        <w:rPr>
          <w:rFonts w:ascii="Times New Roman" w:eastAsia="標楷體-繁" w:hAnsi="Times New Roman" w:hint="eastAsia"/>
          <w:b/>
          <w:bCs/>
        </w:rPr>
      </w:pPr>
      <w:r w:rsidRPr="00265175">
        <w:rPr>
          <w:rFonts w:ascii="Times New Roman" w:eastAsia="標楷體-繁" w:hAnsi="Times New Roman" w:hint="eastAsia"/>
          <w:b/>
          <w:bCs/>
        </w:rPr>
        <w:t>文獻</w:t>
      </w:r>
      <w:r w:rsidRPr="00265175">
        <w:rPr>
          <w:rFonts w:ascii="Times New Roman" w:eastAsia="標楷體-繁" w:hAnsi="Times New Roman" w:hint="eastAsia"/>
          <w:b/>
          <w:bCs/>
        </w:rPr>
        <w:t>[3]</w:t>
      </w:r>
    </w:p>
    <w:p w14:paraId="3F347573" w14:textId="5A8A8DE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主題：動態多目標調度；柔性作業車間；</w:t>
      </w:r>
      <w:r>
        <w:rPr>
          <w:rFonts w:ascii="Times New Roman" w:eastAsia="標楷體-繁" w:hAnsi="Times New Roman" w:hint="eastAsia"/>
          <w:lang w:eastAsia="zh-CN"/>
        </w:rPr>
        <w:t>THDQN</w:t>
      </w:r>
      <w:r>
        <w:rPr>
          <w:rFonts w:ascii="Times New Roman" w:eastAsia="標楷體-繁" w:hAnsi="Times New Roman" w:hint="eastAsia"/>
        </w:rPr>
        <w:t>；深度強化學習。</w:t>
      </w:r>
    </w:p>
    <w:p w14:paraId="3BD1799D" w14:textId="6E33452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原文實際研究內容：該文獻研究動態柔性作業車間的多目標調度問題，關注不同生產目標之間的權衡。</w:t>
      </w:r>
    </w:p>
    <w:p w14:paraId="25531C35" w14:textId="006DEBA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方法或觀點：提出雙層級深度</w:t>
      </w:r>
      <w:r>
        <w:rPr>
          <w:rFonts w:ascii="Times New Roman" w:eastAsia="標楷體-繁" w:hAnsi="Times New Roman" w:hint="eastAsia"/>
          <w:lang w:eastAsia="zh-CN"/>
        </w:rPr>
        <w:t>Q</w:t>
      </w:r>
      <w:r>
        <w:rPr>
          <w:rFonts w:ascii="Times New Roman" w:eastAsia="標楷體-繁" w:hAnsi="Times New Roman" w:hint="eastAsia"/>
        </w:rPr>
        <w:t>網絡，由高層選擇當前優化目標，低層根據目標選擇具體調度規則。</w:t>
      </w:r>
    </w:p>
    <w:p w14:paraId="466AFD72" w14:textId="1189EB8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主要結論：將目標選擇和規則選擇分層處理，有助於動態環境下實現多目標調度權衡。</w:t>
      </w:r>
    </w:p>
    <w:p w14:paraId="690B47B0" w14:textId="70CA1E1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第一章如何引用：第一章和後文</w:t>
      </w:r>
      <w:r>
        <w:rPr>
          <w:rFonts w:ascii="Times New Roman" w:eastAsia="標楷體-繁" w:hAnsi="Times New Roman" w:hint="eastAsia"/>
          <w:lang w:eastAsia="zh-CN"/>
        </w:rPr>
        <w:t>THDQN</w:t>
      </w:r>
      <w:r>
        <w:rPr>
          <w:rFonts w:ascii="Times New Roman" w:eastAsia="標楷體-繁" w:hAnsi="Times New Roman" w:hint="eastAsia"/>
        </w:rPr>
        <w:t>調度器均沿用該文獻的高層目標</w:t>
      </w:r>
      <w:r>
        <w:rPr>
          <w:rFonts w:ascii="Times New Roman" w:eastAsia="標楷體-繁" w:hAnsi="Times New Roman" w:hint="eastAsia"/>
          <w:lang w:eastAsia="zh-CN"/>
        </w:rPr>
        <w:t>-</w:t>
      </w:r>
      <w:r>
        <w:rPr>
          <w:rFonts w:ascii="Times New Roman" w:eastAsia="標楷體-繁" w:hAnsi="Times New Roman" w:hint="eastAsia"/>
        </w:rPr>
        <w:t>低層規則結構，作為本文調度端分層設計依據。</w:t>
      </w:r>
    </w:p>
    <w:p w14:paraId="166A072B" w14:textId="7CA1B005"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w:t>
      </w:r>
    </w:p>
    <w:p w14:paraId="012ADBB1" w14:textId="643AC3C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proofErr w:type="spellStart"/>
      <w:r>
        <w:rPr>
          <w:rFonts w:ascii="Times New Roman" w:eastAsia="標楷體-繁" w:hAnsi="Times New Roman" w:hint="eastAsia"/>
          <w:lang w:eastAsia="zh-CN"/>
        </w:rPr>
        <w:t>MachineRank</w:t>
      </w:r>
      <w:proofErr w:type="spellEnd"/>
      <w:r>
        <w:rPr>
          <w:rFonts w:ascii="Times New Roman" w:eastAsia="標楷體-繁" w:hAnsi="Times New Roman" w:hint="eastAsia"/>
        </w:rPr>
        <w:t>；動態調度；強化學習；機器優先級。</w:t>
      </w:r>
    </w:p>
    <w:p w14:paraId="414270E9" w14:textId="2CF26E1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原文實際研究內容：該文獻研究動態柔性作業車間調度，強調機器在生產網絡中的重要性評價對調度決策的作用。</w:t>
      </w:r>
    </w:p>
    <w:p w14:paraId="57546587" w14:textId="5BC7C0C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方法或觀點：結合</w:t>
      </w:r>
      <w:proofErr w:type="spellStart"/>
      <w:r>
        <w:rPr>
          <w:rFonts w:ascii="Times New Roman" w:eastAsia="標楷體-繁" w:hAnsi="Times New Roman" w:hint="eastAsia"/>
          <w:lang w:eastAsia="zh-CN"/>
        </w:rPr>
        <w:t>MachineRank</w:t>
      </w:r>
      <w:proofErr w:type="spellEnd"/>
      <w:r>
        <w:rPr>
          <w:rFonts w:ascii="Times New Roman" w:eastAsia="標楷體-繁" w:hAnsi="Times New Roman" w:hint="eastAsia"/>
        </w:rPr>
        <w:t>算法和強化學習，利用機器相關信息輔助動態調度動作選擇。</w:t>
      </w:r>
    </w:p>
    <w:p w14:paraId="25B0A4C2" w14:textId="04AD5B3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主要結論：把機器狀態或機器重要性納入調度狀態，可以提升動態調度策略對複雜車間環境的適應能力。</w:t>
      </w:r>
    </w:p>
    <w:p w14:paraId="31125998" w14:textId="2803F0D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第一章如何引用：第一章用該文獻說明近年調度研究已開始關注機器側信息，本文進一步把機器健康和</w:t>
      </w:r>
      <w:r>
        <w:rPr>
          <w:rFonts w:ascii="Times New Roman" w:eastAsia="標楷體-繁" w:hAnsi="Times New Roman" w:hint="eastAsia"/>
          <w:lang w:eastAsia="zh-CN"/>
        </w:rPr>
        <w:t>RUL</w:t>
      </w:r>
      <w:r>
        <w:rPr>
          <w:rFonts w:ascii="Times New Roman" w:eastAsia="標楷體-繁" w:hAnsi="Times New Roman" w:hint="eastAsia"/>
        </w:rPr>
        <w:t>納入狀態。</w:t>
      </w:r>
    </w:p>
    <w:p w14:paraId="6689DD4D" w14:textId="51FBD3B3"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[5]</w:t>
      </w:r>
    </w:p>
    <w:p w14:paraId="12F57972" w14:textId="6E40B4E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主題：多智能體製造系統；動態作業車間；深度強化學習；協同調度。</w:t>
      </w:r>
    </w:p>
    <w:p w14:paraId="22F55603" w14:textId="38F178B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原文實際研究內容：該文獻研究多智能體製造系統中的動態作業車間調度問題，強調多個生產主體之間的交互。</w:t>
      </w:r>
    </w:p>
    <w:p w14:paraId="7FC7D44E" w14:textId="3028C0F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方法或觀點：使用深度強化學習對多智能體製造系統進行建模，使不同主體在動態環境中協同形成調度決策。</w:t>
      </w:r>
    </w:p>
    <w:p w14:paraId="19B5B8F3" w14:textId="6B84FDD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主要結論：多智能體強化學習適合處理製造系統中多個決策單元之間的動態協同。</w:t>
      </w:r>
    </w:p>
    <w:p w14:paraId="105CAA9B" w14:textId="4E09A64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第一章如何引用：第一章引用該文獻支撐本文維護智能體和調度智能體分離建模的合理性。</w:t>
      </w:r>
    </w:p>
    <w:p w14:paraId="213F6E94" w14:textId="1981E8C7"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[6]</w:t>
      </w:r>
    </w:p>
    <w:p w14:paraId="524E1CF8" w14:textId="19BA2F4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RUL</w:t>
      </w:r>
      <w:r>
        <w:rPr>
          <w:rFonts w:ascii="Times New Roman" w:eastAsia="標楷體-繁" w:hAnsi="Times New Roman" w:hint="eastAsia"/>
        </w:rPr>
        <w:t>預測；生產維護協同；多智能體深度強化學習；實時調度。</w:t>
      </w:r>
    </w:p>
    <w:p w14:paraId="0C3EE984" w14:textId="6491117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原文實際研究內容：該文獻研究將</w:t>
      </w:r>
      <w:r>
        <w:rPr>
          <w:rFonts w:ascii="Times New Roman" w:eastAsia="標楷體-繁" w:hAnsi="Times New Roman" w:hint="eastAsia"/>
          <w:lang w:eastAsia="zh-CN"/>
        </w:rPr>
        <w:t>RUL</w:t>
      </w:r>
      <w:r>
        <w:rPr>
          <w:rFonts w:ascii="Times New Roman" w:eastAsia="標楷體-繁" w:hAnsi="Times New Roman" w:hint="eastAsia"/>
        </w:rPr>
        <w:t>預測、實時生產調度和維護決策結合的自適應調度維護問題。</w:t>
      </w:r>
    </w:p>
    <w:p w14:paraId="21C77F1C" w14:textId="7D64253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方法或觀點：利用</w:t>
      </w:r>
      <w:r>
        <w:rPr>
          <w:rFonts w:ascii="Times New Roman" w:eastAsia="標楷體-繁" w:hAnsi="Times New Roman" w:hint="eastAsia"/>
          <w:lang w:eastAsia="zh-CN"/>
        </w:rPr>
        <w:t>RUL</w:t>
      </w:r>
      <w:r>
        <w:rPr>
          <w:rFonts w:ascii="Times New Roman" w:eastAsia="標楷體-繁" w:hAnsi="Times New Roman" w:hint="eastAsia"/>
        </w:rPr>
        <w:t>預測表示設備退化風險，並通過多智能體深度強化學習協調生產和維護動作。</w:t>
      </w:r>
    </w:p>
    <w:p w14:paraId="74677DA0" w14:textId="414B53F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RUL</w:t>
      </w:r>
      <w:r>
        <w:rPr>
          <w:rFonts w:ascii="Times New Roman" w:eastAsia="標楷體-繁" w:hAnsi="Times New Roman" w:hint="eastAsia"/>
        </w:rPr>
        <w:t>信息進入決策層後，可以支持更主動的維護安排並降低故障對生產調度的影響。</w:t>
      </w:r>
    </w:p>
    <w:p w14:paraId="33A3C23E" w14:textId="2C5F92A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第一章如何引用：第一章用該文獻直接說明本文主題的可行性，即</w:t>
      </w:r>
      <w:r>
        <w:rPr>
          <w:rFonts w:ascii="Times New Roman" w:eastAsia="標楷體-繁" w:hAnsi="Times New Roman" w:hint="eastAsia"/>
          <w:lang w:eastAsia="zh-CN"/>
        </w:rPr>
        <w:t>RUL</w:t>
      </w:r>
      <w:r>
        <w:rPr>
          <w:rFonts w:ascii="Times New Roman" w:eastAsia="標楷體-繁" w:hAnsi="Times New Roman" w:hint="eastAsia"/>
        </w:rPr>
        <w:t>預測、維護和調度可以統一建模。</w:t>
      </w:r>
    </w:p>
    <w:p w14:paraId="0DBF7E40" w14:textId="065B1839"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[7]</w:t>
      </w:r>
    </w:p>
    <w:p w14:paraId="3EF55DFB" w14:textId="6623339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主題：預測性維護；工業</w:t>
      </w:r>
      <w:r>
        <w:rPr>
          <w:rFonts w:ascii="Times New Roman" w:eastAsia="標楷體-繁" w:hAnsi="Times New Roman" w:hint="eastAsia"/>
          <w:lang w:eastAsia="zh-CN"/>
        </w:rPr>
        <w:t>4.0</w:t>
      </w:r>
      <w:r>
        <w:rPr>
          <w:rFonts w:ascii="Times New Roman" w:eastAsia="標楷體-繁" w:hAnsi="Times New Roman" w:hint="eastAsia"/>
        </w:rPr>
        <w:t>；跨行業映射；系統綜述。</w:t>
      </w:r>
    </w:p>
    <w:p w14:paraId="6E9795BB" w14:textId="48582A2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原文實際研究內容：該文獻系統映射預測性維護在工業</w:t>
      </w:r>
      <w:r>
        <w:rPr>
          <w:rFonts w:ascii="Times New Roman" w:eastAsia="標楷體-繁" w:hAnsi="Times New Roman" w:hint="eastAsia"/>
          <w:lang w:eastAsia="zh-CN"/>
        </w:rPr>
        <w:t>4.0</w:t>
      </w:r>
      <w:r>
        <w:rPr>
          <w:rFonts w:ascii="Times New Roman" w:eastAsia="標楷體-繁" w:hAnsi="Times New Roman" w:hint="eastAsia"/>
        </w:rPr>
        <w:t>中的多行業應用，梳理技術、場景和應用趨勢。</w:t>
      </w:r>
    </w:p>
    <w:p w14:paraId="551089DA" w14:textId="7685494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方法或觀點：採用系統文獻映射方法，對預測性維護研究按行業、方法和應用環節進行歸納。</w:t>
      </w:r>
    </w:p>
    <w:p w14:paraId="671B3008" w14:textId="190E93D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主要結論：預測性維護已經成為工業</w:t>
      </w:r>
      <w:r>
        <w:rPr>
          <w:rFonts w:ascii="Times New Roman" w:eastAsia="標楷體-繁" w:hAnsi="Times New Roman" w:hint="eastAsia"/>
          <w:lang w:eastAsia="zh-CN"/>
        </w:rPr>
        <w:t>4.0</w:t>
      </w:r>
      <w:r>
        <w:rPr>
          <w:rFonts w:ascii="Times New Roman" w:eastAsia="標楷體-繁" w:hAnsi="Times New Roman" w:hint="eastAsia"/>
        </w:rPr>
        <w:t>中的關鍵應用方向，並逐步從設備層預測擴展到系統層決策支持。</w:t>
      </w:r>
    </w:p>
    <w:p w14:paraId="2E85E82A" w14:textId="622861C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第一章如何引用：第一章用該文獻說明維護方式正在由被動維護轉向基於狀態和壽命預測的主動維護。</w:t>
      </w:r>
    </w:p>
    <w:p w14:paraId="173C3504" w14:textId="7BCA9678"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[8]</w:t>
      </w:r>
    </w:p>
    <w:p w14:paraId="3893DA47" w14:textId="1B29A85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主題：強化學習；</w:t>
      </w:r>
      <w:r>
        <w:rPr>
          <w:rFonts w:ascii="Times New Roman" w:eastAsia="標楷體-繁" w:hAnsi="Times New Roman" w:hint="eastAsia"/>
          <w:lang w:eastAsia="zh-CN"/>
        </w:rPr>
        <w:t>MDP</w:t>
      </w:r>
      <w:r>
        <w:rPr>
          <w:rFonts w:ascii="Times New Roman" w:eastAsia="標楷體-繁" w:hAnsi="Times New Roman" w:hint="eastAsia"/>
        </w:rPr>
        <w:t>；價值函數；策略；獎勵。</w:t>
      </w:r>
    </w:p>
    <w:p w14:paraId="5B69EDAC" w14:textId="09CFD61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原文實際研究內容：該書系統闡述強化學習基本理論，包括智能體、環境、狀態、動作、獎勵、價值函數和策略學習。</w:t>
      </w:r>
    </w:p>
    <w:p w14:paraId="334B2C0F" w14:textId="65E6001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方法或觀點：以馬爾可夫決策過程為基礎，建立動態規劃、蒙特卡洛、時序差分和函數逼近等方法體系。</w:t>
      </w:r>
    </w:p>
    <w:p w14:paraId="2191D6EB" w14:textId="72EECCA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主要結論：強化學習適合描述智能體通過交互學習長期回報最大化策略的問題。</w:t>
      </w:r>
    </w:p>
    <w:p w14:paraId="64400BFD" w14:textId="0818D0C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第一章如何引用：第一章引用該書作為本文維護和調度智能體建模的理論基礎。</w:t>
      </w:r>
    </w:p>
    <w:p w14:paraId="13BC8F2E" w14:textId="43CD9F44"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[9]</w:t>
      </w:r>
    </w:p>
    <w:p w14:paraId="0C802043" w14:textId="2A6269E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DQN</w:t>
      </w:r>
      <w:r>
        <w:rPr>
          <w:rFonts w:ascii="Times New Roman" w:eastAsia="標楷體-繁" w:hAnsi="Times New Roman" w:hint="eastAsia"/>
        </w:rPr>
        <w:t>；深度強化學習；經驗回放；目標網絡。</w:t>
      </w:r>
    </w:p>
    <w:p w14:paraId="2A8B1B5F" w14:textId="35A5C95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原文實際研究內容：該文獻提出深度</w:t>
      </w:r>
      <w:r>
        <w:rPr>
          <w:rFonts w:ascii="Times New Roman" w:eastAsia="標楷體-繁" w:hAnsi="Times New Roman" w:hint="eastAsia"/>
          <w:lang w:eastAsia="zh-CN"/>
        </w:rPr>
        <w:t>Q</w:t>
      </w:r>
      <w:r>
        <w:rPr>
          <w:rFonts w:ascii="Times New Roman" w:eastAsia="標楷體-繁" w:hAnsi="Times New Roman" w:hint="eastAsia"/>
        </w:rPr>
        <w:t>網絡，使智能體能夠從高維輸入中學習動作價值並達到人類水平控制表現。</w:t>
      </w:r>
    </w:p>
    <w:p w14:paraId="34B05F6E" w14:textId="6D49DA8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方法或觀點：將</w:t>
      </w:r>
      <w:r>
        <w:rPr>
          <w:rFonts w:ascii="Times New Roman" w:eastAsia="標楷體-繁" w:hAnsi="Times New Roman" w:hint="eastAsia"/>
          <w:lang w:eastAsia="zh-CN"/>
        </w:rPr>
        <w:t>Q-learning</w:t>
      </w:r>
      <w:r>
        <w:rPr>
          <w:rFonts w:ascii="Times New Roman" w:eastAsia="標楷體-繁" w:hAnsi="Times New Roman" w:hint="eastAsia"/>
        </w:rPr>
        <w:t>與卷積神經網絡、經驗回放和目標網絡結合，穩定訓練深度動作價值函數。</w:t>
      </w:r>
    </w:p>
    <w:p w14:paraId="5425A264" w14:textId="42D3B42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主要結論：深度神經網絡可以作為</w:t>
      </w:r>
      <w:r>
        <w:rPr>
          <w:rFonts w:ascii="Times New Roman" w:eastAsia="標楷體-繁" w:hAnsi="Times New Roman" w:hint="eastAsia"/>
          <w:lang w:eastAsia="zh-CN"/>
        </w:rPr>
        <w:t>Q</w:t>
      </w:r>
      <w:r>
        <w:rPr>
          <w:rFonts w:ascii="Times New Roman" w:eastAsia="標楷體-繁" w:hAnsi="Times New Roman" w:hint="eastAsia"/>
        </w:rPr>
        <w:t>函數近似器，擴展強化學習處理高維複雜狀態的能力。</w:t>
      </w:r>
    </w:p>
    <w:p w14:paraId="32C289D8" w14:textId="6C2EDF2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第一章如何引用：第一章用該文獻說明本文</w:t>
      </w:r>
      <w:r>
        <w:rPr>
          <w:rFonts w:ascii="Times New Roman" w:eastAsia="標楷體-繁" w:hAnsi="Times New Roman" w:hint="eastAsia"/>
          <w:lang w:eastAsia="zh-CN"/>
        </w:rPr>
        <w:t>DQN</w:t>
      </w:r>
      <w:r>
        <w:rPr>
          <w:rFonts w:ascii="Times New Roman" w:eastAsia="標楷體-繁" w:hAnsi="Times New Roman" w:hint="eastAsia"/>
        </w:rPr>
        <w:t>、</w:t>
      </w:r>
      <w:r>
        <w:rPr>
          <w:rFonts w:ascii="Times New Roman" w:eastAsia="標楷體-繁" w:hAnsi="Times New Roman" w:hint="eastAsia"/>
          <w:lang w:eastAsia="zh-CN"/>
        </w:rPr>
        <w:t>DDQN</w:t>
      </w:r>
      <w:r>
        <w:rPr>
          <w:rFonts w:ascii="Times New Roman" w:eastAsia="標楷體-繁" w:hAnsi="Times New Roman" w:hint="eastAsia"/>
        </w:rPr>
        <w:t>和</w:t>
      </w:r>
      <w:r>
        <w:rPr>
          <w:rFonts w:ascii="Times New Roman" w:eastAsia="標楷體-繁" w:hAnsi="Times New Roman" w:hint="eastAsia"/>
          <w:lang w:eastAsia="zh-CN"/>
        </w:rPr>
        <w:t>THDQN</w:t>
      </w:r>
      <w:r>
        <w:rPr>
          <w:rFonts w:ascii="Times New Roman" w:eastAsia="標楷體-繁" w:hAnsi="Times New Roman" w:hint="eastAsia"/>
        </w:rPr>
        <w:t>價值函數學習的深度強化學習來源。</w:t>
      </w:r>
    </w:p>
    <w:p w14:paraId="561B7ADB" w14:textId="7744F4A1"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[10]</w:t>
      </w:r>
    </w:p>
    <w:p w14:paraId="10FF6AD5" w14:textId="31B216B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PPO</w:t>
      </w:r>
      <w:r>
        <w:rPr>
          <w:rFonts w:ascii="Times New Roman" w:eastAsia="標楷體-繁" w:hAnsi="Times New Roman" w:hint="eastAsia"/>
        </w:rPr>
        <w:t>；策略梯度；裁剪目標；穩定訓練。</w:t>
      </w:r>
    </w:p>
    <w:p w14:paraId="00353096" w14:textId="1395AC8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原文實際研究內容：該文獻提出近端策略優化算法，目標是改進策略梯度方法訓練不穩定、更新幅度過大的問題。</w:t>
      </w:r>
    </w:p>
    <w:p w14:paraId="7151F9BF" w14:textId="70E7080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方法或觀點：通過裁剪概率比或近端約束限制新舊策略差異，在多輪小批量更新中優化策略。</w:t>
      </w:r>
    </w:p>
    <w:p w14:paraId="06ED94C0" w14:textId="6370423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PPO</w:t>
      </w:r>
      <w:r>
        <w:rPr>
          <w:rFonts w:ascii="Times New Roman" w:eastAsia="標楷體-繁" w:hAnsi="Times New Roman" w:hint="eastAsia"/>
        </w:rPr>
        <w:t>在實現簡單的同時具有較好的訓練穩定性和樣本效率，因此廣泛用於策略優化任務。</w:t>
      </w:r>
    </w:p>
    <w:p w14:paraId="72DC2816" w14:textId="02FABB5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第一章如何引用：第一章用該文獻說明本文</w:t>
      </w:r>
      <w:r>
        <w:rPr>
          <w:rFonts w:ascii="Times New Roman" w:eastAsia="標楷體-繁" w:hAnsi="Times New Roman" w:hint="eastAsia"/>
          <w:lang w:eastAsia="zh-CN"/>
        </w:rPr>
        <w:t>PPO</w:t>
      </w:r>
      <w:r>
        <w:rPr>
          <w:rFonts w:ascii="Times New Roman" w:eastAsia="標楷體-繁" w:hAnsi="Times New Roman" w:hint="eastAsia"/>
        </w:rPr>
        <w:t>調度器的算法來源，即直接學習狀態到調度規則分布。</w:t>
      </w:r>
    </w:p>
    <w:p w14:paraId="236D9E4E" w14:textId="3F5EEE27"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[11]</w:t>
      </w:r>
    </w:p>
    <w:p w14:paraId="1FD62E29" w14:textId="76B59F0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POMCP</w:t>
      </w:r>
      <w:r>
        <w:rPr>
          <w:rFonts w:ascii="Times New Roman" w:eastAsia="標楷體-繁" w:hAnsi="Times New Roman" w:hint="eastAsia"/>
        </w:rPr>
        <w:t>；</w:t>
      </w:r>
      <w:r>
        <w:rPr>
          <w:rFonts w:ascii="Times New Roman" w:eastAsia="標楷體-繁" w:hAnsi="Times New Roman" w:hint="eastAsia"/>
          <w:lang w:eastAsia="zh-CN"/>
        </w:rPr>
        <w:t>POMDP</w:t>
      </w:r>
      <w:r>
        <w:rPr>
          <w:rFonts w:ascii="Times New Roman" w:eastAsia="標楷體-繁" w:hAnsi="Times New Roman" w:hint="eastAsia"/>
        </w:rPr>
        <w:t>；蒙特卡洛樹搜索；粒子信念。</w:t>
      </w:r>
    </w:p>
    <w:p w14:paraId="496E4C31" w14:textId="276DC87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原文實際研究內容：該文獻研究大規模部分可觀測決策問題中的在線規劃，解決顯式維護完整信念狀態成本過高的問題。</w:t>
      </w:r>
    </w:p>
    <w:p w14:paraId="443E8C2F" w14:textId="2E94C1D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方法或觀點：結合蒙特卡洛樹搜索和粒子濾波信念表示，在仿真過程中估計動作價值。</w:t>
      </w:r>
    </w:p>
    <w:p w14:paraId="66EFBD49" w14:textId="163D929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POMCP</w:t>
      </w:r>
      <w:r>
        <w:rPr>
          <w:rFonts w:ascii="Times New Roman" w:eastAsia="標楷體-繁" w:hAnsi="Times New Roman" w:hint="eastAsia"/>
        </w:rPr>
        <w:t>能夠在較大</w:t>
      </w:r>
      <w:r>
        <w:rPr>
          <w:rFonts w:ascii="Times New Roman" w:eastAsia="標楷體-繁" w:hAnsi="Times New Roman" w:hint="eastAsia"/>
          <w:lang w:eastAsia="zh-CN"/>
        </w:rPr>
        <w:t>POMDP</w:t>
      </w:r>
      <w:r>
        <w:rPr>
          <w:rFonts w:ascii="Times New Roman" w:eastAsia="標楷體-繁" w:hAnsi="Times New Roman" w:hint="eastAsia"/>
        </w:rPr>
        <w:t>中進行有效在線規劃，而不需要完整枚舉信念空間。</w:t>
      </w:r>
    </w:p>
    <w:p w14:paraId="28958884" w14:textId="0BA300F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第一章如何引用：第一章用該文獻說明本文</w:t>
      </w:r>
      <w:r>
        <w:rPr>
          <w:rFonts w:ascii="Times New Roman" w:eastAsia="標楷體-繁" w:hAnsi="Times New Roman" w:hint="eastAsia"/>
          <w:lang w:eastAsia="zh-CN"/>
        </w:rPr>
        <w:t>POMCP</w:t>
      </w:r>
      <w:r>
        <w:rPr>
          <w:rFonts w:ascii="Times New Roman" w:eastAsia="標楷體-繁" w:hAnsi="Times New Roman" w:hint="eastAsia"/>
        </w:rPr>
        <w:t>維護器作為在線規劃型對比方法的理論來源。</w:t>
      </w:r>
    </w:p>
    <w:p w14:paraId="48124D2A" w14:textId="01270CA5"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[12]</w:t>
      </w:r>
    </w:p>
    <w:p w14:paraId="325442FB" w14:textId="659A664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PHM</w:t>
      </w:r>
      <w:r>
        <w:rPr>
          <w:rFonts w:ascii="Times New Roman" w:eastAsia="標楷體-繁" w:hAnsi="Times New Roman" w:hint="eastAsia"/>
        </w:rPr>
        <w:t>數據集；公開數據；故障預測；診斷。</w:t>
      </w:r>
    </w:p>
    <w:p w14:paraId="79AD9237" w14:textId="12CF53B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原文實際研究內容：該文獻討論面向</w:t>
      </w:r>
      <w:r>
        <w:rPr>
          <w:rFonts w:ascii="Times New Roman" w:eastAsia="標楷體-繁" w:hAnsi="Times New Roman" w:hint="eastAsia"/>
          <w:lang w:eastAsia="zh-CN"/>
        </w:rPr>
        <w:t>PHM</w:t>
      </w:r>
      <w:r>
        <w:rPr>
          <w:rFonts w:ascii="Times New Roman" w:eastAsia="標楷體-繁" w:hAnsi="Times New Roman" w:hint="eastAsia"/>
        </w:rPr>
        <w:t>研究的公開數據集構建問題，強調數據場景覆蓋對預測和診斷研究的重要性。</w:t>
      </w:r>
    </w:p>
    <w:p w14:paraId="3F4E7FCF" w14:textId="418A05A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方法或觀點：從數據集可用性、故障覆蓋、運行到失效過程和工業相關性角度評價公開數據資源。</w:t>
      </w:r>
    </w:p>
    <w:p w14:paraId="135B637B" w14:textId="34041F8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主要結論：高質量公開數據集是</w:t>
      </w:r>
      <w:r>
        <w:rPr>
          <w:rFonts w:ascii="Times New Roman" w:eastAsia="標楷體-繁" w:hAnsi="Times New Roman" w:hint="eastAsia"/>
          <w:lang w:eastAsia="zh-CN"/>
        </w:rPr>
        <w:t>PHM</w:t>
      </w:r>
      <w:r>
        <w:rPr>
          <w:rFonts w:ascii="Times New Roman" w:eastAsia="標楷體-繁" w:hAnsi="Times New Roman" w:hint="eastAsia"/>
        </w:rPr>
        <w:t>模型開發和驗證的重要前提，數據場景比單純樣本量更關鍵。</w:t>
      </w:r>
    </w:p>
    <w:p w14:paraId="6397BBC5" w14:textId="4F0B62A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第一章如何引用：第一章引用該文獻說明本文</w:t>
      </w:r>
      <w:r>
        <w:rPr>
          <w:rFonts w:ascii="Times New Roman" w:eastAsia="標楷體-繁" w:hAnsi="Times New Roman" w:hint="eastAsia"/>
          <w:lang w:eastAsia="zh-CN"/>
        </w:rPr>
        <w:t>RUL</w:t>
      </w:r>
      <w:r>
        <w:rPr>
          <w:rFonts w:ascii="Times New Roman" w:eastAsia="標楷體-繁" w:hAnsi="Times New Roman" w:hint="eastAsia"/>
        </w:rPr>
        <w:t>預測任務依賴公開工業退化數據，數據來源需要與工業場景相關。</w:t>
      </w:r>
    </w:p>
    <w:p w14:paraId="14739303" w14:textId="30DB9A62"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[13]</w:t>
      </w:r>
    </w:p>
    <w:p w14:paraId="6A64F452" w14:textId="3DFDD69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主題：預測性維護數據集；設備狀態；傳感數據；維護預測。</w:t>
      </w:r>
    </w:p>
    <w:p w14:paraId="1B99E16B" w14:textId="7969924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原文實際研究內容：該條是數據集來源，提供用於從預防性維護轉向預測性維護的數據記錄。</w:t>
      </w:r>
    </w:p>
    <w:p w14:paraId="403A466B" w14:textId="16AC55B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方法或觀點：數據集本身不提出算法，而是提供設備運行或維護相關樣本，供建模和驗證使用。</w:t>
      </w:r>
    </w:p>
    <w:p w14:paraId="7CEE0071" w14:textId="5193FCB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主要結論：該數據集可作為預測性維護</w:t>
      </w:r>
      <w:r>
        <w:rPr>
          <w:rFonts w:ascii="Times New Roman" w:eastAsia="標楷體-繁" w:hAnsi="Times New Roman" w:hint="eastAsia"/>
          <w:lang w:eastAsia="zh-CN"/>
        </w:rPr>
        <w:t>/RUL</w:t>
      </w:r>
      <w:r>
        <w:rPr>
          <w:rFonts w:ascii="Times New Roman" w:eastAsia="標楷體-繁" w:hAnsi="Times New Roman" w:hint="eastAsia"/>
        </w:rPr>
        <w:t>相關實驗的數據基礎。</w:t>
      </w:r>
    </w:p>
    <w:p w14:paraId="6AA2B819" w14:textId="7F7D7E4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第一章如何引用：第一章引用該數據集說明本文</w:t>
      </w:r>
      <w:r>
        <w:rPr>
          <w:rFonts w:ascii="Times New Roman" w:eastAsia="標楷體-繁" w:hAnsi="Times New Roman" w:hint="eastAsia"/>
          <w:lang w:eastAsia="zh-CN"/>
        </w:rPr>
        <w:t>RUL</w:t>
      </w:r>
      <w:r>
        <w:rPr>
          <w:rFonts w:ascii="Times New Roman" w:eastAsia="標楷體-繁" w:hAnsi="Times New Roman" w:hint="eastAsia"/>
        </w:rPr>
        <w:t>預測和實驗數據構造的來源。</w:t>
      </w:r>
    </w:p>
    <w:p w14:paraId="14BA12B6" w14:textId="416C944D"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[14]</w:t>
      </w:r>
    </w:p>
    <w:p w14:paraId="06ED54D7" w14:textId="59DC6AC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Industry 4.0</w:t>
      </w:r>
      <w:r>
        <w:rPr>
          <w:rFonts w:ascii="Times New Roman" w:eastAsia="標楷體-繁" w:hAnsi="Times New Roman" w:hint="eastAsia"/>
        </w:rPr>
        <w:t>；智能工廠；數字化；生產系統。</w:t>
      </w:r>
    </w:p>
    <w:p w14:paraId="39D9B0DC" w14:textId="6F62C49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原文實際研究內容：該文獻概述工業</w:t>
      </w:r>
      <w:r>
        <w:rPr>
          <w:rFonts w:ascii="Times New Roman" w:eastAsia="標楷體-繁" w:hAnsi="Times New Roman" w:hint="eastAsia"/>
          <w:lang w:eastAsia="zh-CN"/>
        </w:rPr>
        <w:t>4.0</w:t>
      </w:r>
      <w:r>
        <w:rPr>
          <w:rFonts w:ascii="Times New Roman" w:eastAsia="標楷體-繁" w:hAnsi="Times New Roman" w:hint="eastAsia"/>
        </w:rPr>
        <w:t>概念、背景和關鍵特徵，是工業</w:t>
      </w:r>
      <w:r>
        <w:rPr>
          <w:rFonts w:ascii="Times New Roman" w:eastAsia="標楷體-繁" w:hAnsi="Times New Roman" w:hint="eastAsia"/>
          <w:lang w:eastAsia="zh-CN"/>
        </w:rPr>
        <w:t>4.0</w:t>
      </w:r>
      <w:r>
        <w:rPr>
          <w:rFonts w:ascii="Times New Roman" w:eastAsia="標楷體-繁" w:hAnsi="Times New Roman" w:hint="eastAsia"/>
        </w:rPr>
        <w:t>研究中的基礎概念文獻。</w:t>
      </w:r>
    </w:p>
    <w:p w14:paraId="715C5DD2" w14:textId="7F88441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方法或觀點：以概念綜述方式說明工業</w:t>
      </w:r>
      <w:r>
        <w:rPr>
          <w:rFonts w:ascii="Times New Roman" w:eastAsia="標楷體-繁" w:hAnsi="Times New Roman" w:hint="eastAsia"/>
          <w:lang w:eastAsia="zh-CN"/>
        </w:rPr>
        <w:t>4.0</w:t>
      </w:r>
      <w:r>
        <w:rPr>
          <w:rFonts w:ascii="Times New Roman" w:eastAsia="標楷體-繁" w:hAnsi="Times New Roman" w:hint="eastAsia"/>
        </w:rPr>
        <w:t>如何通過數字化、網絡化和自動化改變製造系統。</w:t>
      </w:r>
    </w:p>
    <w:p w14:paraId="76CC790C" w14:textId="1D4CCA0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主要結論：工業</w:t>
      </w:r>
      <w:r>
        <w:rPr>
          <w:rFonts w:ascii="Times New Roman" w:eastAsia="標楷體-繁" w:hAnsi="Times New Roman" w:hint="eastAsia"/>
          <w:lang w:eastAsia="zh-CN"/>
        </w:rPr>
        <w:t>4.0</w:t>
      </w:r>
      <w:r>
        <w:rPr>
          <w:rFonts w:ascii="Times New Roman" w:eastAsia="標楷體-繁" w:hAnsi="Times New Roman" w:hint="eastAsia"/>
        </w:rPr>
        <w:t>將推動生產系統向高度集成、柔性和智能方向發展。</w:t>
      </w:r>
    </w:p>
    <w:p w14:paraId="69849494" w14:textId="1E44EA5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第一章如何引用：第一章用它補充工業</w:t>
      </w:r>
      <w:r>
        <w:rPr>
          <w:rFonts w:ascii="Times New Roman" w:eastAsia="標楷體-繁" w:hAnsi="Times New Roman" w:hint="eastAsia"/>
          <w:lang w:eastAsia="zh-CN"/>
        </w:rPr>
        <w:t>4.0</w:t>
      </w:r>
      <w:r>
        <w:rPr>
          <w:rFonts w:ascii="Times New Roman" w:eastAsia="標楷體-繁" w:hAnsi="Times New Roman" w:hint="eastAsia"/>
        </w:rPr>
        <w:t>技術發展史，支撐本文智能製造背景描述。</w:t>
      </w:r>
    </w:p>
    <w:p w14:paraId="70946FBE" w14:textId="098FC0C4"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[15]</w:t>
      </w:r>
    </w:p>
    <w:p w14:paraId="1AB36F25" w14:textId="70BB99B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CPS</w:t>
      </w:r>
      <w:r>
        <w:rPr>
          <w:rFonts w:ascii="Times New Roman" w:eastAsia="標楷體-繁" w:hAnsi="Times New Roman" w:hint="eastAsia"/>
        </w:rPr>
        <w:t>；工業</w:t>
      </w:r>
      <w:r>
        <w:rPr>
          <w:rFonts w:ascii="Times New Roman" w:eastAsia="標楷體-繁" w:hAnsi="Times New Roman" w:hint="eastAsia"/>
          <w:lang w:eastAsia="zh-CN"/>
        </w:rPr>
        <w:t>4.0</w:t>
      </w:r>
      <w:r>
        <w:rPr>
          <w:rFonts w:ascii="Times New Roman" w:eastAsia="標楷體-繁" w:hAnsi="Times New Roman" w:hint="eastAsia"/>
        </w:rPr>
        <w:t>；系統分類；數字化轉型。</w:t>
      </w:r>
    </w:p>
    <w:p w14:paraId="15C4A204" w14:textId="3388424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原文實際研究內容：該文獻對工業</w:t>
      </w:r>
      <w:r>
        <w:rPr>
          <w:rFonts w:ascii="Times New Roman" w:eastAsia="標楷體-繁" w:hAnsi="Times New Roman" w:hint="eastAsia"/>
          <w:lang w:eastAsia="zh-CN"/>
        </w:rPr>
        <w:t>4.0</w:t>
      </w:r>
      <w:r>
        <w:rPr>
          <w:rFonts w:ascii="Times New Roman" w:eastAsia="標楷體-繁" w:hAnsi="Times New Roman" w:hint="eastAsia"/>
        </w:rPr>
        <w:t>語境下的信息物理系統進行綜述、分類和展望。</w:t>
      </w:r>
    </w:p>
    <w:p w14:paraId="3C6FCDD5" w14:textId="2838484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方法或觀點：通過文獻綜述和分類框架歸納</w:t>
      </w:r>
      <w:r>
        <w:rPr>
          <w:rFonts w:ascii="Times New Roman" w:eastAsia="標楷體-繁" w:hAnsi="Times New Roman" w:hint="eastAsia"/>
          <w:lang w:eastAsia="zh-CN"/>
        </w:rPr>
        <w:t>CPS</w:t>
      </w:r>
      <w:r>
        <w:rPr>
          <w:rFonts w:ascii="Times New Roman" w:eastAsia="標楷體-繁" w:hAnsi="Times New Roman" w:hint="eastAsia"/>
        </w:rPr>
        <w:t>的技術組成、應用類別和未來方向。</w:t>
      </w:r>
    </w:p>
    <w:p w14:paraId="2C902C31" w14:textId="31FC2DD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CPS</w:t>
      </w:r>
      <w:r>
        <w:rPr>
          <w:rFonts w:ascii="Times New Roman" w:eastAsia="標楷體-繁" w:hAnsi="Times New Roman" w:hint="eastAsia"/>
        </w:rPr>
        <w:t>能夠統一物理設備、數據通信和信息系統，是製造業數字化轉型的重要基礎。</w:t>
      </w:r>
    </w:p>
    <w:p w14:paraId="4EB5B450" w14:textId="2BD3306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第一章如何引用：第一章用該文獻說明設備狀態、傳感數據和決策模型連接起來後，健康數據才能成為調度狀態變量。</w:t>
      </w:r>
    </w:p>
    <w:p w14:paraId="58016E8D" w14:textId="49FAFDB9"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[16]</w:t>
      </w:r>
    </w:p>
    <w:p w14:paraId="274089F6" w14:textId="71F9632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主題：預測模型；數字製造；數據驅動；未來展望。</w:t>
      </w:r>
    </w:p>
    <w:p w14:paraId="58170C01" w14:textId="07346CE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原文實際研究內容：該文獻討論預測模型在數字製造中的研究、應用和未來發展。</w:t>
      </w:r>
    </w:p>
    <w:p w14:paraId="04259353" w14:textId="309185D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方法或觀點：從製造過程預測、質量控制、維護和生產決策等角度總結預測模型的作用。</w:t>
      </w:r>
    </w:p>
    <w:p w14:paraId="6EB1056D" w14:textId="182A2A0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主要結論：預測模型能夠將製造數據轉化為提前干預和優化決策的依據。</w:t>
      </w:r>
    </w:p>
    <w:p w14:paraId="67592621" w14:textId="62189E5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第一章如何引用：第一章用它說明預測性製造的觀點，即在故障前利用預測結果調整生產和維護策略。</w:t>
      </w:r>
    </w:p>
    <w:p w14:paraId="4663A9C4" w14:textId="7874A8E7"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[17]</w:t>
      </w:r>
    </w:p>
    <w:p w14:paraId="1929BCBC" w14:textId="713A371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PHM</w:t>
      </w:r>
      <w:r>
        <w:rPr>
          <w:rFonts w:ascii="Times New Roman" w:eastAsia="標楷體-繁" w:hAnsi="Times New Roman" w:hint="eastAsia"/>
        </w:rPr>
        <w:t>；預測性維護；健康管理；綜述。</w:t>
      </w:r>
    </w:p>
    <w:p w14:paraId="41148EE6" w14:textId="4CBAF4F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原文實際研究內容：該文獻綜述面向預測性維護的</w:t>
      </w:r>
      <w:r>
        <w:rPr>
          <w:rFonts w:ascii="Times New Roman" w:eastAsia="標楷體-繁" w:hAnsi="Times New Roman" w:hint="eastAsia"/>
          <w:lang w:eastAsia="zh-CN"/>
        </w:rPr>
        <w:t>PHM</w:t>
      </w:r>
      <w:r>
        <w:rPr>
          <w:rFonts w:ascii="Times New Roman" w:eastAsia="標楷體-繁" w:hAnsi="Times New Roman" w:hint="eastAsia"/>
        </w:rPr>
        <w:t>研究，涵蓋健康監測、診斷、預測和維護決策。</w:t>
      </w:r>
    </w:p>
    <w:p w14:paraId="268DAA63" w14:textId="23CE5D4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方法或觀點：以綜述方式整理</w:t>
      </w:r>
      <w:r>
        <w:rPr>
          <w:rFonts w:ascii="Times New Roman" w:eastAsia="標楷體-繁" w:hAnsi="Times New Roman" w:hint="eastAsia"/>
          <w:lang w:eastAsia="zh-CN"/>
        </w:rPr>
        <w:t>PHM</w:t>
      </w:r>
      <w:r>
        <w:rPr>
          <w:rFonts w:ascii="Times New Roman" w:eastAsia="標楷體-繁" w:hAnsi="Times New Roman" w:hint="eastAsia"/>
        </w:rPr>
        <w:t>技術鏈條及其在預測性維護中的應用。</w:t>
      </w:r>
    </w:p>
    <w:p w14:paraId="4445A793" w14:textId="3F3A8D1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PHM</w:t>
      </w:r>
      <w:r>
        <w:rPr>
          <w:rFonts w:ascii="Times New Roman" w:eastAsia="標楷體-繁" w:hAnsi="Times New Roman" w:hint="eastAsia"/>
        </w:rPr>
        <w:t>為預測性維護提供從狀態感知到維護決策的完整技術支撐。</w:t>
      </w:r>
    </w:p>
    <w:p w14:paraId="499EFC5A" w14:textId="7343DB0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第一章如何引用：第一章用它說明維護方式從事後維修、定期維護轉向基於狀態和預測的維護。</w:t>
      </w:r>
    </w:p>
    <w:p w14:paraId="12163261" w14:textId="78975BFF"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[18]</w:t>
      </w:r>
    </w:p>
    <w:p w14:paraId="67BD2744" w14:textId="5E98480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主題：預測性維護實踐；製造業；系統綜述；部署挑戰。</w:t>
      </w:r>
    </w:p>
    <w:p w14:paraId="0A836102" w14:textId="6D2D416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原文實際研究內容：該文獻系統綜述製造業預測性維護實踐，關注方法落地和應用約束。</w:t>
      </w:r>
    </w:p>
    <w:p w14:paraId="41BC2894" w14:textId="6A6D990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方法或觀點：通過系統綜述歸納製造業預測性維護的技術流程、場景和限制。</w:t>
      </w:r>
    </w:p>
    <w:p w14:paraId="3B2CDACC" w14:textId="42D29B2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主要結論：預測性維護需要與生產管理、維護資源和工業部署條件結合，不能只停留在模型預測。</w:t>
      </w:r>
    </w:p>
    <w:p w14:paraId="72EEA9B6" w14:textId="48F191D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RUL</w:t>
      </w:r>
      <w:r>
        <w:rPr>
          <w:rFonts w:ascii="Times New Roman" w:eastAsia="標楷體-繁" w:hAnsi="Times New Roman" w:hint="eastAsia"/>
        </w:rPr>
        <w:t>預測應服務於維護窗口、備件準備和生產排程。</w:t>
      </w:r>
    </w:p>
    <w:p w14:paraId="7DBBD74C" w14:textId="2A3F8927"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[19]</w:t>
      </w:r>
    </w:p>
    <w:p w14:paraId="0176A2F9" w14:textId="3F56DB8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主題：預測性維護；工業</w:t>
      </w:r>
      <w:r>
        <w:rPr>
          <w:rFonts w:ascii="Times New Roman" w:eastAsia="標楷體-繁" w:hAnsi="Times New Roman" w:hint="eastAsia"/>
          <w:lang w:eastAsia="zh-CN"/>
        </w:rPr>
        <w:t>4.0</w:t>
      </w:r>
      <w:r>
        <w:rPr>
          <w:rFonts w:ascii="Times New Roman" w:eastAsia="標楷體-繁" w:hAnsi="Times New Roman" w:hint="eastAsia"/>
        </w:rPr>
        <w:t>；系統文獻綜述；機器學習。</w:t>
      </w:r>
    </w:p>
    <w:p w14:paraId="2A660F7E" w14:textId="286D0EF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原文實際研究內容：該文獻系統綜述工業</w:t>
      </w:r>
      <w:r>
        <w:rPr>
          <w:rFonts w:ascii="Times New Roman" w:eastAsia="標楷體-繁" w:hAnsi="Times New Roman" w:hint="eastAsia"/>
          <w:lang w:eastAsia="zh-CN"/>
        </w:rPr>
        <w:t>4.0</w:t>
      </w:r>
      <w:r>
        <w:rPr>
          <w:rFonts w:ascii="Times New Roman" w:eastAsia="標楷體-繁" w:hAnsi="Times New Roman" w:hint="eastAsia"/>
        </w:rPr>
        <w:t>中的預測性維護研究，梳理數據、模型和應用環節。</w:t>
      </w:r>
    </w:p>
    <w:p w14:paraId="427AF995" w14:textId="02C5938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方法或觀點：採用系統文獻綜述方法，對預測性維護研究按技術、行業和流程進行分類。</w:t>
      </w:r>
    </w:p>
    <w:p w14:paraId="1EB1641F" w14:textId="165AB7A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主要結論：預測性維護通常包含數據採集、預處理、診斷預測和維護優化等環節。</w:t>
      </w:r>
    </w:p>
    <w:p w14:paraId="4AB91A4E" w14:textId="3A3300E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第一章如何引用：第一章用它說明預測性維護流程結構，並引出</w:t>
      </w:r>
      <w:r>
        <w:rPr>
          <w:rFonts w:ascii="Times New Roman" w:eastAsia="標楷體-繁" w:hAnsi="Times New Roman" w:hint="eastAsia"/>
          <w:lang w:eastAsia="zh-CN"/>
        </w:rPr>
        <w:t>RUL</w:t>
      </w:r>
      <w:r>
        <w:rPr>
          <w:rFonts w:ascii="Times New Roman" w:eastAsia="標楷體-繁" w:hAnsi="Times New Roman" w:hint="eastAsia"/>
        </w:rPr>
        <w:t>預測在其中的位置。</w:t>
      </w:r>
    </w:p>
    <w:p w14:paraId="55F0D451" w14:textId="130E0D42"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[20]</w:t>
      </w:r>
    </w:p>
    <w:p w14:paraId="5480EDC5" w14:textId="712E825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主題：機器學習；預測性維護；故障診斷；系統綜述。</w:t>
      </w:r>
    </w:p>
    <w:p w14:paraId="2A62E211" w14:textId="2E87607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原文實際研究內容：該文獻綜述機器學習方法在預測性維護中的應用。</w:t>
      </w:r>
    </w:p>
    <w:p w14:paraId="24EAE00C" w14:textId="61A1F65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方法或觀點：比較不同機器學習方法在故障檢測、診斷和預測任務中的適用性。</w:t>
      </w:r>
    </w:p>
    <w:p w14:paraId="695C6118" w14:textId="1805C79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主要結論：機器學習能夠從傳感數據中學習設備狀態和故障趨勢，是預測性維護的重要技術路線。</w:t>
      </w:r>
    </w:p>
    <w:p w14:paraId="71E3BE0D" w14:textId="48FEF27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第一章如何引用：第一章用它說明數據驅動方法在預測性維護中的重要性，並引出</w:t>
      </w:r>
      <w:r>
        <w:rPr>
          <w:rFonts w:ascii="Times New Roman" w:eastAsia="標楷體-繁" w:hAnsi="Times New Roman" w:hint="eastAsia"/>
          <w:lang w:eastAsia="zh-CN"/>
        </w:rPr>
        <w:t>GRU</w:t>
      </w:r>
      <w:r>
        <w:rPr>
          <w:rFonts w:ascii="Times New Roman" w:eastAsia="標楷體-繁" w:hAnsi="Times New Roman" w:hint="eastAsia"/>
        </w:rPr>
        <w:t>預測模型。</w:t>
      </w:r>
    </w:p>
    <w:p w14:paraId="31FB453B" w14:textId="0F9BB8AF"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[21]</w:t>
      </w:r>
    </w:p>
    <w:p w14:paraId="4292D1D4" w14:textId="15889D0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RUL</w:t>
      </w:r>
      <w:r>
        <w:rPr>
          <w:rFonts w:ascii="Times New Roman" w:eastAsia="標楷體-繁" w:hAnsi="Times New Roman" w:hint="eastAsia"/>
        </w:rPr>
        <w:t>預測；機器學習；挑戰；綜述。</w:t>
      </w:r>
    </w:p>
    <w:p w14:paraId="51ACC3C9" w14:textId="6BDFCD4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原文實際研究內容：該文獻綜述機器學習用於</w:t>
      </w:r>
      <w:r>
        <w:rPr>
          <w:rFonts w:ascii="Times New Roman" w:eastAsia="標楷體-繁" w:hAnsi="Times New Roman" w:hint="eastAsia"/>
          <w:lang w:eastAsia="zh-CN"/>
        </w:rPr>
        <w:t>RUL</w:t>
      </w:r>
      <w:r>
        <w:rPr>
          <w:rFonts w:ascii="Times New Roman" w:eastAsia="標楷體-繁" w:hAnsi="Times New Roman" w:hint="eastAsia"/>
        </w:rPr>
        <w:t>預測的研究現狀和挑戰。</w:t>
      </w:r>
    </w:p>
    <w:p w14:paraId="00CE1C54" w14:textId="7E21840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方法或觀點：從數據、特徵、模型、泛化能力和評價等方面總結</w:t>
      </w:r>
      <w:r>
        <w:rPr>
          <w:rFonts w:ascii="Times New Roman" w:eastAsia="標楷體-繁" w:hAnsi="Times New Roman" w:hint="eastAsia"/>
          <w:lang w:eastAsia="zh-CN"/>
        </w:rPr>
        <w:t>RUL</w:t>
      </w:r>
      <w:r>
        <w:rPr>
          <w:rFonts w:ascii="Times New Roman" w:eastAsia="標楷體-繁" w:hAnsi="Times New Roman" w:hint="eastAsia"/>
        </w:rPr>
        <w:t>預測問題。</w:t>
      </w:r>
    </w:p>
    <w:p w14:paraId="1E281C53" w14:textId="03D35BB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RUL</w:t>
      </w:r>
      <w:r>
        <w:rPr>
          <w:rFonts w:ascii="Times New Roman" w:eastAsia="標楷體-繁" w:hAnsi="Times New Roman" w:hint="eastAsia"/>
        </w:rPr>
        <w:t>預測的難點在於工業數據噪聲、工況變化、模型泛化和實際部署。</w:t>
      </w:r>
    </w:p>
    <w:p w14:paraId="40EF87AE" w14:textId="4035026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第一章如何引用：第一章用它說明數據驅動</w:t>
      </w:r>
      <w:r>
        <w:rPr>
          <w:rFonts w:ascii="Times New Roman" w:eastAsia="標楷體-繁" w:hAnsi="Times New Roman" w:hint="eastAsia"/>
          <w:lang w:eastAsia="zh-CN"/>
        </w:rPr>
        <w:t>RUL</w:t>
      </w:r>
      <w:r>
        <w:rPr>
          <w:rFonts w:ascii="Times New Roman" w:eastAsia="標楷體-繁" w:hAnsi="Times New Roman" w:hint="eastAsia"/>
        </w:rPr>
        <w:t>方法適合機理難以精確建模但傳感數據較豐富的場景。</w:t>
      </w:r>
    </w:p>
    <w:p w14:paraId="1F34FCFF" w14:textId="4EDA77D6"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[22]</w:t>
      </w:r>
    </w:p>
    <w:p w14:paraId="21853621" w14:textId="0E7A66D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主題：物理信息；數據驅動；</w:t>
      </w:r>
      <w:r>
        <w:rPr>
          <w:rFonts w:ascii="Times New Roman" w:eastAsia="標楷體-繁" w:hAnsi="Times New Roman" w:hint="eastAsia"/>
          <w:lang w:eastAsia="zh-CN"/>
        </w:rPr>
        <w:t>RUL</w:t>
      </w:r>
      <w:r>
        <w:rPr>
          <w:rFonts w:ascii="Times New Roman" w:eastAsia="標楷體-繁" w:hAnsi="Times New Roman" w:hint="eastAsia"/>
        </w:rPr>
        <w:t>；綜述。</w:t>
      </w:r>
    </w:p>
    <w:p w14:paraId="723E9CB3" w14:textId="670E64A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原文實際研究內容：該文獻綜述物理信息融合的數據驅動</w:t>
      </w:r>
      <w:r>
        <w:rPr>
          <w:rFonts w:ascii="Times New Roman" w:eastAsia="標楷體-繁" w:hAnsi="Times New Roman" w:hint="eastAsia"/>
          <w:lang w:eastAsia="zh-CN"/>
        </w:rPr>
        <w:t>RUL</w:t>
      </w:r>
      <w:r>
        <w:rPr>
          <w:rFonts w:ascii="Times New Roman" w:eastAsia="標楷體-繁" w:hAnsi="Times New Roman" w:hint="eastAsia"/>
        </w:rPr>
        <w:t>預測研究。</w:t>
      </w:r>
    </w:p>
    <w:p w14:paraId="1C852A04" w14:textId="3BA997C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方法或觀點：總結如何將物理機理、退化約束或先驗知識嵌入數據驅動模型。</w:t>
      </w:r>
    </w:p>
    <w:p w14:paraId="7A824AD6" w14:textId="737DEE3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主要結論：融合物理信息可改善純數據模型的可解釋性、魯棒性和跨工況泛化能力。</w:t>
      </w:r>
    </w:p>
    <w:p w14:paraId="7F7C3022" w14:textId="5A4F89A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RUL</w:t>
      </w:r>
      <w:r>
        <w:rPr>
          <w:rFonts w:ascii="Times New Roman" w:eastAsia="標楷體-繁" w:hAnsi="Times New Roman" w:hint="eastAsia"/>
        </w:rPr>
        <w:t>建模存在物理、統計和數據驅動等路線；本文選擇較輕量的數據驅動</w:t>
      </w:r>
      <w:r>
        <w:rPr>
          <w:rFonts w:ascii="Times New Roman" w:eastAsia="標楷體-繁" w:hAnsi="Times New Roman" w:hint="eastAsia"/>
          <w:lang w:eastAsia="zh-CN"/>
        </w:rPr>
        <w:t>GRU</w:t>
      </w:r>
      <w:r>
        <w:rPr>
          <w:rFonts w:ascii="Times New Roman" w:eastAsia="標楷體-繁" w:hAnsi="Times New Roman" w:hint="eastAsia"/>
        </w:rPr>
        <w:t>路徑。</w:t>
      </w:r>
    </w:p>
    <w:p w14:paraId="1429CEBB" w14:textId="22EC896B"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[23]</w:t>
      </w:r>
    </w:p>
    <w:p w14:paraId="7DC7940F" w14:textId="6C88006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主題：機械健康預測；</w:t>
      </w:r>
      <w:r>
        <w:rPr>
          <w:rFonts w:ascii="Times New Roman" w:eastAsia="標楷體-繁" w:hAnsi="Times New Roman" w:hint="eastAsia"/>
          <w:lang w:eastAsia="zh-CN"/>
        </w:rPr>
        <w:t>RUL</w:t>
      </w:r>
      <w:r>
        <w:rPr>
          <w:rFonts w:ascii="Times New Roman" w:eastAsia="標楷體-繁" w:hAnsi="Times New Roman" w:hint="eastAsia"/>
        </w:rPr>
        <w:t>；數據採集；特徵提取。</w:t>
      </w:r>
    </w:p>
    <w:p w14:paraId="6E16ECC5" w14:textId="00862D0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原文實際研究內容：該文獻系統綜述機械健康預測從數據採集到</w:t>
      </w:r>
      <w:r>
        <w:rPr>
          <w:rFonts w:ascii="Times New Roman" w:eastAsia="標楷體-繁" w:hAnsi="Times New Roman" w:hint="eastAsia"/>
          <w:lang w:eastAsia="zh-CN"/>
        </w:rPr>
        <w:t>RUL</w:t>
      </w:r>
      <w:r>
        <w:rPr>
          <w:rFonts w:ascii="Times New Roman" w:eastAsia="標楷體-繁" w:hAnsi="Times New Roman" w:hint="eastAsia"/>
        </w:rPr>
        <w:t>預測的完整流程。</w:t>
      </w:r>
    </w:p>
    <w:p w14:paraId="76970DD6" w14:textId="1BFAAFC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方法或觀點：歸納傳感數據採集、特徵提取、健康指標構造和預測模型等環節。</w:t>
      </w:r>
    </w:p>
    <w:p w14:paraId="3C486892" w14:textId="40E088B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RUL</w:t>
      </w:r>
      <w:r>
        <w:rPr>
          <w:rFonts w:ascii="Times New Roman" w:eastAsia="標楷體-繁" w:hAnsi="Times New Roman" w:hint="eastAsia"/>
        </w:rPr>
        <w:t>預測能力依賴有效信號、退化特徵、時序建模和複雜工況適應。</w:t>
      </w:r>
    </w:p>
    <w:p w14:paraId="2B0EB002" w14:textId="6D8301C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w:t>
      </w:r>
      <w:r>
        <w:rPr>
          <w:rFonts w:ascii="Times New Roman" w:eastAsia="標楷體-繁" w:hAnsi="Times New Roman" w:hint="eastAsia"/>
          <w:lang w:eastAsia="zh-CN"/>
        </w:rPr>
        <w:t>RUL</w:t>
      </w:r>
      <w:r>
        <w:rPr>
          <w:rFonts w:ascii="Times New Roman" w:eastAsia="標楷體-繁" w:hAnsi="Times New Roman" w:hint="eastAsia"/>
        </w:rPr>
        <w:t>預測不僅是回歸問題，還依賴時序退化特徵提取。</w:t>
      </w:r>
    </w:p>
    <w:p w14:paraId="7421FA1E" w14:textId="56853A8C"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[24]</w:t>
      </w:r>
    </w:p>
    <w:p w14:paraId="0CFCEB34" w14:textId="5DD7D41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LSTM</w:t>
      </w:r>
      <w:r>
        <w:rPr>
          <w:rFonts w:ascii="Times New Roman" w:eastAsia="標楷體-繁" w:hAnsi="Times New Roman" w:hint="eastAsia"/>
        </w:rPr>
        <w:t>；循環神經網絡；長期依賴；梯度消失。</w:t>
      </w:r>
    </w:p>
    <w:p w14:paraId="77C6773C" w14:textId="13D9254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原文實際研究內容：該文獻提出</w:t>
      </w:r>
      <w:r>
        <w:rPr>
          <w:rFonts w:ascii="Times New Roman" w:eastAsia="標楷體-繁" w:hAnsi="Times New Roman" w:hint="eastAsia"/>
          <w:lang w:eastAsia="zh-CN"/>
        </w:rPr>
        <w:t>LSTM</w:t>
      </w:r>
      <w:r>
        <w:rPr>
          <w:rFonts w:ascii="Times New Roman" w:eastAsia="標楷體-繁" w:hAnsi="Times New Roman" w:hint="eastAsia"/>
        </w:rPr>
        <w:t>，用於解決普通循環神經網絡在長時間間隔信息存儲上訓練困難的問題。</w:t>
      </w:r>
    </w:p>
    <w:p w14:paraId="072084A2" w14:textId="058CF34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方法或觀點：設計包含門控和記憶單元的循環結構，控制信息寫入、保留和輸出。</w:t>
      </w:r>
    </w:p>
    <w:p w14:paraId="2042FD9D" w14:textId="450830A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LSTM</w:t>
      </w:r>
      <w:r>
        <w:rPr>
          <w:rFonts w:ascii="Times New Roman" w:eastAsia="標楷體-繁" w:hAnsi="Times New Roman" w:hint="eastAsia"/>
        </w:rPr>
        <w:t>能夠緩解梯度衰減並學習長時依賴。</w:t>
      </w:r>
    </w:p>
    <w:p w14:paraId="7B4F8898" w14:textId="353818A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第一章如何引用：第一章用該文獻作為深度時序模型背景，說明</w:t>
      </w:r>
      <w:r>
        <w:rPr>
          <w:rFonts w:ascii="Times New Roman" w:eastAsia="標楷體-繁" w:hAnsi="Times New Roman" w:hint="eastAsia"/>
          <w:lang w:eastAsia="zh-CN"/>
        </w:rPr>
        <w:t>GRU</w:t>
      </w:r>
      <w:r>
        <w:rPr>
          <w:rFonts w:ascii="Times New Roman" w:eastAsia="標楷體-繁" w:hAnsi="Times New Roman" w:hint="eastAsia"/>
        </w:rPr>
        <w:t>屬於門控循環網絡發展脈絡。</w:t>
      </w:r>
    </w:p>
    <w:p w14:paraId="23EDA5C8" w14:textId="6EFDB4F5"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[25]</w:t>
      </w:r>
    </w:p>
    <w:p w14:paraId="19CC8FCD" w14:textId="57B57DB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GRU</w:t>
      </w:r>
      <w:r>
        <w:rPr>
          <w:rFonts w:ascii="Times New Roman" w:eastAsia="標楷體-繁" w:hAnsi="Times New Roman" w:hint="eastAsia"/>
        </w:rPr>
        <w:t>；</w:t>
      </w:r>
      <w:r>
        <w:rPr>
          <w:rFonts w:ascii="Times New Roman" w:eastAsia="標楷體-繁" w:hAnsi="Times New Roman" w:hint="eastAsia"/>
          <w:lang w:eastAsia="zh-CN"/>
        </w:rPr>
        <w:t>RNN Encoder-Decoder</w:t>
      </w:r>
      <w:r>
        <w:rPr>
          <w:rFonts w:ascii="Times New Roman" w:eastAsia="標楷體-繁" w:hAnsi="Times New Roman" w:hint="eastAsia"/>
        </w:rPr>
        <w:t>；序列建模；門控結構。</w:t>
      </w:r>
    </w:p>
    <w:p w14:paraId="3BAE81BB" w14:textId="30B3B1A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原文實際研究內容：該文獻提出</w:t>
      </w:r>
      <w:r>
        <w:rPr>
          <w:rFonts w:ascii="Times New Roman" w:eastAsia="標楷體-繁" w:hAnsi="Times New Roman" w:hint="eastAsia"/>
          <w:lang w:eastAsia="zh-CN"/>
        </w:rPr>
        <w:t>RNN</w:t>
      </w:r>
      <w:r>
        <w:rPr>
          <w:rFonts w:ascii="Times New Roman" w:eastAsia="標楷體-繁" w:hAnsi="Times New Roman" w:hint="eastAsia"/>
        </w:rPr>
        <w:t>編碼器</w:t>
      </w:r>
      <w:r>
        <w:rPr>
          <w:rFonts w:ascii="Times New Roman" w:eastAsia="標楷體-繁" w:hAnsi="Times New Roman" w:hint="eastAsia"/>
          <w:lang w:eastAsia="zh-CN"/>
        </w:rPr>
        <w:t>-</w:t>
      </w:r>
      <w:r>
        <w:rPr>
          <w:rFonts w:ascii="Times New Roman" w:eastAsia="標楷體-繁" w:hAnsi="Times New Roman" w:hint="eastAsia"/>
        </w:rPr>
        <w:t>解碼器並使用</w:t>
      </w:r>
      <w:r>
        <w:rPr>
          <w:rFonts w:ascii="Times New Roman" w:eastAsia="標楷體-繁" w:hAnsi="Times New Roman" w:hint="eastAsia"/>
          <w:lang w:eastAsia="zh-CN"/>
        </w:rPr>
        <w:t>GRU</w:t>
      </w:r>
      <w:r>
        <w:rPr>
          <w:rFonts w:ascii="Times New Roman" w:eastAsia="標楷體-繁" w:hAnsi="Times New Roman" w:hint="eastAsia"/>
        </w:rPr>
        <w:t>結構進行序列表示學習。</w:t>
      </w:r>
    </w:p>
    <w:p w14:paraId="3A56BA84" w14:textId="2C3E3D8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方法或觀點：通過重置門和更新門控制隱狀態更新，使模型能學習序列短語表示。</w:t>
      </w:r>
    </w:p>
    <w:p w14:paraId="1A1EDC0D" w14:textId="2CEC910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GRU</w:t>
      </w:r>
      <w:r>
        <w:rPr>
          <w:rFonts w:ascii="Times New Roman" w:eastAsia="標楷體-繁" w:hAnsi="Times New Roman" w:hint="eastAsia"/>
        </w:rPr>
        <w:t>能夠以相對簡潔的門控結構完成序列建模。</w:t>
      </w:r>
    </w:p>
    <w:p w14:paraId="72295FAA" w14:textId="3847EB5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第一章如何引用：第一章用該文獻作為本文</w:t>
      </w:r>
      <w:r>
        <w:rPr>
          <w:rFonts w:ascii="Times New Roman" w:eastAsia="標楷體-繁" w:hAnsi="Times New Roman" w:hint="eastAsia"/>
          <w:lang w:eastAsia="zh-CN"/>
        </w:rPr>
        <w:t>GRU</w:t>
      </w:r>
      <w:r>
        <w:rPr>
          <w:rFonts w:ascii="Times New Roman" w:eastAsia="標楷體-繁" w:hAnsi="Times New Roman" w:hint="eastAsia"/>
        </w:rPr>
        <w:t>預測器的基礎理論來源。</w:t>
      </w:r>
    </w:p>
    <w:p w14:paraId="7B0293B7" w14:textId="2CE9BCC2"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[26]</w:t>
      </w:r>
    </w:p>
    <w:p w14:paraId="451D419B" w14:textId="0E6AA1D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GRU</w:t>
      </w:r>
      <w:r>
        <w:rPr>
          <w:rFonts w:ascii="Times New Roman" w:eastAsia="標楷體-繁" w:hAnsi="Times New Roman" w:hint="eastAsia"/>
        </w:rPr>
        <w:t>；</w:t>
      </w:r>
      <w:r>
        <w:rPr>
          <w:rFonts w:ascii="Times New Roman" w:eastAsia="標楷體-繁" w:hAnsi="Times New Roman" w:hint="eastAsia"/>
          <w:lang w:eastAsia="zh-CN"/>
        </w:rPr>
        <w:t>LSTM</w:t>
      </w:r>
      <w:r>
        <w:rPr>
          <w:rFonts w:ascii="Times New Roman" w:eastAsia="標楷體-繁" w:hAnsi="Times New Roman" w:hint="eastAsia"/>
        </w:rPr>
        <w:t>；門控循環網絡；經驗比較。</w:t>
      </w:r>
    </w:p>
    <w:p w14:paraId="75A05003" w14:textId="222A77F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原文實際研究內容：該文獻經驗比較不同門控循環網絡在序列建模任務中的表現。</w:t>
      </w:r>
    </w:p>
    <w:p w14:paraId="6C908C45" w14:textId="0062157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方法或觀點：通過實驗比較</w:t>
      </w:r>
      <w:r>
        <w:rPr>
          <w:rFonts w:ascii="Times New Roman" w:eastAsia="標楷體-繁" w:hAnsi="Times New Roman" w:hint="eastAsia"/>
          <w:lang w:eastAsia="zh-CN"/>
        </w:rPr>
        <w:t>GRU</w:t>
      </w:r>
      <w:r>
        <w:rPr>
          <w:rFonts w:ascii="Times New Roman" w:eastAsia="標楷體-繁" w:hAnsi="Times New Roman" w:hint="eastAsia"/>
        </w:rPr>
        <w:t>、</w:t>
      </w:r>
      <w:r>
        <w:rPr>
          <w:rFonts w:ascii="Times New Roman" w:eastAsia="標楷體-繁" w:hAnsi="Times New Roman" w:hint="eastAsia"/>
          <w:lang w:eastAsia="zh-CN"/>
        </w:rPr>
        <w:t>LSTM</w:t>
      </w:r>
      <w:r>
        <w:rPr>
          <w:rFonts w:ascii="Times New Roman" w:eastAsia="標楷體-繁" w:hAnsi="Times New Roman" w:hint="eastAsia"/>
        </w:rPr>
        <w:t>和其他循環結構在多個序列任務上的性能。</w:t>
      </w:r>
    </w:p>
    <w:p w14:paraId="4ACDFE70" w14:textId="5BA6EB8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GRU</w:t>
      </w:r>
      <w:r>
        <w:rPr>
          <w:rFonts w:ascii="Times New Roman" w:eastAsia="標楷體-繁" w:hAnsi="Times New Roman" w:hint="eastAsia"/>
        </w:rPr>
        <w:t>在若干任務中能夠以更簡單結構取得與</w:t>
      </w:r>
      <w:r>
        <w:rPr>
          <w:rFonts w:ascii="Times New Roman" w:eastAsia="標楷體-繁" w:hAnsi="Times New Roman" w:hint="eastAsia"/>
          <w:lang w:eastAsia="zh-CN"/>
        </w:rPr>
        <w:t>LSTM</w:t>
      </w:r>
      <w:r>
        <w:rPr>
          <w:rFonts w:ascii="Times New Roman" w:eastAsia="標楷體-繁" w:hAnsi="Times New Roman" w:hint="eastAsia"/>
        </w:rPr>
        <w:t>接近的效果。</w:t>
      </w:r>
    </w:p>
    <w:p w14:paraId="6046557F" w14:textId="054AC65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第一章如何引用：第一章用它說明選擇</w:t>
      </w:r>
      <w:r>
        <w:rPr>
          <w:rFonts w:ascii="Times New Roman" w:eastAsia="標楷體-繁" w:hAnsi="Times New Roman" w:hint="eastAsia"/>
          <w:lang w:eastAsia="zh-CN"/>
        </w:rPr>
        <w:t>GRU</w:t>
      </w:r>
      <w:r>
        <w:rPr>
          <w:rFonts w:ascii="Times New Roman" w:eastAsia="標楷體-繁" w:hAnsi="Times New Roman" w:hint="eastAsia"/>
        </w:rPr>
        <w:t>具有模型複雜度和時序表達能力之間的平衡。</w:t>
      </w:r>
    </w:p>
    <w:p w14:paraId="6C60D23E" w14:textId="596E739B"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[27]</w:t>
      </w:r>
    </w:p>
    <w:p w14:paraId="64AAB11C" w14:textId="0359638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Attention-GRU</w:t>
      </w:r>
      <w:r>
        <w:rPr>
          <w:rFonts w:ascii="Times New Roman" w:eastAsia="標楷體-繁" w:hAnsi="Times New Roman" w:hint="eastAsia"/>
        </w:rPr>
        <w:t>；</w:t>
      </w:r>
      <w:r>
        <w:rPr>
          <w:rFonts w:ascii="Times New Roman" w:eastAsia="標楷體-繁" w:hAnsi="Times New Roman" w:hint="eastAsia"/>
          <w:lang w:eastAsia="zh-CN"/>
        </w:rPr>
        <w:t>RUL</w:t>
      </w:r>
      <w:r>
        <w:rPr>
          <w:rFonts w:ascii="Times New Roman" w:eastAsia="標楷體-繁" w:hAnsi="Times New Roman" w:hint="eastAsia"/>
        </w:rPr>
        <w:t>預測；退化序列；預測性維護。</w:t>
      </w:r>
    </w:p>
    <w:p w14:paraId="34718FEC" w14:textId="03AB2D0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原文實際研究內容：該文獻研究基於注意力</w:t>
      </w:r>
      <w:r>
        <w:rPr>
          <w:rFonts w:ascii="Times New Roman" w:eastAsia="標楷體-繁" w:hAnsi="Times New Roman" w:hint="eastAsia"/>
          <w:lang w:eastAsia="zh-CN"/>
        </w:rPr>
        <w:t>GRU</w:t>
      </w:r>
      <w:r>
        <w:rPr>
          <w:rFonts w:ascii="Times New Roman" w:eastAsia="標楷體-繁" w:hAnsi="Times New Roman" w:hint="eastAsia"/>
        </w:rPr>
        <w:t>的</w:t>
      </w:r>
      <w:r>
        <w:rPr>
          <w:rFonts w:ascii="Times New Roman" w:eastAsia="標楷體-繁" w:hAnsi="Times New Roman" w:hint="eastAsia"/>
          <w:lang w:eastAsia="zh-CN"/>
        </w:rPr>
        <w:t>RUL</w:t>
      </w:r>
      <w:r>
        <w:rPr>
          <w:rFonts w:ascii="Times New Roman" w:eastAsia="標楷體-繁" w:hAnsi="Times New Roman" w:hint="eastAsia"/>
        </w:rPr>
        <w:t>預測，用於從退化序列中提取關鍵時序信息。</w:t>
      </w:r>
    </w:p>
    <w:p w14:paraId="6F6827AE" w14:textId="09C73F2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方法或觀點：在</w:t>
      </w:r>
      <w:r>
        <w:rPr>
          <w:rFonts w:ascii="Times New Roman" w:eastAsia="標楷體-繁" w:hAnsi="Times New Roman" w:hint="eastAsia"/>
          <w:lang w:eastAsia="zh-CN"/>
        </w:rPr>
        <w:t>GRU</w:t>
      </w:r>
      <w:r>
        <w:rPr>
          <w:rFonts w:ascii="Times New Roman" w:eastAsia="標楷體-繁" w:hAnsi="Times New Roman" w:hint="eastAsia"/>
        </w:rPr>
        <w:t>結構上加入注意力機制，使模型更關注對壽命預測有貢獻的時間片段或特徵。</w:t>
      </w:r>
    </w:p>
    <w:p w14:paraId="0E31D2E2" w14:textId="2873CF9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主要結論：注意力機制能夠增強</w:t>
      </w:r>
      <w:r>
        <w:rPr>
          <w:rFonts w:ascii="Times New Roman" w:eastAsia="標楷體-繁" w:hAnsi="Times New Roman" w:hint="eastAsia"/>
          <w:lang w:eastAsia="zh-CN"/>
        </w:rPr>
        <w:t>GRU</w:t>
      </w:r>
      <w:r>
        <w:rPr>
          <w:rFonts w:ascii="Times New Roman" w:eastAsia="標楷體-繁" w:hAnsi="Times New Roman" w:hint="eastAsia"/>
        </w:rPr>
        <w:t>對退化信息的表達，提高</w:t>
      </w:r>
      <w:r>
        <w:rPr>
          <w:rFonts w:ascii="Times New Roman" w:eastAsia="標楷體-繁" w:hAnsi="Times New Roman" w:hint="eastAsia"/>
          <w:lang w:eastAsia="zh-CN"/>
        </w:rPr>
        <w:t>RUL</w:t>
      </w:r>
      <w:r>
        <w:rPr>
          <w:rFonts w:ascii="Times New Roman" w:eastAsia="標楷體-繁" w:hAnsi="Times New Roman" w:hint="eastAsia"/>
        </w:rPr>
        <w:t>預測效果。</w:t>
      </w:r>
    </w:p>
    <w:p w14:paraId="6D520992" w14:textId="7F46051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GRU</w:t>
      </w:r>
      <w:r>
        <w:rPr>
          <w:rFonts w:ascii="Times New Roman" w:eastAsia="標楷體-繁" w:hAnsi="Times New Roman" w:hint="eastAsia"/>
        </w:rPr>
        <w:t>及其改進模型已被用於</w:t>
      </w:r>
      <w:r>
        <w:rPr>
          <w:rFonts w:ascii="Times New Roman" w:eastAsia="標楷體-繁" w:hAnsi="Times New Roman" w:hint="eastAsia"/>
          <w:lang w:eastAsia="zh-CN"/>
        </w:rPr>
        <w:t>RUL</w:t>
      </w:r>
      <w:r>
        <w:rPr>
          <w:rFonts w:ascii="Times New Roman" w:eastAsia="標楷體-繁" w:hAnsi="Times New Roman" w:hint="eastAsia"/>
        </w:rPr>
        <w:t>預測，支撐本文採用</w:t>
      </w:r>
      <w:r>
        <w:rPr>
          <w:rFonts w:ascii="Times New Roman" w:eastAsia="標楷體-繁" w:hAnsi="Times New Roman" w:hint="eastAsia"/>
          <w:lang w:eastAsia="zh-CN"/>
        </w:rPr>
        <w:t>GRU</w:t>
      </w:r>
      <w:r>
        <w:rPr>
          <w:rFonts w:ascii="Times New Roman" w:eastAsia="標楷體-繁" w:hAnsi="Times New Roman" w:hint="eastAsia"/>
        </w:rPr>
        <w:t>輸出健康信號。</w:t>
      </w:r>
    </w:p>
    <w:p w14:paraId="66D665D3" w14:textId="4A0D3AF3"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[28]</w:t>
      </w:r>
    </w:p>
    <w:p w14:paraId="7AE48753" w14:textId="2C287A4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LSTM</w:t>
      </w:r>
      <w:r>
        <w:rPr>
          <w:rFonts w:ascii="Times New Roman" w:eastAsia="標楷體-繁" w:hAnsi="Times New Roman" w:hint="eastAsia"/>
        </w:rPr>
        <w:t>；滾動軸承；</w:t>
      </w:r>
      <w:r>
        <w:rPr>
          <w:rFonts w:ascii="Times New Roman" w:eastAsia="標楷體-繁" w:hAnsi="Times New Roman" w:hint="eastAsia"/>
          <w:lang w:eastAsia="zh-CN"/>
        </w:rPr>
        <w:t>RUL</w:t>
      </w:r>
      <w:r>
        <w:rPr>
          <w:rFonts w:ascii="Times New Roman" w:eastAsia="標楷體-繁" w:hAnsi="Times New Roman" w:hint="eastAsia"/>
        </w:rPr>
        <w:t>；特徵構造。</w:t>
      </w:r>
    </w:p>
    <w:p w14:paraId="2CBDABBA" w14:textId="0371C36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原文實際研究內容：該文獻研究滾動軸承</w:t>
      </w:r>
      <w:r>
        <w:rPr>
          <w:rFonts w:ascii="Times New Roman" w:eastAsia="標楷體-繁" w:hAnsi="Times New Roman" w:hint="eastAsia"/>
          <w:lang w:eastAsia="zh-CN"/>
        </w:rPr>
        <w:t>RUL</w:t>
      </w:r>
      <w:r>
        <w:rPr>
          <w:rFonts w:ascii="Times New Roman" w:eastAsia="標楷體-繁" w:hAnsi="Times New Roman" w:hint="eastAsia"/>
        </w:rPr>
        <w:t>預測，結合特徵構造和</w:t>
      </w:r>
      <w:r>
        <w:rPr>
          <w:rFonts w:ascii="Times New Roman" w:eastAsia="標楷體-繁" w:hAnsi="Times New Roman" w:hint="eastAsia"/>
          <w:lang w:eastAsia="zh-CN"/>
        </w:rPr>
        <w:t>LSTM</w:t>
      </w:r>
      <w:r>
        <w:rPr>
          <w:rFonts w:ascii="Times New Roman" w:eastAsia="標楷體-繁" w:hAnsi="Times New Roman" w:hint="eastAsia"/>
        </w:rPr>
        <w:t>模型。</w:t>
      </w:r>
    </w:p>
    <w:p w14:paraId="7D502AED" w14:textId="078BC4E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方法或觀點：提取</w:t>
      </w:r>
      <w:r>
        <w:rPr>
          <w:rFonts w:ascii="Times New Roman" w:eastAsia="標楷體-繁" w:hAnsi="Times New Roman" w:hint="eastAsia"/>
          <w:lang w:eastAsia="zh-CN"/>
        </w:rPr>
        <w:t>C-MMPE</w:t>
      </w:r>
      <w:r>
        <w:rPr>
          <w:rFonts w:ascii="Times New Roman" w:eastAsia="標楷體-繁" w:hAnsi="Times New Roman" w:hint="eastAsia"/>
        </w:rPr>
        <w:t>等退化特徵，並使用</w:t>
      </w:r>
      <w:r>
        <w:rPr>
          <w:rFonts w:ascii="Times New Roman" w:eastAsia="標楷體-繁" w:hAnsi="Times New Roman" w:hint="eastAsia"/>
          <w:lang w:eastAsia="zh-CN"/>
        </w:rPr>
        <w:t>LSTM</w:t>
      </w:r>
      <w:r>
        <w:rPr>
          <w:rFonts w:ascii="Times New Roman" w:eastAsia="標楷體-繁" w:hAnsi="Times New Roman" w:hint="eastAsia"/>
        </w:rPr>
        <w:t>學習軸承退化序列與剩餘壽命關係。</w:t>
      </w:r>
    </w:p>
    <w:p w14:paraId="39333C69" w14:textId="7DA14F3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主要結論：深度時序模型結合有效特徵可用於具體機械部件的壽命預測。</w:t>
      </w:r>
    </w:p>
    <w:p w14:paraId="75221F11" w14:textId="390EB2D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第一章如何引用：第一章用該文獻說明</w:t>
      </w:r>
      <w:r>
        <w:rPr>
          <w:rFonts w:ascii="Times New Roman" w:eastAsia="標楷體-繁" w:hAnsi="Times New Roman" w:hint="eastAsia"/>
          <w:lang w:eastAsia="zh-CN"/>
        </w:rPr>
        <w:t>LSTM</w:t>
      </w:r>
      <w:r>
        <w:rPr>
          <w:rFonts w:ascii="Times New Roman" w:eastAsia="標楷體-繁" w:hAnsi="Times New Roman" w:hint="eastAsia"/>
        </w:rPr>
        <w:t>類深度序列模型在設備</w:t>
      </w:r>
      <w:r>
        <w:rPr>
          <w:rFonts w:ascii="Times New Roman" w:eastAsia="標楷體-繁" w:hAnsi="Times New Roman" w:hint="eastAsia"/>
          <w:lang w:eastAsia="zh-CN"/>
        </w:rPr>
        <w:t>RUL</w:t>
      </w:r>
      <w:r>
        <w:rPr>
          <w:rFonts w:ascii="Times New Roman" w:eastAsia="標楷體-繁" w:hAnsi="Times New Roman" w:hint="eastAsia"/>
        </w:rPr>
        <w:t>預測中已有應用。</w:t>
      </w:r>
    </w:p>
    <w:p w14:paraId="112364B2" w14:textId="15DAB33E"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[29]</w:t>
      </w:r>
    </w:p>
    <w:p w14:paraId="65199A73" w14:textId="22471DE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主題：渦扇發動機；深度特徵提取；特徵融合；</w:t>
      </w:r>
      <w:r>
        <w:rPr>
          <w:rFonts w:ascii="Times New Roman" w:eastAsia="標楷體-繁" w:hAnsi="Times New Roman" w:hint="eastAsia"/>
          <w:lang w:eastAsia="zh-CN"/>
        </w:rPr>
        <w:t>RUL</w:t>
      </w:r>
      <w:r>
        <w:rPr>
          <w:rFonts w:ascii="Times New Roman" w:eastAsia="標楷體-繁" w:hAnsi="Times New Roman" w:hint="eastAsia"/>
        </w:rPr>
        <w:t>。</w:t>
      </w:r>
    </w:p>
    <w:p w14:paraId="683E7FC0" w14:textId="40B7DA5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原文實際研究內容：該文獻研究渦扇發動機</w:t>
      </w:r>
      <w:r>
        <w:rPr>
          <w:rFonts w:ascii="Times New Roman" w:eastAsia="標楷體-繁" w:hAnsi="Times New Roman" w:hint="eastAsia"/>
          <w:lang w:eastAsia="zh-CN"/>
        </w:rPr>
        <w:t>RUL</w:t>
      </w:r>
      <w:r>
        <w:rPr>
          <w:rFonts w:ascii="Times New Roman" w:eastAsia="標楷體-繁" w:hAnsi="Times New Roman" w:hint="eastAsia"/>
        </w:rPr>
        <w:t>預測中的噪聲、多變量和退化特徵表達問題。</w:t>
      </w:r>
    </w:p>
    <w:p w14:paraId="7F9FEFC5" w14:textId="35BE50D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方法或觀點：採用深度特徵提取和融合方法，從發動機傳感數據中學習退化表示。</w:t>
      </w:r>
    </w:p>
    <w:p w14:paraId="7AA7B802" w14:textId="0F4B13D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主要結論：深度特徵融合能夠改善複雜裝備</w:t>
      </w:r>
      <w:r>
        <w:rPr>
          <w:rFonts w:ascii="Times New Roman" w:eastAsia="標楷體-繁" w:hAnsi="Times New Roman" w:hint="eastAsia"/>
          <w:lang w:eastAsia="zh-CN"/>
        </w:rPr>
        <w:t>RUL</w:t>
      </w:r>
      <w:r>
        <w:rPr>
          <w:rFonts w:ascii="Times New Roman" w:eastAsia="標楷體-繁" w:hAnsi="Times New Roman" w:hint="eastAsia"/>
        </w:rPr>
        <w:t>預測中退化趨勢表達不足的問題。</w:t>
      </w:r>
    </w:p>
    <w:p w14:paraId="4EF6D28A" w14:textId="6DF7DFE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第一章如何引用：第一章用它說明除循環網絡外，</w:t>
      </w:r>
      <w:r>
        <w:rPr>
          <w:rFonts w:ascii="Times New Roman" w:eastAsia="標楷體-繁" w:hAnsi="Times New Roman" w:hint="eastAsia"/>
          <w:lang w:eastAsia="zh-CN"/>
        </w:rPr>
        <w:t>CNN</w:t>
      </w:r>
      <w:r>
        <w:rPr>
          <w:rFonts w:ascii="Times New Roman" w:eastAsia="標楷體-繁" w:hAnsi="Times New Roman" w:hint="eastAsia"/>
        </w:rPr>
        <w:t>或深度特徵融合也可用於</w:t>
      </w:r>
      <w:r>
        <w:rPr>
          <w:rFonts w:ascii="Times New Roman" w:eastAsia="標楷體-繁" w:hAnsi="Times New Roman" w:hint="eastAsia"/>
          <w:lang w:eastAsia="zh-CN"/>
        </w:rPr>
        <w:t>RUL</w:t>
      </w:r>
      <w:r>
        <w:rPr>
          <w:rFonts w:ascii="Times New Roman" w:eastAsia="標楷體-繁" w:hAnsi="Times New Roman" w:hint="eastAsia"/>
        </w:rPr>
        <w:t>預測。</w:t>
      </w:r>
    </w:p>
    <w:p w14:paraId="485D2E0A" w14:textId="39BC232E"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[30]</w:t>
      </w:r>
    </w:p>
    <w:p w14:paraId="3486D120" w14:textId="3311764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主題：注意力網絡；並行結構；</w:t>
      </w:r>
      <w:r>
        <w:rPr>
          <w:rFonts w:ascii="Times New Roman" w:eastAsia="標楷體-繁" w:hAnsi="Times New Roman" w:hint="eastAsia"/>
          <w:lang w:eastAsia="zh-CN"/>
        </w:rPr>
        <w:t>RUL</w:t>
      </w:r>
      <w:r>
        <w:rPr>
          <w:rFonts w:ascii="Times New Roman" w:eastAsia="標楷體-繁" w:hAnsi="Times New Roman" w:hint="eastAsia"/>
        </w:rPr>
        <w:t>預測；機械系統。</w:t>
      </w:r>
    </w:p>
    <w:p w14:paraId="0BD91C92" w14:textId="2329C1F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原文實際研究內容：該文獻研究基於嵌入式注意力並行網絡的機器</w:t>
      </w:r>
      <w:r>
        <w:rPr>
          <w:rFonts w:ascii="Times New Roman" w:eastAsia="標楷體-繁" w:hAnsi="Times New Roman" w:hint="eastAsia"/>
          <w:lang w:eastAsia="zh-CN"/>
        </w:rPr>
        <w:t>RUL</w:t>
      </w:r>
      <w:r>
        <w:rPr>
          <w:rFonts w:ascii="Times New Roman" w:eastAsia="標楷體-繁" w:hAnsi="Times New Roman" w:hint="eastAsia"/>
        </w:rPr>
        <w:t>預測。</w:t>
      </w:r>
    </w:p>
    <w:p w14:paraId="2A740470" w14:textId="3FDB120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方法或觀點：通過並行網絡結構和注意力模塊提取多尺度或多通道退化特徵。</w:t>
      </w:r>
    </w:p>
    <w:p w14:paraId="51B3166E" w14:textId="5E70581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主要結論：注意力和並行結構可增強模型對關鍵退化模式的識別能力。</w:t>
      </w:r>
    </w:p>
    <w:p w14:paraId="7E854598" w14:textId="59CBE22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RUL</w:t>
      </w:r>
      <w:r>
        <w:rPr>
          <w:rFonts w:ascii="Times New Roman" w:eastAsia="標楷體-繁" w:hAnsi="Times New Roman" w:hint="eastAsia"/>
        </w:rPr>
        <w:t>預測模型已向更複雜的深度序列結構發展，本文則選擇較簡潔的</w:t>
      </w:r>
      <w:r>
        <w:rPr>
          <w:rFonts w:ascii="Times New Roman" w:eastAsia="標楷體-繁" w:hAnsi="Times New Roman" w:hint="eastAsia"/>
          <w:lang w:eastAsia="zh-CN"/>
        </w:rPr>
        <w:t>GRU</w:t>
      </w:r>
      <w:r>
        <w:rPr>
          <w:rFonts w:ascii="Times New Roman" w:eastAsia="標楷體-繁" w:hAnsi="Times New Roman" w:hint="eastAsia"/>
        </w:rPr>
        <w:t>用於系統仿真。</w:t>
      </w:r>
    </w:p>
    <w:p w14:paraId="6A01DB53" w14:textId="6447F9F5"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[31]</w:t>
      </w:r>
    </w:p>
    <w:p w14:paraId="01F97233" w14:textId="599EC1C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主題：調度理論；作業車間；目標函數；算法。</w:t>
      </w:r>
    </w:p>
    <w:p w14:paraId="61A175FD" w14:textId="0A38555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原文實際研究內容：該書系統介紹生產調度理論、經典模型、複雜性和算法。</w:t>
      </w:r>
    </w:p>
    <w:p w14:paraId="24CDB176" w14:textId="021DD02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方法或觀點：通過數學建模和算法分類討論單機、並行機、流水車間和作業車間等問題。</w:t>
      </w:r>
    </w:p>
    <w:p w14:paraId="20B85D15" w14:textId="5BD7B82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主要結論：調度問題本質上是在有限資源下進行排序和分配，以優化完工、拖期、負載等目標。</w:t>
      </w:r>
    </w:p>
    <w:p w14:paraId="42D35EEE" w14:textId="41ED99D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第一章如何引用：第一章用該書作為傳統調度理論背景，說明本文問題從經典調度擴展而來。</w:t>
      </w:r>
    </w:p>
    <w:p w14:paraId="5C1A1C62" w14:textId="70BFCA7E"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[32]</w:t>
      </w:r>
    </w:p>
    <w:p w14:paraId="04E7AAF4" w14:textId="4695F7A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主題：調度規則；派工規則；優先級；綜述。</w:t>
      </w:r>
    </w:p>
    <w:p w14:paraId="076FAB89" w14:textId="6214530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原文實際研究內容：該文獻綜述大量調度規則，說明不同派工規則在排序和調度中的應用。</w:t>
      </w:r>
    </w:p>
    <w:p w14:paraId="177B521F" w14:textId="710A3E9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方法或觀點：歸納和分類已有優先規則，並總結它們在仿真研究中的使用。</w:t>
      </w:r>
    </w:p>
    <w:p w14:paraId="6CC43B98" w14:textId="3F2F1CB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主要結論：派工規則計算簡單、可解釋性強，是車間實時調度的重要基礎。</w:t>
      </w:r>
    </w:p>
    <w:p w14:paraId="4350232C" w14:textId="7462362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第一章如何引用：第一章用它說明本文六類調度規則動作空間來自經典派工規則體系。</w:t>
      </w:r>
    </w:p>
    <w:p w14:paraId="706D0214" w14:textId="20F5A3E4"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[33]</w:t>
      </w:r>
    </w:p>
    <w:p w14:paraId="4A048374" w14:textId="2A33CA7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主題：優先規則；加權拖期；作業車間；交期。</w:t>
      </w:r>
    </w:p>
    <w:p w14:paraId="70325B69" w14:textId="56E9BB6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原文實際研究內容：該文獻研究帶加權拖期成本的作業車間優先規則。</w:t>
      </w:r>
    </w:p>
    <w:p w14:paraId="6256D00A" w14:textId="3778012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方法或觀點：設計並測試考慮作業權重和交期壓力的派工規則。</w:t>
      </w:r>
    </w:p>
    <w:p w14:paraId="178AE755" w14:textId="46D9530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主要結論：在存在不同拖期懲罰時，規則需要考慮作業權重和交期緊迫性。</w:t>
      </w:r>
    </w:p>
    <w:p w14:paraId="0E4C8C76" w14:textId="29B555D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第一章如何引用：第一章用它說明調度規則可反映拖期壓力，但固定規則難以處理維護和健康耦合。</w:t>
      </w:r>
    </w:p>
    <w:p w14:paraId="622F59A2" w14:textId="4D8E92FD"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[34]</w:t>
      </w:r>
    </w:p>
    <w:p w14:paraId="192D5D19" w14:textId="7C594F5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主題：多用途機器；作業車間；機器柔性；調度。</w:t>
      </w:r>
    </w:p>
    <w:p w14:paraId="4C2B1649" w14:textId="2C02D2E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原文實際研究內容：該文獻研究帶多用途機器的作業車間調度，是</w:t>
      </w:r>
      <w:r>
        <w:rPr>
          <w:rFonts w:ascii="Times New Roman" w:eastAsia="標楷體-繁" w:hAnsi="Times New Roman" w:hint="eastAsia"/>
          <w:lang w:eastAsia="zh-CN"/>
        </w:rPr>
        <w:t>FJSP</w:t>
      </w:r>
      <w:r>
        <w:rPr>
          <w:rFonts w:ascii="Times New Roman" w:eastAsia="標楷體-繁" w:hAnsi="Times New Roman" w:hint="eastAsia"/>
        </w:rPr>
        <w:t>機器柔性思想的早期基礎。</w:t>
      </w:r>
    </w:p>
    <w:p w14:paraId="775C1BB0" w14:textId="239F31F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方法或觀點：將工序可由多台機器加工的情形納入作業車間調度建模。</w:t>
      </w:r>
    </w:p>
    <w:p w14:paraId="11F0BBDC" w14:textId="5B6398E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主要結論：機器選擇自由度會顯著增加調度問題複雜性。</w:t>
      </w:r>
    </w:p>
    <w:p w14:paraId="329FCF26" w14:textId="37DAAB8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FJSP</w:t>
      </w:r>
      <w:r>
        <w:rPr>
          <w:rFonts w:ascii="Times New Roman" w:eastAsia="標楷體-繁" w:hAnsi="Times New Roman" w:hint="eastAsia"/>
        </w:rPr>
        <w:t>區別於傳統</w:t>
      </w:r>
      <w:r>
        <w:rPr>
          <w:rFonts w:ascii="Times New Roman" w:eastAsia="標楷體-繁" w:hAnsi="Times New Roman" w:hint="eastAsia"/>
          <w:lang w:eastAsia="zh-CN"/>
        </w:rPr>
        <w:t>JSP</w:t>
      </w:r>
      <w:r>
        <w:rPr>
          <w:rFonts w:ascii="Times New Roman" w:eastAsia="標楷體-繁" w:hAnsi="Times New Roman" w:hint="eastAsia"/>
        </w:rPr>
        <w:t>的關鍵在於工序</w:t>
      </w:r>
      <w:r>
        <w:rPr>
          <w:rFonts w:ascii="Times New Roman" w:eastAsia="標楷體-繁" w:hAnsi="Times New Roman" w:hint="eastAsia"/>
          <w:lang w:eastAsia="zh-CN"/>
        </w:rPr>
        <w:t>-</w:t>
      </w:r>
      <w:r>
        <w:rPr>
          <w:rFonts w:ascii="Times New Roman" w:eastAsia="標楷體-繁" w:hAnsi="Times New Roman" w:hint="eastAsia"/>
        </w:rPr>
        <w:t>機器映射不再固定。</w:t>
      </w:r>
    </w:p>
    <w:p w14:paraId="4D4B934E" w14:textId="675EF91E" w:rsidR="00265175" w:rsidRPr="00265175" w:rsidRDefault="00265175" w:rsidP="00265175">
      <w:pPr>
        <w:spacing w:line="240" w:lineRule="auto"/>
        <w:jc w:val="both"/>
        <w:rPr>
          <w:rFonts w:ascii="Times New Roman" w:eastAsia="標楷體-繁" w:hAnsi="Times New Roman" w:hint="eastAsia"/>
          <w:b/>
          <w:bCs/>
        </w:rPr>
      </w:pPr>
      <w:r w:rsidRPr="00265175">
        <w:rPr>
          <w:rFonts w:ascii="Times New Roman" w:eastAsia="標楷體-繁" w:hAnsi="Times New Roman" w:hint="eastAsia"/>
          <w:b/>
          <w:bCs/>
        </w:rPr>
        <w:t>文獻</w:t>
      </w:r>
      <w:r w:rsidRPr="00265175">
        <w:rPr>
          <w:rFonts w:ascii="Times New Roman" w:eastAsia="標楷體-繁" w:hAnsi="Times New Roman" w:hint="eastAsia"/>
          <w:b/>
          <w:bCs/>
        </w:rPr>
        <w:t>[35]</w:t>
      </w:r>
    </w:p>
    <w:p w14:paraId="1228FA9F" w14:textId="49234EF9" w:rsidR="00265175" w:rsidRDefault="00265175" w:rsidP="00265175">
      <w:pPr>
        <w:spacing w:line="240" w:lineRule="auto"/>
        <w:jc w:val="both"/>
        <w:rPr>
          <w:rFonts w:ascii="Times New Roman" w:eastAsia="標楷體-繁" w:hAnsi="Times New Roman" w:hint="eastAsia"/>
        </w:rPr>
      </w:pPr>
      <w:r>
        <w:rPr>
          <w:rFonts w:ascii="Times New Roman" w:eastAsia="標楷體-繁" w:hAnsi="Times New Roman" w:hint="eastAsia"/>
        </w:rPr>
        <w:t>關鍵詞</w:t>
      </w:r>
      <w:r>
        <w:rPr>
          <w:rFonts w:ascii="Times New Roman" w:eastAsia="標楷體-繁" w:hAnsi="Times New Roman" w:hint="eastAsia"/>
        </w:rPr>
        <w:t>/</w:t>
      </w:r>
      <w:r>
        <w:rPr>
          <w:rFonts w:ascii="Times New Roman" w:eastAsia="標楷體-繁" w:hAnsi="Times New Roman" w:hint="eastAsia"/>
        </w:rPr>
        <w:t>主題：柔性作業車間；路徑選擇；禁忌搜索；調度。</w:t>
      </w:r>
    </w:p>
    <w:p w14:paraId="1D4BFBC0" w14:textId="0705B60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w:t>
      </w:r>
      <w:r>
        <w:rPr>
          <w:rFonts w:ascii="Times New Roman" w:eastAsia="標楷體-繁" w:hAnsi="Times New Roman" w:hint="eastAsia"/>
          <w:lang w:eastAsia="zh-CN"/>
        </w:rPr>
        <w:t>FJSP</w:t>
      </w:r>
      <w:r>
        <w:rPr>
          <w:rFonts w:ascii="Times New Roman" w:eastAsia="標楷體-繁" w:hAnsi="Times New Roman" w:hint="eastAsia"/>
        </w:rPr>
        <w:t>中的路徑選擇和調度聯合優化。</w:t>
      </w:r>
    </w:p>
    <w:p w14:paraId="6E5A904B" w14:textId="235E7A0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方法或觀點：採用禁忌搜索在機器分配和工序排序空間中搜索解。</w:t>
      </w:r>
    </w:p>
    <w:p w14:paraId="21CA0D92" w14:textId="5F77657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主要結論：元啓發式方法能夠在大規模組合空間中獲得較好調度解。</w:t>
      </w:r>
    </w:p>
    <w:p w14:paraId="203B3A87" w14:textId="1B41201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第一章如何引用：第一章用它說明早期</w:t>
      </w:r>
      <w:r>
        <w:rPr>
          <w:rFonts w:ascii="Times New Roman" w:eastAsia="標楷體-繁" w:hAnsi="Times New Roman" w:hint="eastAsia"/>
          <w:lang w:eastAsia="zh-CN"/>
        </w:rPr>
        <w:t>FJSP</w:t>
      </w:r>
      <w:r>
        <w:rPr>
          <w:rFonts w:ascii="Times New Roman" w:eastAsia="標楷體-繁" w:hAnsi="Times New Roman" w:hint="eastAsia"/>
        </w:rPr>
        <w:t>求解主要依賴禁忌搜索等元啓發式方法。</w:t>
      </w:r>
    </w:p>
    <w:p w14:paraId="12B9C292" w14:textId="7B6A07FE"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[36]</w:t>
      </w:r>
    </w:p>
    <w:p w14:paraId="775F6A19" w14:textId="2276426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FJSP</w:t>
      </w:r>
      <w:r>
        <w:rPr>
          <w:rFonts w:ascii="Times New Roman" w:eastAsia="標楷體-繁" w:hAnsi="Times New Roman" w:hint="eastAsia"/>
        </w:rPr>
        <w:t>；鄰域函數；局部搜索；組合優化。</w:t>
      </w:r>
    </w:p>
    <w:p w14:paraId="4B77E88D" w14:textId="52213D1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w:t>
      </w:r>
      <w:r>
        <w:rPr>
          <w:rFonts w:ascii="Times New Roman" w:eastAsia="標楷體-繁" w:hAnsi="Times New Roman" w:hint="eastAsia"/>
          <w:lang w:eastAsia="zh-CN"/>
        </w:rPr>
        <w:t>FJSP</w:t>
      </w:r>
      <w:r>
        <w:rPr>
          <w:rFonts w:ascii="Times New Roman" w:eastAsia="標楷體-繁" w:hAnsi="Times New Roman" w:hint="eastAsia"/>
        </w:rPr>
        <w:t>有效鄰域函數設計。</w:t>
      </w:r>
    </w:p>
    <w:p w14:paraId="4363ED2F" w14:textId="6B8EFAB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方法或觀點：通過構造適合</w:t>
      </w:r>
      <w:r>
        <w:rPr>
          <w:rFonts w:ascii="Times New Roman" w:eastAsia="標楷體-繁" w:hAnsi="Times New Roman" w:hint="eastAsia"/>
          <w:lang w:eastAsia="zh-CN"/>
        </w:rPr>
        <w:t>FJSP</w:t>
      </w:r>
      <w:r>
        <w:rPr>
          <w:rFonts w:ascii="Times New Roman" w:eastAsia="標楷體-繁" w:hAnsi="Times New Roman" w:hint="eastAsia"/>
        </w:rPr>
        <w:t>的鄰域結構，提高局部搜索在機器選擇和排序空間中的效率。</w:t>
      </w:r>
    </w:p>
    <w:p w14:paraId="5851E260" w14:textId="5866685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主要結論：鄰域設計對</w:t>
      </w:r>
      <w:r>
        <w:rPr>
          <w:rFonts w:ascii="Times New Roman" w:eastAsia="標楷體-繁" w:hAnsi="Times New Roman" w:hint="eastAsia"/>
          <w:lang w:eastAsia="zh-CN"/>
        </w:rPr>
        <w:t>FJSP</w:t>
      </w:r>
      <w:r>
        <w:rPr>
          <w:rFonts w:ascii="Times New Roman" w:eastAsia="標楷體-繁" w:hAnsi="Times New Roman" w:hint="eastAsia"/>
        </w:rPr>
        <w:t>元啓發式求解質量具有關鍵影響。</w:t>
      </w:r>
    </w:p>
    <w:p w14:paraId="4C5FF1DD" w14:textId="17CE84D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第一章如何引用：第一章用它補充說明靜態</w:t>
      </w:r>
      <w:r>
        <w:rPr>
          <w:rFonts w:ascii="Times New Roman" w:eastAsia="標楷體-繁" w:hAnsi="Times New Roman" w:hint="eastAsia"/>
          <w:lang w:eastAsia="zh-CN"/>
        </w:rPr>
        <w:t>FJSP</w:t>
      </w:r>
      <w:r>
        <w:rPr>
          <w:rFonts w:ascii="Times New Roman" w:eastAsia="標楷體-繁" w:hAnsi="Times New Roman" w:hint="eastAsia"/>
        </w:rPr>
        <w:t>中局部搜索類方法的代表性。</w:t>
      </w:r>
    </w:p>
    <w:p w14:paraId="390A0B70" w14:textId="5165946A"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[37]</w:t>
      </w:r>
    </w:p>
    <w:p w14:paraId="0B77A802" w14:textId="087507C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FJSP</w:t>
      </w:r>
      <w:r>
        <w:rPr>
          <w:rFonts w:ascii="Times New Roman" w:eastAsia="標楷體-繁" w:hAnsi="Times New Roman" w:hint="eastAsia"/>
        </w:rPr>
        <w:t>；多目標優化；進化算法；負載平衡。</w:t>
      </w:r>
    </w:p>
    <w:p w14:paraId="6DEBE65B" w14:textId="0DF1236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原文實際研究內容：該文獻研究柔性作業車間多目標優化問題。</w:t>
      </w:r>
    </w:p>
    <w:p w14:paraId="38AD2BB5" w14:textId="6672946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方法或觀點：採用定位方法和多目標進化優化，同時考慮多個調度目標。</w:t>
      </w:r>
    </w:p>
    <w:p w14:paraId="12776A58" w14:textId="0A376B38"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FJSP</w:t>
      </w:r>
      <w:r>
        <w:rPr>
          <w:rFonts w:ascii="Times New Roman" w:eastAsia="標楷體-繁" w:hAnsi="Times New Roman" w:hint="eastAsia"/>
        </w:rPr>
        <w:t>不僅是排序問題，還涉及多個目標之間的折中。</w:t>
      </w:r>
    </w:p>
    <w:p w14:paraId="567436F6" w14:textId="436D667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FJSP</w:t>
      </w:r>
      <w:r>
        <w:rPr>
          <w:rFonts w:ascii="Times New Roman" w:eastAsia="標楷體-繁" w:hAnsi="Times New Roman" w:hint="eastAsia"/>
        </w:rPr>
        <w:t>的多目標性質，為本文</w:t>
      </w:r>
      <w:r>
        <w:rPr>
          <w:rFonts w:ascii="Times New Roman" w:eastAsia="標楷體-繁" w:hAnsi="Times New Roman" w:hint="eastAsia"/>
          <w:lang w:eastAsia="zh-CN"/>
        </w:rPr>
        <w:t>THDQN</w:t>
      </w:r>
      <w:r>
        <w:rPr>
          <w:rFonts w:ascii="Times New Roman" w:eastAsia="標楷體-繁" w:hAnsi="Times New Roman" w:hint="eastAsia"/>
        </w:rPr>
        <w:t>高層目標選擇埋下背景。</w:t>
      </w:r>
    </w:p>
    <w:p w14:paraId="2D62B757" w14:textId="3F205C46"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[38]</w:t>
      </w:r>
    </w:p>
    <w:p w14:paraId="7F0CDF8D" w14:textId="2BE90DF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FJSP</w:t>
      </w:r>
      <w:r>
        <w:rPr>
          <w:rFonts w:ascii="Times New Roman" w:eastAsia="標楷體-繁" w:hAnsi="Times New Roman" w:hint="eastAsia"/>
        </w:rPr>
        <w:t>；並行批處理機器；多種群遺傳算法；優化。</w:t>
      </w:r>
    </w:p>
    <w:p w14:paraId="03986822" w14:textId="08DF86C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原文實際研究內容：該文獻研究帶並行批處理機器的</w:t>
      </w:r>
      <w:r>
        <w:rPr>
          <w:rFonts w:ascii="Times New Roman" w:eastAsia="標楷體-繁" w:hAnsi="Times New Roman" w:hint="eastAsia"/>
          <w:lang w:eastAsia="zh-CN"/>
        </w:rPr>
        <w:t>FJSP</w:t>
      </w:r>
      <w:r>
        <w:rPr>
          <w:rFonts w:ascii="Times New Roman" w:eastAsia="標楷體-繁" w:hAnsi="Times New Roman" w:hint="eastAsia"/>
        </w:rPr>
        <w:t>擴展問題。</w:t>
      </w:r>
    </w:p>
    <w:p w14:paraId="58D3295A" w14:textId="37E63B7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方法或觀點：提出增強型多種群遺傳算法解決批處理機器條件下的調度優化。</w:t>
      </w:r>
    </w:p>
    <w:p w14:paraId="60F07ED8" w14:textId="053F198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主要結論：複雜機器環境下的</w:t>
      </w:r>
      <w:r>
        <w:rPr>
          <w:rFonts w:ascii="Times New Roman" w:eastAsia="標楷體-繁" w:hAnsi="Times New Roman" w:hint="eastAsia"/>
          <w:lang w:eastAsia="zh-CN"/>
        </w:rPr>
        <w:t>FJSP</w:t>
      </w:r>
      <w:r>
        <w:rPr>
          <w:rFonts w:ascii="Times New Roman" w:eastAsia="標楷體-繁" w:hAnsi="Times New Roman" w:hint="eastAsia"/>
        </w:rPr>
        <w:t>需要改進啓發式算法處理更大的組合空間。</w:t>
      </w:r>
    </w:p>
    <w:p w14:paraId="1BD3B237" w14:textId="2368A4C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第一章如何引用：第一章用它說明近年</w:t>
      </w:r>
      <w:r>
        <w:rPr>
          <w:rFonts w:ascii="Times New Roman" w:eastAsia="標楷體-繁" w:hAnsi="Times New Roman" w:hint="eastAsia"/>
          <w:lang w:eastAsia="zh-CN"/>
        </w:rPr>
        <w:t>FJSP</w:t>
      </w:r>
      <w:r>
        <w:rPr>
          <w:rFonts w:ascii="Times New Roman" w:eastAsia="標楷體-繁" w:hAnsi="Times New Roman" w:hint="eastAsia"/>
        </w:rPr>
        <w:t>仍在通過算法改進擴展問題場景。</w:t>
      </w:r>
    </w:p>
    <w:p w14:paraId="0D22472F" w14:textId="77118607"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[39]</w:t>
      </w:r>
    </w:p>
    <w:p w14:paraId="692570D4" w14:textId="5C66682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FJSP</w:t>
      </w:r>
      <w:r>
        <w:rPr>
          <w:rFonts w:ascii="Times New Roman" w:eastAsia="標楷體-繁" w:hAnsi="Times New Roman" w:hint="eastAsia"/>
        </w:rPr>
        <w:t>綜述；機器選擇；工序排序；研究趨勢。</w:t>
      </w:r>
    </w:p>
    <w:p w14:paraId="1FBCF4DF" w14:textId="2F0AC26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原文實際研究內容：該文獻綜述柔性作業車間調度問題的模型、約束和求解方法。</w:t>
      </w:r>
    </w:p>
    <w:p w14:paraId="54DA2020" w14:textId="4F0F5FD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方法或觀點：系統整理</w:t>
      </w:r>
      <w:r>
        <w:rPr>
          <w:rFonts w:ascii="Times New Roman" w:eastAsia="標楷體-繁" w:hAnsi="Times New Roman" w:hint="eastAsia"/>
          <w:lang w:eastAsia="zh-CN"/>
        </w:rPr>
        <w:t>FJSP</w:t>
      </w:r>
      <w:r>
        <w:rPr>
          <w:rFonts w:ascii="Times New Roman" w:eastAsia="標楷體-繁" w:hAnsi="Times New Roman" w:hint="eastAsia"/>
        </w:rPr>
        <w:t>研究發展、問題變體、求解算法和未來方向。</w:t>
      </w:r>
    </w:p>
    <w:p w14:paraId="76B58BD1" w14:textId="2DC1D64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FJSP</w:t>
      </w:r>
      <w:r>
        <w:rPr>
          <w:rFonts w:ascii="Times New Roman" w:eastAsia="標楷體-繁" w:hAnsi="Times New Roman" w:hint="eastAsia"/>
        </w:rPr>
        <w:t>是高度複雜的</w:t>
      </w:r>
      <w:r>
        <w:rPr>
          <w:rFonts w:ascii="Times New Roman" w:eastAsia="標楷體-繁" w:hAnsi="Times New Roman" w:hint="eastAsia"/>
          <w:lang w:eastAsia="zh-CN"/>
        </w:rPr>
        <w:t>NP-hard</w:t>
      </w:r>
      <w:r>
        <w:rPr>
          <w:rFonts w:ascii="Times New Roman" w:eastAsia="標楷體-繁" w:hAnsi="Times New Roman" w:hint="eastAsia"/>
        </w:rPr>
        <w:t>問題，核心難點在於機器選擇與工序排序耦合。</w:t>
      </w:r>
    </w:p>
    <w:p w14:paraId="4000A73D" w14:textId="741CB73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第一章如何引用：第一章用它說明本文調度問題屬於</w:t>
      </w:r>
      <w:r>
        <w:rPr>
          <w:rFonts w:ascii="Times New Roman" w:eastAsia="標楷體-繁" w:hAnsi="Times New Roman" w:hint="eastAsia"/>
          <w:lang w:eastAsia="zh-CN"/>
        </w:rPr>
        <w:t>FJSP</w:t>
      </w:r>
      <w:r>
        <w:rPr>
          <w:rFonts w:ascii="Times New Roman" w:eastAsia="標楷體-繁" w:hAnsi="Times New Roman" w:hint="eastAsia"/>
        </w:rPr>
        <w:t>擴展，並具有組合複雜性。</w:t>
      </w:r>
    </w:p>
    <w:p w14:paraId="1A84BC46" w14:textId="71377A21"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[40]</w:t>
      </w:r>
    </w:p>
    <w:p w14:paraId="7A879926" w14:textId="3F0B349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主題：集成</w:t>
      </w:r>
      <w:r>
        <w:rPr>
          <w:rFonts w:ascii="Times New Roman" w:eastAsia="標楷體-繁" w:hAnsi="Times New Roman" w:hint="eastAsia"/>
          <w:lang w:eastAsia="zh-CN"/>
        </w:rPr>
        <w:t>FJSP</w:t>
      </w:r>
      <w:r>
        <w:rPr>
          <w:rFonts w:ascii="Times New Roman" w:eastAsia="標楷體-繁" w:hAnsi="Times New Roman" w:hint="eastAsia"/>
        </w:rPr>
        <w:t>；運輸；維護；能耗；綜述。</w:t>
      </w:r>
    </w:p>
    <w:p w14:paraId="35F2E636" w14:textId="427686A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原文實際研究內容：該文獻綜述集成柔性作業車間調度問題，關注</w:t>
      </w:r>
      <w:r>
        <w:rPr>
          <w:rFonts w:ascii="Times New Roman" w:eastAsia="標楷體-繁" w:hAnsi="Times New Roman" w:hint="eastAsia"/>
          <w:lang w:eastAsia="zh-CN"/>
        </w:rPr>
        <w:t>FJSP</w:t>
      </w:r>
      <w:r>
        <w:rPr>
          <w:rFonts w:ascii="Times New Roman" w:eastAsia="標楷體-繁" w:hAnsi="Times New Roman" w:hint="eastAsia"/>
        </w:rPr>
        <w:t>與其他生產環節的聯合建模。</w:t>
      </w:r>
    </w:p>
    <w:p w14:paraId="3CAAB63E" w14:textId="7C1E345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方法或觀點：按集成對象和求解方法分類總結</w:t>
      </w:r>
      <w:r>
        <w:rPr>
          <w:rFonts w:ascii="Times New Roman" w:eastAsia="標楷體-繁" w:hAnsi="Times New Roman" w:hint="eastAsia"/>
          <w:lang w:eastAsia="zh-CN"/>
        </w:rPr>
        <w:t>FJSP</w:t>
      </w:r>
      <w:r>
        <w:rPr>
          <w:rFonts w:ascii="Times New Roman" w:eastAsia="標楷體-繁" w:hAnsi="Times New Roman" w:hint="eastAsia"/>
        </w:rPr>
        <w:t>擴展研究。</w:t>
      </w:r>
    </w:p>
    <w:p w14:paraId="6788F76A" w14:textId="0C88796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主要結論：真實生產中的</w:t>
      </w:r>
      <w:r>
        <w:rPr>
          <w:rFonts w:ascii="Times New Roman" w:eastAsia="標楷體-繁" w:hAnsi="Times New Roman" w:hint="eastAsia"/>
          <w:lang w:eastAsia="zh-CN"/>
        </w:rPr>
        <w:t>FJSP</w:t>
      </w:r>
      <w:r>
        <w:rPr>
          <w:rFonts w:ascii="Times New Roman" w:eastAsia="標楷體-繁" w:hAnsi="Times New Roman" w:hint="eastAsia"/>
        </w:rPr>
        <w:t>常與維護、運輸、能耗等約束耦合，不能只看標準模型。</w:t>
      </w:r>
    </w:p>
    <w:p w14:paraId="56EB21CD" w14:textId="157C8DD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第一章如何引用：第一章用它說明本文問題不是標準</w:t>
      </w:r>
      <w:r>
        <w:rPr>
          <w:rFonts w:ascii="Times New Roman" w:eastAsia="標楷體-繁" w:hAnsi="Times New Roman" w:hint="eastAsia"/>
          <w:lang w:eastAsia="zh-CN"/>
        </w:rPr>
        <w:t>FJSP</w:t>
      </w:r>
      <w:r>
        <w:rPr>
          <w:rFonts w:ascii="Times New Roman" w:eastAsia="標楷體-繁" w:hAnsi="Times New Roman" w:hint="eastAsia"/>
        </w:rPr>
        <w:t>，而是健康和維護耦合的集成調度問題。</w:t>
      </w:r>
    </w:p>
    <w:p w14:paraId="099EDCE0" w14:textId="2E8C441C"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[41]</w:t>
      </w:r>
    </w:p>
    <w:p w14:paraId="4B4E27F0" w14:textId="105F03F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主題：動態作業車間；強化學習；實時調度；綜述。</w:t>
      </w:r>
    </w:p>
    <w:p w14:paraId="25DA71C8" w14:textId="484BD53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原文實際研究內容：該文獻綜述強化學習在動態作業車間調度中的應用，強調突發作業、設備故障和需求波動等動態因素。</w:t>
      </w:r>
    </w:p>
    <w:p w14:paraId="547A1F91" w14:textId="6C19E54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方法或觀點：系統歸納</w:t>
      </w:r>
      <w:r>
        <w:rPr>
          <w:rFonts w:ascii="Times New Roman" w:eastAsia="標楷體-繁" w:hAnsi="Times New Roman" w:hint="eastAsia"/>
          <w:lang w:eastAsia="zh-CN"/>
        </w:rPr>
        <w:t>AI</w:t>
      </w:r>
      <w:r>
        <w:rPr>
          <w:rFonts w:ascii="Times New Roman" w:eastAsia="標楷體-繁" w:hAnsi="Times New Roman" w:hint="eastAsia"/>
        </w:rPr>
        <w:t>驅動動態調度方法、狀態動作設計、獎勵設置和應用挑戰。</w:t>
      </w:r>
    </w:p>
    <w:p w14:paraId="6C535365" w14:textId="53B3367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主要結論：強化學習適合處理動態調度中的實時適應問題，但仍面臨泛化、可解釋性和工業部署挑戰。</w:t>
      </w:r>
    </w:p>
    <w:p w14:paraId="74C580FD" w14:textId="57F2708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第一章如何引用：第一章用它說明本文採用學習型調度器處理事件驅動動態環境具有研究依據。</w:t>
      </w:r>
    </w:p>
    <w:p w14:paraId="23CEB91D" w14:textId="4CA0517F"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[42]</w:t>
      </w:r>
    </w:p>
    <w:p w14:paraId="2466CF2D" w14:textId="1726C54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主題：重調度；新作業插入；預防性維護；多目標</w:t>
      </w:r>
      <w:r>
        <w:rPr>
          <w:rFonts w:ascii="Times New Roman" w:eastAsia="標楷體-繁" w:hAnsi="Times New Roman" w:hint="eastAsia"/>
          <w:lang w:eastAsia="zh-CN"/>
        </w:rPr>
        <w:t>FJSP</w:t>
      </w:r>
      <w:r>
        <w:rPr>
          <w:rFonts w:ascii="Times New Roman" w:eastAsia="標楷體-繁" w:hAnsi="Times New Roman" w:hint="eastAsia"/>
        </w:rPr>
        <w:t>。</w:t>
      </w:r>
    </w:p>
    <w:p w14:paraId="2861D833" w14:textId="4CAFF38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原文實際研究內容：該文獻研究新作業插入和機器預防性維護同時存在時的</w:t>
      </w:r>
      <w:r>
        <w:rPr>
          <w:rFonts w:ascii="Times New Roman" w:eastAsia="標楷體-繁" w:hAnsi="Times New Roman" w:hint="eastAsia"/>
          <w:lang w:eastAsia="zh-CN"/>
        </w:rPr>
        <w:t>FJSP</w:t>
      </w:r>
      <w:r>
        <w:rPr>
          <w:rFonts w:ascii="Times New Roman" w:eastAsia="標楷體-繁" w:hAnsi="Times New Roman" w:hint="eastAsia"/>
        </w:rPr>
        <w:t>重調度。</w:t>
      </w:r>
    </w:p>
    <w:p w14:paraId="3C8EAAD5" w14:textId="483C93BB"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方法或觀點：建立多目標重調度模型並考慮新作業和維護事件對原排程的擾動。</w:t>
      </w:r>
    </w:p>
    <w:p w14:paraId="27E62396" w14:textId="42EFF18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主要結論：動態作業到達和機器維護會共同破壞原有排程，因此需要重調度機制。</w:t>
      </w:r>
    </w:p>
    <w:p w14:paraId="0B77E93A" w14:textId="123B168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第一章如何引用：第一章用它說明本文事件驅動調度環境中作業到達和維護插入必須共同考慮。</w:t>
      </w:r>
    </w:p>
    <w:p w14:paraId="1D44F6E2" w14:textId="79BFFE69"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[43]</w:t>
      </w:r>
    </w:p>
    <w:p w14:paraId="0F49D26E" w14:textId="1E1A91A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主題：生產調度；維護計劃；機器退化；狀態維護；</w:t>
      </w:r>
      <w:r>
        <w:rPr>
          <w:rFonts w:ascii="Times New Roman" w:eastAsia="標楷體-繁" w:hAnsi="Times New Roman" w:hint="eastAsia"/>
          <w:lang w:eastAsia="zh-CN"/>
        </w:rPr>
        <w:t>FJSP</w:t>
      </w:r>
      <w:r>
        <w:rPr>
          <w:rFonts w:ascii="Times New Roman" w:eastAsia="標楷體-繁" w:hAnsi="Times New Roman" w:hint="eastAsia"/>
        </w:rPr>
        <w:t>。</w:t>
      </w:r>
    </w:p>
    <w:p w14:paraId="71AD307E" w14:textId="1C2A4C4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原文實際研究內容：該文獻研究帶機器退化和狀態維護的柔性作業車間實時生產調度與維護計劃集成。</w:t>
      </w:r>
    </w:p>
    <w:p w14:paraId="0035EC59" w14:textId="2FB8BFF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方法或觀點：將機器退化、狀態維護和生產調度共同建模，實時協調生產與維護安排。</w:t>
      </w:r>
    </w:p>
    <w:p w14:paraId="3EEE7A51" w14:textId="5DD747F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主要結論：機器退化會改變生產調度可行性，維護計劃應與生產調度同步優化。</w:t>
      </w:r>
    </w:p>
    <w:p w14:paraId="2874DDDF" w14:textId="2670844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第一章如何引用：第一章用它支撐本文核心觀點：維護不是調度後的補丁，而是影響機器可用性的決策動作。</w:t>
      </w:r>
    </w:p>
    <w:p w14:paraId="115EED09" w14:textId="01B836E8"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[44]</w:t>
      </w:r>
    </w:p>
    <w:p w14:paraId="2CC5EBCE" w14:textId="3FF405C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主題：多智能體系統；集成調度；維護計劃；</w:t>
      </w:r>
      <w:r>
        <w:rPr>
          <w:rFonts w:ascii="Times New Roman" w:eastAsia="標楷體-繁" w:hAnsi="Times New Roman" w:hint="eastAsia"/>
          <w:lang w:eastAsia="zh-CN"/>
        </w:rPr>
        <w:t>FJSP</w:t>
      </w:r>
      <w:r>
        <w:rPr>
          <w:rFonts w:ascii="Times New Roman" w:eastAsia="標楷體-繁" w:hAnsi="Times New Roman" w:hint="eastAsia"/>
        </w:rPr>
        <w:t>。</w:t>
      </w:r>
    </w:p>
    <w:p w14:paraId="594C00D6" w14:textId="53C8F98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lastRenderedPageBreak/>
        <w:t>原文實際研究內容：該文獻研究柔性作業車間中生產調度和維護計劃的多智能體集成方法。</w:t>
      </w:r>
    </w:p>
    <w:p w14:paraId="40D67587" w14:textId="7E67833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方法或觀點：構建多智能體系統協調不同決策單元，實現調度和維護計劃協同。</w:t>
      </w:r>
    </w:p>
    <w:p w14:paraId="09F2169F" w14:textId="275A966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主要結論：多智能體結構有助於表達生產系統中多個相互影響的決策模塊。</w:t>
      </w:r>
    </w:p>
    <w:p w14:paraId="4EC4EBBB" w14:textId="73943C3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第一章如何引用：第一章用它說明本文維護器和調度器拆分為不同智能體具有方法背景。</w:t>
      </w:r>
    </w:p>
    <w:p w14:paraId="15F1F40E" w14:textId="7E2C7E92"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[45]</w:t>
      </w:r>
    </w:p>
    <w:p w14:paraId="0EB29792" w14:textId="746D643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主題：預防性維護；任務調度；可修復多單元系統；集成框架。</w:t>
      </w:r>
    </w:p>
    <w:p w14:paraId="47091A19" w14:textId="433B1A6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原文實際研究內容：該文獻研究可修復多單元系統中預防性維護和任務調度的集成安排。</w:t>
      </w:r>
    </w:p>
    <w:p w14:paraId="2343FB8A" w14:textId="0215AC30"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方法或觀點：建立統一框架協調維護任務和生產</w:t>
      </w:r>
      <w:r>
        <w:rPr>
          <w:rFonts w:ascii="Times New Roman" w:eastAsia="標楷體-繁" w:hAnsi="Times New Roman" w:hint="eastAsia"/>
          <w:lang w:eastAsia="zh-CN"/>
        </w:rPr>
        <w:t>/</w:t>
      </w:r>
      <w:r>
        <w:rPr>
          <w:rFonts w:ascii="Times New Roman" w:eastAsia="標楷體-繁" w:hAnsi="Times New Roman" w:hint="eastAsia"/>
        </w:rPr>
        <w:t>系統任務的時間安排。</w:t>
      </w:r>
    </w:p>
    <w:p w14:paraId="5A227B20" w14:textId="77DA504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主要結論：維護活動會佔用系統資源並影響任務執行，因此需要與任務調度聯合考慮。</w:t>
      </w:r>
    </w:p>
    <w:p w14:paraId="58FE8F6E" w14:textId="38D14E92"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第一章如何引用：第一章用它說明維護活動會改變資源可用性，必須納入生產調度模型。</w:t>
      </w:r>
    </w:p>
    <w:p w14:paraId="7206E869" w14:textId="0E0EEF38"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[46]</w:t>
      </w:r>
    </w:p>
    <w:p w14:paraId="77ADE674" w14:textId="656EEA0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主題：生產調度；預防性維護；節能；柔性製造；集成優化。</w:t>
      </w:r>
    </w:p>
    <w:p w14:paraId="3BF05B06" w14:textId="0EE0C62E"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原文實際研究內容：該文獻研究柔性製造環境下生產調度、預防性維護和節能的集成協調。</w:t>
      </w:r>
    </w:p>
    <w:p w14:paraId="3673F9B4" w14:textId="1A3F36C6"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方法或觀點：構建多目標協調框架，將生產、維護和能耗目標統一優化。</w:t>
      </w:r>
    </w:p>
    <w:p w14:paraId="56C671AC" w14:textId="1603BD83"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主要結論：真實製造系統中的調度決策往往同時影響維護成本、生產效率和能源表現。</w:t>
      </w:r>
    </w:p>
    <w:p w14:paraId="5104426D" w14:textId="2B752205"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第一章如何引用：第一章用它說明生產維護協同可擴展到多目標系統優化，本文聚焦拖期、維護和健康狀態。</w:t>
      </w:r>
    </w:p>
    <w:p w14:paraId="69BED2A2" w14:textId="58A386B6"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[47]</w:t>
      </w:r>
    </w:p>
    <w:p w14:paraId="3DD5B1F4" w14:textId="4A18C4E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主題：時間抽象；</w:t>
      </w:r>
      <w:r>
        <w:rPr>
          <w:rFonts w:ascii="Times New Roman" w:eastAsia="標楷體-繁" w:hAnsi="Times New Roman" w:hint="eastAsia"/>
          <w:lang w:eastAsia="zh-CN"/>
        </w:rPr>
        <w:t>Options</w:t>
      </w:r>
      <w:r>
        <w:rPr>
          <w:rFonts w:ascii="Times New Roman" w:eastAsia="標楷體-繁" w:hAnsi="Times New Roman" w:hint="eastAsia"/>
        </w:rPr>
        <w:t>；</w:t>
      </w:r>
      <w:r>
        <w:rPr>
          <w:rFonts w:ascii="Times New Roman" w:eastAsia="標楷體-繁" w:hAnsi="Times New Roman" w:hint="eastAsia"/>
          <w:lang w:eastAsia="zh-CN"/>
        </w:rPr>
        <w:t>MDP</w:t>
      </w:r>
      <w:r>
        <w:rPr>
          <w:rFonts w:ascii="Times New Roman" w:eastAsia="標楷體-繁" w:hAnsi="Times New Roman" w:hint="eastAsia"/>
        </w:rPr>
        <w:t>；</w:t>
      </w:r>
      <w:r>
        <w:rPr>
          <w:rFonts w:ascii="Times New Roman" w:eastAsia="標楷體-繁" w:hAnsi="Times New Roman" w:hint="eastAsia"/>
          <w:lang w:eastAsia="zh-CN"/>
        </w:rPr>
        <w:t>Semi-MDP</w:t>
      </w:r>
      <w:r>
        <w:rPr>
          <w:rFonts w:ascii="Times New Roman" w:eastAsia="標楷體-繁" w:hAnsi="Times New Roman" w:hint="eastAsia"/>
        </w:rPr>
        <w:t>；層級強化學習。</w:t>
      </w:r>
    </w:p>
    <w:p w14:paraId="29B375E1" w14:textId="64BDFD4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原文實際研究內容：該文獻提出</w:t>
      </w:r>
      <w:r>
        <w:rPr>
          <w:rFonts w:ascii="Times New Roman" w:eastAsia="標楷體-繁" w:hAnsi="Times New Roman" w:hint="eastAsia"/>
          <w:lang w:eastAsia="zh-CN"/>
        </w:rPr>
        <w:t>MDP</w:t>
      </w:r>
      <w:r>
        <w:rPr>
          <w:rFonts w:ascii="Times New Roman" w:eastAsia="標楷體-繁" w:hAnsi="Times New Roman" w:hint="eastAsia"/>
        </w:rPr>
        <w:t>與半</w:t>
      </w:r>
      <w:r>
        <w:rPr>
          <w:rFonts w:ascii="Times New Roman" w:eastAsia="標楷體-繁" w:hAnsi="Times New Roman" w:hint="eastAsia"/>
          <w:lang w:eastAsia="zh-CN"/>
        </w:rPr>
        <w:t>MDP</w:t>
      </w:r>
      <w:r>
        <w:rPr>
          <w:rFonts w:ascii="Times New Roman" w:eastAsia="標楷體-繁" w:hAnsi="Times New Roman" w:hint="eastAsia"/>
        </w:rPr>
        <w:t>之間的時間抽象框架，是層級強化學習的重要基礎。</w:t>
      </w:r>
    </w:p>
    <w:p w14:paraId="2D16EE21" w14:textId="63BA3EE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方法或觀點：提出</w:t>
      </w:r>
      <w:r>
        <w:rPr>
          <w:rFonts w:ascii="Times New Roman" w:eastAsia="標楷體-繁" w:hAnsi="Times New Roman" w:hint="eastAsia"/>
          <w:lang w:eastAsia="zh-CN"/>
        </w:rPr>
        <w:t>options</w:t>
      </w:r>
      <w:r>
        <w:rPr>
          <w:rFonts w:ascii="Times New Roman" w:eastAsia="標楷體-繁" w:hAnsi="Times New Roman" w:hint="eastAsia"/>
        </w:rPr>
        <w:t>框架，將持續一段時間的宏動作或子策略嵌入強化學習過程。</w:t>
      </w:r>
    </w:p>
    <w:p w14:paraId="1A1D9E98" w14:textId="7D59ECD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主要結論：複雜決策可通過時間抽象和層級策略分解降低學習難度。</w:t>
      </w:r>
    </w:p>
    <w:p w14:paraId="03A664EC" w14:textId="217A7001"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第一章如何引用：第一章用它說明本文維護端</w:t>
      </w:r>
      <w:r>
        <w:rPr>
          <w:rFonts w:ascii="Times New Roman" w:eastAsia="標楷體-繁" w:hAnsi="Times New Roman" w:hint="eastAsia"/>
          <w:lang w:eastAsia="zh-CN"/>
        </w:rPr>
        <w:t>GATE/TYPE</w:t>
      </w:r>
      <w:r>
        <w:rPr>
          <w:rFonts w:ascii="Times New Roman" w:eastAsia="標楷體-繁" w:hAnsi="Times New Roman" w:hint="eastAsia"/>
        </w:rPr>
        <w:t>和調度端高層目標</w:t>
      </w:r>
      <w:r>
        <w:rPr>
          <w:rFonts w:ascii="Times New Roman" w:eastAsia="標楷體-繁" w:hAnsi="Times New Roman" w:hint="eastAsia"/>
          <w:lang w:eastAsia="zh-CN"/>
        </w:rPr>
        <w:t>/</w:t>
      </w:r>
      <w:r>
        <w:rPr>
          <w:rFonts w:ascii="Times New Roman" w:eastAsia="標楷體-繁" w:hAnsi="Times New Roman" w:hint="eastAsia"/>
        </w:rPr>
        <w:t>低層規則分層設計的理論動機。</w:t>
      </w:r>
    </w:p>
    <w:p w14:paraId="148C7288" w14:textId="6B1282ED"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[48]</w:t>
      </w:r>
    </w:p>
    <w:p w14:paraId="667F5C6A" w14:textId="3F0930F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Q-learning</w:t>
      </w:r>
      <w:r>
        <w:rPr>
          <w:rFonts w:ascii="Times New Roman" w:eastAsia="標楷體-繁" w:hAnsi="Times New Roman" w:hint="eastAsia"/>
        </w:rPr>
        <w:t>；動作價值；強化學習；貝爾曼更新。</w:t>
      </w:r>
    </w:p>
    <w:p w14:paraId="77D7812D" w14:textId="218394A9"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原文實際研究內容：該文獻提出</w:t>
      </w:r>
      <w:r>
        <w:rPr>
          <w:rFonts w:ascii="Times New Roman" w:eastAsia="標楷體-繁" w:hAnsi="Times New Roman" w:hint="eastAsia"/>
          <w:lang w:eastAsia="zh-CN"/>
        </w:rPr>
        <w:t>Q-learning</w:t>
      </w:r>
      <w:r>
        <w:rPr>
          <w:rFonts w:ascii="Times New Roman" w:eastAsia="標楷體-繁" w:hAnsi="Times New Roman" w:hint="eastAsia"/>
        </w:rPr>
        <w:t>，是無模型強化學習中的經典動作價值學習方法。</w:t>
      </w:r>
    </w:p>
    <w:p w14:paraId="7DE89982" w14:textId="5F560497"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方法或觀點：通過採樣狀態轉移並使用貝爾曼最優方程更新</w:t>
      </w:r>
      <w:r>
        <w:rPr>
          <w:rFonts w:ascii="Times New Roman" w:eastAsia="標楷體-繁" w:hAnsi="Times New Roman" w:hint="eastAsia"/>
          <w:lang w:eastAsia="zh-CN"/>
        </w:rPr>
        <w:t>Q</w:t>
      </w:r>
      <w:r>
        <w:rPr>
          <w:rFonts w:ascii="Times New Roman" w:eastAsia="標楷體-繁" w:hAnsi="Times New Roman" w:hint="eastAsia"/>
        </w:rPr>
        <w:t>值，學習最優動作價值函數。</w:t>
      </w:r>
    </w:p>
    <w:p w14:paraId="13282E64" w14:textId="0788679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主要結論：在滿足一定條件時，</w:t>
      </w:r>
      <w:r>
        <w:rPr>
          <w:rFonts w:ascii="Times New Roman" w:eastAsia="標楷體-繁" w:hAnsi="Times New Roman" w:hint="eastAsia"/>
          <w:lang w:eastAsia="zh-CN"/>
        </w:rPr>
        <w:t>Q-learning</w:t>
      </w:r>
      <w:r>
        <w:rPr>
          <w:rFonts w:ascii="Times New Roman" w:eastAsia="標楷體-繁" w:hAnsi="Times New Roman" w:hint="eastAsia"/>
        </w:rPr>
        <w:t>可收斂到最優動作價值函數。</w:t>
      </w:r>
    </w:p>
    <w:p w14:paraId="47D3F74A" w14:textId="29C2A9ED"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w:t>
      </w:r>
      <w:r>
        <w:rPr>
          <w:rFonts w:ascii="Times New Roman" w:eastAsia="標楷體-繁" w:hAnsi="Times New Roman" w:hint="eastAsia"/>
          <w:lang w:eastAsia="zh-CN"/>
        </w:rPr>
        <w:t>DQN</w:t>
      </w:r>
      <w:r>
        <w:rPr>
          <w:rFonts w:ascii="Times New Roman" w:eastAsia="標楷體-繁" w:hAnsi="Times New Roman" w:hint="eastAsia"/>
        </w:rPr>
        <w:t>、</w:t>
      </w:r>
      <w:r>
        <w:rPr>
          <w:rFonts w:ascii="Times New Roman" w:eastAsia="標楷體-繁" w:hAnsi="Times New Roman" w:hint="eastAsia"/>
          <w:lang w:eastAsia="zh-CN"/>
        </w:rPr>
        <w:t>DDQN</w:t>
      </w:r>
      <w:r>
        <w:rPr>
          <w:rFonts w:ascii="Times New Roman" w:eastAsia="標楷體-繁" w:hAnsi="Times New Roman" w:hint="eastAsia"/>
        </w:rPr>
        <w:t>和</w:t>
      </w:r>
      <w:r>
        <w:rPr>
          <w:rFonts w:ascii="Times New Roman" w:eastAsia="標楷體-繁" w:hAnsi="Times New Roman" w:hint="eastAsia"/>
          <w:lang w:eastAsia="zh-CN"/>
        </w:rPr>
        <w:t>THDQN</w:t>
      </w:r>
      <w:r>
        <w:rPr>
          <w:rFonts w:ascii="Times New Roman" w:eastAsia="標楷體-繁" w:hAnsi="Times New Roman" w:hint="eastAsia"/>
        </w:rPr>
        <w:t>都源於動作價值學習思想。</w:t>
      </w:r>
    </w:p>
    <w:p w14:paraId="3DE208C1" w14:textId="23769959" w:rsidR="00265175" w:rsidRPr="00265175" w:rsidRDefault="00265175" w:rsidP="00265175">
      <w:pPr>
        <w:spacing w:line="240" w:lineRule="auto"/>
        <w:jc w:val="both"/>
        <w:rPr>
          <w:rFonts w:ascii="Times New Roman" w:eastAsia="標楷體-繁" w:hAnsi="Times New Roman" w:hint="eastAsia"/>
          <w:b/>
          <w:bCs/>
          <w:lang w:eastAsia="zh-CN"/>
        </w:rPr>
      </w:pPr>
      <w:r w:rsidRPr="00265175">
        <w:rPr>
          <w:rFonts w:ascii="Times New Roman" w:eastAsia="標楷體-繁" w:hAnsi="Times New Roman" w:hint="eastAsia"/>
          <w:b/>
          <w:bCs/>
        </w:rPr>
        <w:t>文獻</w:t>
      </w:r>
      <w:r w:rsidRPr="00265175">
        <w:rPr>
          <w:rFonts w:ascii="Times New Roman" w:eastAsia="標楷體-繁" w:hAnsi="Times New Roman" w:hint="eastAsia"/>
          <w:b/>
          <w:bCs/>
          <w:lang w:eastAsia="zh-CN"/>
        </w:rPr>
        <w:t>[49]</w:t>
      </w:r>
    </w:p>
    <w:p w14:paraId="63D88585" w14:textId="0487199C"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關鍵詞</w:t>
      </w:r>
      <w:r>
        <w:rPr>
          <w:rFonts w:ascii="Times New Roman" w:eastAsia="標楷體-繁" w:hAnsi="Times New Roman" w:hint="eastAsia"/>
          <w:lang w:eastAsia="zh-CN"/>
        </w:rPr>
        <w:t>/</w:t>
      </w:r>
      <w:r>
        <w:rPr>
          <w:rFonts w:ascii="Times New Roman" w:eastAsia="標楷體-繁" w:hAnsi="Times New Roman" w:hint="eastAsia"/>
        </w:rPr>
        <w:t>主題：</w:t>
      </w:r>
      <w:r>
        <w:rPr>
          <w:rFonts w:ascii="Times New Roman" w:eastAsia="標楷體-繁" w:hAnsi="Times New Roman" w:hint="eastAsia"/>
          <w:lang w:eastAsia="zh-CN"/>
        </w:rPr>
        <w:t>Double DQN</w:t>
      </w:r>
      <w:r>
        <w:rPr>
          <w:rFonts w:ascii="Times New Roman" w:eastAsia="標楷體-繁" w:hAnsi="Times New Roman" w:hint="eastAsia"/>
        </w:rPr>
        <w:t>；價值過估計；深度強化學習；</w:t>
      </w:r>
      <w:r>
        <w:rPr>
          <w:rFonts w:ascii="Times New Roman" w:eastAsia="標楷體-繁" w:hAnsi="Times New Roman" w:hint="eastAsia"/>
          <w:lang w:eastAsia="zh-CN"/>
        </w:rPr>
        <w:t>Q-learning</w:t>
      </w:r>
      <w:r>
        <w:rPr>
          <w:rFonts w:ascii="Times New Roman" w:eastAsia="標楷體-繁" w:hAnsi="Times New Roman" w:hint="eastAsia"/>
        </w:rPr>
        <w:t>。</w:t>
      </w:r>
    </w:p>
    <w:p w14:paraId="43F850A0" w14:textId="2839DA9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原文實際研究內容：該文獻研究</w:t>
      </w:r>
      <w:r>
        <w:rPr>
          <w:rFonts w:ascii="Times New Roman" w:eastAsia="標楷體-繁" w:hAnsi="Times New Roman" w:hint="eastAsia"/>
          <w:lang w:eastAsia="zh-CN"/>
        </w:rPr>
        <w:t>DQN</w:t>
      </w:r>
      <w:r>
        <w:rPr>
          <w:rFonts w:ascii="Times New Roman" w:eastAsia="標楷體-繁" w:hAnsi="Times New Roman" w:hint="eastAsia"/>
        </w:rPr>
        <w:t>中動作價值過估計問題，並提出</w:t>
      </w:r>
      <w:r>
        <w:rPr>
          <w:rFonts w:ascii="Times New Roman" w:eastAsia="標楷體-繁" w:hAnsi="Times New Roman" w:hint="eastAsia"/>
          <w:lang w:eastAsia="zh-CN"/>
        </w:rPr>
        <w:t>Double DQN</w:t>
      </w:r>
      <w:r>
        <w:rPr>
          <w:rFonts w:ascii="Times New Roman" w:eastAsia="標楷體-繁" w:hAnsi="Times New Roman" w:hint="eastAsia"/>
        </w:rPr>
        <w:t>改進。</w:t>
      </w:r>
    </w:p>
    <w:p w14:paraId="387D307A" w14:textId="35B97E14"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方法或觀點：將動作選擇和動作價值評估解耦，使用當前網絡選動作、目標網絡評估價值。</w:t>
      </w:r>
    </w:p>
    <w:p w14:paraId="6D50B95D" w14:textId="4CE4280F"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主要結論：</w:t>
      </w:r>
      <w:r>
        <w:rPr>
          <w:rFonts w:ascii="Times New Roman" w:eastAsia="標楷體-繁" w:hAnsi="Times New Roman" w:hint="eastAsia"/>
          <w:lang w:eastAsia="zh-CN"/>
        </w:rPr>
        <w:t>Double DQN</w:t>
      </w:r>
      <w:r>
        <w:rPr>
          <w:rFonts w:ascii="Times New Roman" w:eastAsia="標楷體-繁" w:hAnsi="Times New Roman" w:hint="eastAsia"/>
        </w:rPr>
        <w:t>能夠降低</w:t>
      </w:r>
      <w:r>
        <w:rPr>
          <w:rFonts w:ascii="Times New Roman" w:eastAsia="標楷體-繁" w:hAnsi="Times New Roman" w:hint="eastAsia"/>
          <w:lang w:eastAsia="zh-CN"/>
        </w:rPr>
        <w:t>Q</w:t>
      </w:r>
      <w:r>
        <w:rPr>
          <w:rFonts w:ascii="Times New Roman" w:eastAsia="標楷體-繁" w:hAnsi="Times New Roman" w:hint="eastAsia"/>
        </w:rPr>
        <w:t>值過估計並提升深度強化學習訓練穩定性。</w:t>
      </w:r>
    </w:p>
    <w:p w14:paraId="574E5609" w14:textId="734774DA" w:rsidR="00265175" w:rsidRDefault="00265175" w:rsidP="00265175">
      <w:pPr>
        <w:spacing w:line="240" w:lineRule="auto"/>
        <w:jc w:val="both"/>
        <w:rPr>
          <w:rFonts w:ascii="Times New Roman" w:eastAsia="標楷體-繁" w:hAnsi="Times New Roman" w:hint="eastAsia"/>
          <w:lang w:eastAsia="zh-CN"/>
        </w:rPr>
      </w:pPr>
      <w:r>
        <w:rPr>
          <w:rFonts w:ascii="Times New Roman" w:eastAsia="標楷體-繁" w:hAnsi="Times New Roman" w:hint="eastAsia"/>
        </w:rPr>
        <w:t>第一章如何引用：第一章用它說明本文</w:t>
      </w:r>
      <w:r>
        <w:rPr>
          <w:rFonts w:ascii="Times New Roman" w:eastAsia="標楷體-繁" w:hAnsi="Times New Roman" w:hint="eastAsia"/>
          <w:lang w:eastAsia="zh-CN"/>
        </w:rPr>
        <w:t>DDQN</w:t>
      </w:r>
      <w:r>
        <w:rPr>
          <w:rFonts w:ascii="Times New Roman" w:eastAsia="標楷體-繁" w:hAnsi="Times New Roman" w:hint="eastAsia"/>
        </w:rPr>
        <w:t>維護器和</w:t>
      </w:r>
      <w:r>
        <w:rPr>
          <w:rFonts w:ascii="Times New Roman" w:eastAsia="標楷體-繁" w:hAnsi="Times New Roman" w:hint="eastAsia"/>
          <w:lang w:eastAsia="zh-CN"/>
        </w:rPr>
        <w:t>THDQN</w:t>
      </w:r>
      <w:r>
        <w:rPr>
          <w:rFonts w:ascii="Times New Roman" w:eastAsia="標楷體-繁" w:hAnsi="Times New Roman" w:hint="eastAsia"/>
        </w:rPr>
        <w:t>調度器採用</w:t>
      </w:r>
      <w:r>
        <w:rPr>
          <w:rFonts w:ascii="Times New Roman" w:eastAsia="標楷體-繁" w:hAnsi="Times New Roman" w:hint="eastAsia"/>
          <w:lang w:eastAsia="zh-CN"/>
        </w:rPr>
        <w:t>Double DQN</w:t>
      </w:r>
      <w:r>
        <w:rPr>
          <w:rFonts w:ascii="Times New Roman" w:eastAsia="標楷體-繁" w:hAnsi="Times New Roman" w:hint="eastAsia"/>
        </w:rPr>
        <w:t>更新思想。</w:t>
      </w:r>
    </w:p>
    <w:sectPr w:rsidR="00265175" w:rsidSect="00D131C7">
      <w:pgSz w:w="11906" w:h="16838"/>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標楷體-繁">
    <w:altName w:val="新細明體"/>
    <w:panose1 w:val="03000500000000000000"/>
    <w:charset w:val="88"/>
    <w:family w:val="script"/>
    <w:pitch w:val="variable"/>
    <w:sig w:usb0="800000E3" w:usb1="38CFFD7A" w:usb2="00000016" w:usb3="00000000" w:csb0="0010000D"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4D1E"/>
    <w:rsid w:val="00265175"/>
    <w:rsid w:val="007D5526"/>
    <w:rsid w:val="00B54D1E"/>
    <w:rsid w:val="00D131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F2E54E5"/>
  <w15:docId w15:val="{48546475-BBC6-484C-97A8-CA05ED91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Times New Roman"/>
        <w:sz w:val="24"/>
        <w:lang w:val="en-US" w:eastAsia="zh-TW" w:bidi="ar-SA"/>
      </w:rPr>
    </w:rPrDefault>
    <w:pPrDefault>
      <w:pPr>
        <w:spacing w:after="1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uiPriority w:val="9"/>
    <w:unhideWhenUsed/>
    <w:qFormat/>
    <w:pPr>
      <w:spacing w:before="180" w:after="80"/>
      <w:outlineLvl w:val="1"/>
    </w:pPr>
    <w:rPr>
      <w:b/>
      <w:sz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1496</Words>
  <Characters>8530</Characters>
  <Application>Microsoft Office Word</Application>
  <DocSecurity>0</DocSecurity>
  <Lines>71</Lines>
  <Paragraphs>20</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第一章参考文献逐篇核查整理</dc:title>
  <dc:creator>Codex</dc:creator>
  <cp:lastModifiedBy>傅懋杰</cp:lastModifiedBy>
  <cp:revision>3</cp:revision>
  <cp:lastPrinted>2026-05-20T11:13:00Z</cp:lastPrinted>
  <dcterms:created xsi:type="dcterms:W3CDTF">2026-05-19T07:49:00Z</dcterms:created>
  <dcterms:modified xsi:type="dcterms:W3CDTF">2026-05-20T11:16:00Z</dcterms:modified>
</cp:coreProperties>
</file>