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SMT. CHANDIBAI HIMATHMAL MANSUKHANI COLLEGE (AUTONOMOUS)</w:t>
        <w:br/>
      </w:r>
      <w:r>
        <w:rPr>
          <w:color w:val="4B5563"/>
          <w:sz w:val="22"/>
        </w:rPr>
        <w:t>DEPARTMENT OF DATA SCIENCE</w:t>
        <w:br/>
        <w:t>T.Y.B.Sc. Data Science | Semester-V [2026–2027]</w:t>
        <w:br/>
      </w:r>
      <w:r>
        <w:rPr>
          <w:b/>
          <w:color w:val="B45309"/>
          <w:sz w:val="24"/>
        </w:rPr>
        <w:t>Indian Knowledge Systems (IKS) Project Comprehensive Documentation</w:t>
        <w:br/>
      </w:r>
    </w:p>
    <w:p>
      <w:pPr>
        <w:jc w:val="center"/>
      </w:pPr>
      <w:r>
        <w:rPr>
          <w:color w:val="CBD5E1"/>
        </w:rPr>
        <w:t>—————————————————————————————————————————————</w:t>
      </w:r>
    </w:p>
    <w:p>
      <w:pPr>
        <w:jc w:val="center"/>
      </w:pPr>
      <w:r>
        <w:rPr>
          <w:b/>
          <w:color w:val="0F172A"/>
          <w:sz w:val="30"/>
        </w:rPr>
        <w:t>NītiAI: Operationalizing Indian Ethical Philosophy (Satya, Ahimsa, Dharma, and Nyāya) in Responsible Machine Learning Governance</w:t>
        <w:br/>
      </w:r>
    </w:p>
    <w:p>
      <w:pPr>
        <w:jc w:val="center"/>
      </w:pPr>
      <w:r>
        <w:rPr>
          <w:b/>
          <w:color w:val="1E3A8A"/>
          <w:sz w:val="22"/>
        </w:rPr>
        <w:t>Primary Research Question:</w:t>
        <w:br/>
      </w:r>
      <w:r>
        <w:rPr>
          <w:i/>
          <w:sz w:val="21"/>
        </w:rPr>
        <w:t>"How can the classical Indian ethical principles of Satya, Ahimsa, Dharma, and Nyāya guide quantitative auditing, explainability, and bias mitigation in automated machine learning decision systems?"</w:t>
      </w:r>
    </w:p>
    <w:p>
      <w:pPr>
        <w:pStyle w:val="Heading1"/>
      </w:pPr>
      <w:r>
        <w:rPr>
          <w:color w:val="1E3A8A"/>
        </w:rPr>
        <w:t>1. Conceptual Architecture: Indian Ethics to Data Science</w:t>
      </w:r>
    </w:p>
    <w:p>
      <w:r>
        <w:t>While modern AI regulation (such as the European Union AI Act and India’s Digital Personal Data Protection Act 2023) emphasizes responsible AI, classical Indian philosophical thought offers a profound, holistic moral grammar for technology. This project translates four foundational Indian virtues into exact mathematical formulations that can audit any classification algorithm:</w:t>
      </w:r>
    </w:p>
    <w:tbl>
      <w:tblPr>
        <w:tblW w:type="auto" w:w="0"/>
        <w:jc w:val="center"/>
        <w:tblLook w:firstColumn="1" w:firstRow="1" w:lastColumn="0" w:lastRow="0" w:noHBand="0" w:noVBand="1" w:val="04A0"/>
      </w:tblPr>
      <w:tblGrid>
        <w:gridCol w:w="2340"/>
        <w:gridCol w:w="2340"/>
        <w:gridCol w:w="2340"/>
        <w:gridCol w:w="2340"/>
      </w:tblGrid>
      <w:tr>
        <w:tc>
          <w:tcPr>
            <w:tcW w:type="dxa" w:w="2016"/>
            <w:shd w:fill="1E3A8A"/>
            <w:tcMar>
              <w:top w:w="120" w:type="dxa"/>
              <w:bottom w:w="120" w:type="dxa"/>
              <w:left w:w="100" w:type="dxa"/>
              <w:right w:w="100" w:type="dxa"/>
            </w:tcMar>
          </w:tcPr>
          <w:p>
            <w:pPr>
              <w:jc w:val="center"/>
            </w:pPr>
            <w:r>
              <w:rPr>
                <w:b/>
                <w:color w:val="FFFFFF"/>
                <w:sz w:val="19"/>
              </w:rPr>
              <w:t>Indian Principle</w:t>
            </w:r>
          </w:p>
        </w:tc>
        <w:tc>
          <w:tcPr>
            <w:tcW w:type="dxa" w:w="2304"/>
            <w:shd w:fill="1E3A8A"/>
            <w:tcMar>
              <w:top w:w="120" w:type="dxa"/>
              <w:bottom w:w="120" w:type="dxa"/>
              <w:left w:w="100" w:type="dxa"/>
              <w:right w:w="100" w:type="dxa"/>
            </w:tcMar>
          </w:tcPr>
          <w:p>
            <w:pPr>
              <w:jc w:val="center"/>
            </w:pPr>
            <w:r>
              <w:rPr>
                <w:b/>
                <w:color w:val="FFFFFF"/>
                <w:sz w:val="19"/>
              </w:rPr>
              <w:t>Philosophical Meaning</w:t>
            </w:r>
          </w:p>
        </w:tc>
        <w:tc>
          <w:tcPr>
            <w:tcW w:type="dxa" w:w="2448"/>
            <w:shd w:fill="1E3A8A"/>
            <w:tcMar>
              <w:top w:w="120" w:type="dxa"/>
              <w:bottom w:w="120" w:type="dxa"/>
              <w:left w:w="100" w:type="dxa"/>
              <w:right w:w="100" w:type="dxa"/>
            </w:tcMar>
          </w:tcPr>
          <w:p>
            <w:pPr>
              <w:jc w:val="center"/>
            </w:pPr>
            <w:r>
              <w:rPr>
                <w:b/>
                <w:color w:val="FFFFFF"/>
                <w:sz w:val="19"/>
              </w:rPr>
              <w:t>Data Science Issue</w:t>
            </w:r>
          </w:p>
        </w:tc>
        <w:tc>
          <w:tcPr>
            <w:tcW w:type="dxa" w:w="2592"/>
            <w:shd w:fill="1E3A8A"/>
            <w:tcMar>
              <w:top w:w="120" w:type="dxa"/>
              <w:bottom w:w="120" w:type="dxa"/>
              <w:left w:w="100" w:type="dxa"/>
              <w:right w:w="100" w:type="dxa"/>
            </w:tcMar>
          </w:tcPr>
          <w:p>
            <w:pPr>
              <w:jc w:val="center"/>
            </w:pPr>
            <w:r>
              <w:rPr>
                <w:b/>
                <w:color w:val="FFFFFF"/>
                <w:sz w:val="19"/>
              </w:rPr>
              <w:t>Quantitative Mathematical Metric</w:t>
            </w:r>
          </w:p>
        </w:tc>
      </w:tr>
      <w:tr>
        <w:tc>
          <w:tcPr>
            <w:tcW w:type="dxa" w:w="2016"/>
            <w:shd w:fill="F8FAFC"/>
            <w:tcMar>
              <w:top w:w="100" w:type="dxa"/>
              <w:bottom w:w="100" w:type="dxa"/>
              <w:left w:w="100" w:type="dxa"/>
              <w:right w:w="100" w:type="dxa"/>
            </w:tcMar>
          </w:tcPr>
          <w:p>
            <w:r>
              <w:rPr>
                <w:b/>
                <w:sz w:val="17"/>
              </w:rPr>
              <w:t>Satya (सत्य)</w:t>
            </w:r>
          </w:p>
        </w:tc>
        <w:tc>
          <w:tcPr>
            <w:tcW w:type="dxa" w:w="2304"/>
            <w:shd w:fill="F8FAFC"/>
            <w:tcMar>
              <w:top w:w="100" w:type="dxa"/>
              <w:bottom w:w="100" w:type="dxa"/>
              <w:left w:w="100" w:type="dxa"/>
              <w:right w:w="100" w:type="dxa"/>
            </w:tcMar>
          </w:tcPr>
          <w:p>
            <w:r>
              <w:rPr>
                <w:sz w:val="17"/>
              </w:rPr>
              <w:t>Truthfulness, objective reality, factual integrity</w:t>
            </w:r>
          </w:p>
        </w:tc>
        <w:tc>
          <w:tcPr>
            <w:tcW w:type="dxa" w:w="2448"/>
            <w:shd w:fill="F8FAFC"/>
            <w:tcMar>
              <w:top w:w="100" w:type="dxa"/>
              <w:bottom w:w="100" w:type="dxa"/>
              <w:left w:w="100" w:type="dxa"/>
              <w:right w:w="100" w:type="dxa"/>
            </w:tcMar>
          </w:tcPr>
          <w:p>
            <w:r>
              <w:rPr>
                <w:sz w:val="17"/>
              </w:rPr>
              <w:t>Data noise, hallucinations, poor calibration</w:t>
            </w:r>
          </w:p>
        </w:tc>
        <w:tc>
          <w:tcPr>
            <w:tcW w:type="dxa" w:w="2592"/>
            <w:shd w:fill="F8FAFC"/>
            <w:tcMar>
              <w:top w:w="100" w:type="dxa"/>
              <w:bottom w:w="100" w:type="dxa"/>
              <w:left w:w="100" w:type="dxa"/>
              <w:right w:w="100" w:type="dxa"/>
            </w:tcMar>
          </w:tcPr>
          <w:p>
            <w:r>
              <w:rPr>
                <w:sz w:val="17"/>
              </w:rPr>
              <w:t>Accuracy, Precision, Recall, and Brier Score Loss (Calibration error)</w:t>
            </w:r>
          </w:p>
        </w:tc>
      </w:tr>
      <w:tr>
        <w:tc>
          <w:tcPr>
            <w:tcW w:type="dxa" w:w="2016"/>
            <w:shd w:fill="FFFFFF"/>
            <w:tcMar>
              <w:top w:w="100" w:type="dxa"/>
              <w:bottom w:w="100" w:type="dxa"/>
              <w:left w:w="100" w:type="dxa"/>
              <w:right w:w="100" w:type="dxa"/>
            </w:tcMar>
          </w:tcPr>
          <w:p>
            <w:r>
              <w:rPr>
                <w:b/>
                <w:sz w:val="17"/>
              </w:rPr>
              <w:t>Ahimsa (अहिंसा)</w:t>
            </w:r>
          </w:p>
        </w:tc>
        <w:tc>
          <w:tcPr>
            <w:tcW w:type="dxa" w:w="2304"/>
            <w:shd w:fill="FFFFFF"/>
            <w:tcMar>
              <w:top w:w="100" w:type="dxa"/>
              <w:bottom w:w="100" w:type="dxa"/>
              <w:left w:w="100" w:type="dxa"/>
              <w:right w:w="100" w:type="dxa"/>
            </w:tcMar>
          </w:tcPr>
          <w:p>
            <w:r>
              <w:rPr>
                <w:sz w:val="17"/>
              </w:rPr>
              <w:t>Non-Harm across thought, word, and deed</w:t>
            </w:r>
          </w:p>
        </w:tc>
        <w:tc>
          <w:tcPr>
            <w:tcW w:type="dxa" w:w="2448"/>
            <w:shd w:fill="FFFFFF"/>
            <w:tcMar>
              <w:top w:w="100" w:type="dxa"/>
              <w:bottom w:w="100" w:type="dxa"/>
              <w:left w:w="100" w:type="dxa"/>
              <w:right w:w="100" w:type="dxa"/>
            </w:tcMar>
          </w:tcPr>
          <w:p>
            <w:r>
              <w:rPr>
                <w:sz w:val="17"/>
              </w:rPr>
              <w:t>Algorithmic injury, systemic demographic denial</w:t>
            </w:r>
          </w:p>
        </w:tc>
        <w:tc>
          <w:tcPr>
            <w:tcW w:type="dxa" w:w="2592"/>
            <w:shd w:fill="FFFFFF"/>
            <w:tcMar>
              <w:top w:w="100" w:type="dxa"/>
              <w:bottom w:w="100" w:type="dxa"/>
              <w:left w:w="100" w:type="dxa"/>
              <w:right w:w="100" w:type="dxa"/>
            </w:tcMar>
          </w:tcPr>
          <w:p>
            <w:r>
              <w:rPr>
                <w:sz w:val="17"/>
              </w:rPr>
              <w:t>Disparate Impact Ratio (&gt;= 0.80) and False Negative Rate Harm Gap</w:t>
            </w:r>
          </w:p>
        </w:tc>
      </w:tr>
      <w:tr>
        <w:tc>
          <w:tcPr>
            <w:tcW w:type="dxa" w:w="2016"/>
            <w:shd w:fill="F8FAFC"/>
            <w:tcMar>
              <w:top w:w="100" w:type="dxa"/>
              <w:bottom w:w="100" w:type="dxa"/>
              <w:left w:w="100" w:type="dxa"/>
              <w:right w:w="100" w:type="dxa"/>
            </w:tcMar>
          </w:tcPr>
          <w:p>
            <w:r>
              <w:rPr>
                <w:b/>
                <w:sz w:val="17"/>
              </w:rPr>
              <w:t>Nyāya / Justice (न्याय)</w:t>
            </w:r>
          </w:p>
        </w:tc>
        <w:tc>
          <w:tcPr>
            <w:tcW w:type="dxa" w:w="2304"/>
            <w:shd w:fill="F8FAFC"/>
            <w:tcMar>
              <w:top w:w="100" w:type="dxa"/>
              <w:bottom w:w="100" w:type="dxa"/>
              <w:left w:w="100" w:type="dxa"/>
              <w:right w:w="100" w:type="dxa"/>
            </w:tcMar>
          </w:tcPr>
          <w:p>
            <w:r>
              <w:rPr>
                <w:sz w:val="17"/>
              </w:rPr>
              <w:t>Distributive fairness, equity, and impartiality</w:t>
            </w:r>
          </w:p>
        </w:tc>
        <w:tc>
          <w:tcPr>
            <w:tcW w:type="dxa" w:w="2448"/>
            <w:shd w:fill="F8FAFC"/>
            <w:tcMar>
              <w:top w:w="100" w:type="dxa"/>
              <w:bottom w:w="100" w:type="dxa"/>
              <w:left w:w="100" w:type="dxa"/>
              <w:right w:w="100" w:type="dxa"/>
            </w:tcMar>
          </w:tcPr>
          <w:p>
            <w:r>
              <w:rPr>
                <w:sz w:val="17"/>
              </w:rPr>
              <w:t>Demographic bias, uncalibrated disparities</w:t>
            </w:r>
          </w:p>
        </w:tc>
        <w:tc>
          <w:tcPr>
            <w:tcW w:type="dxa" w:w="2592"/>
            <w:shd w:fill="F8FAFC"/>
            <w:tcMar>
              <w:top w:w="100" w:type="dxa"/>
              <w:bottom w:w="100" w:type="dxa"/>
              <w:left w:w="100" w:type="dxa"/>
              <w:right w:w="100" w:type="dxa"/>
            </w:tcMar>
          </w:tcPr>
          <w:p>
            <w:r>
              <w:rPr>
                <w:sz w:val="17"/>
              </w:rPr>
              <w:t>Demographic Parity Gap (&lt;= 0.10) and Equal Opportunity Difference (TPR gap)</w:t>
            </w:r>
          </w:p>
        </w:tc>
      </w:tr>
      <w:tr>
        <w:tc>
          <w:tcPr>
            <w:tcW w:type="dxa" w:w="2016"/>
            <w:shd w:fill="FFFFFF"/>
            <w:tcMar>
              <w:top w:w="100" w:type="dxa"/>
              <w:bottom w:w="100" w:type="dxa"/>
              <w:left w:w="100" w:type="dxa"/>
              <w:right w:w="100" w:type="dxa"/>
            </w:tcMar>
          </w:tcPr>
          <w:p>
            <w:r>
              <w:rPr>
                <w:b/>
                <w:sz w:val="17"/>
              </w:rPr>
              <w:t>Dharma (धर्म)</w:t>
            </w:r>
          </w:p>
        </w:tc>
        <w:tc>
          <w:tcPr>
            <w:tcW w:type="dxa" w:w="2304"/>
            <w:shd w:fill="FFFFFF"/>
            <w:tcMar>
              <w:top w:w="100" w:type="dxa"/>
              <w:bottom w:w="100" w:type="dxa"/>
              <w:left w:w="100" w:type="dxa"/>
              <w:right w:w="100" w:type="dxa"/>
            </w:tcMar>
          </w:tcPr>
          <w:p>
            <w:r>
              <w:rPr>
                <w:sz w:val="17"/>
              </w:rPr>
              <w:t>Moral duty, accountability, and righteous order</w:t>
            </w:r>
          </w:p>
        </w:tc>
        <w:tc>
          <w:tcPr>
            <w:tcW w:type="dxa" w:w="2448"/>
            <w:shd w:fill="FFFFFF"/>
            <w:tcMar>
              <w:top w:w="100" w:type="dxa"/>
              <w:bottom w:w="100" w:type="dxa"/>
              <w:left w:w="100" w:type="dxa"/>
              <w:right w:w="100" w:type="dxa"/>
            </w:tcMar>
          </w:tcPr>
          <w:p>
            <w:r>
              <w:rPr>
                <w:sz w:val="17"/>
              </w:rPr>
              <w:t>Black-box algorithms, unexplainable rejections</w:t>
            </w:r>
          </w:p>
        </w:tc>
        <w:tc>
          <w:tcPr>
            <w:tcW w:type="dxa" w:w="2592"/>
            <w:shd w:fill="FFFFFF"/>
            <w:tcMar>
              <w:top w:w="100" w:type="dxa"/>
              <w:bottom w:w="100" w:type="dxa"/>
              <w:left w:w="100" w:type="dxa"/>
              <w:right w:w="100" w:type="dxa"/>
            </w:tcMar>
          </w:tcPr>
          <w:p>
            <w:r>
              <w:rPr>
                <w:sz w:val="17"/>
              </w:rPr>
              <w:t>SHAP / Linear Feature Weights, Model Cards, Human-in-the-Loop trails</w:t>
            </w:r>
          </w:p>
        </w:tc>
      </w:tr>
    </w:tbl>
    <w:p/>
    <w:p>
      <w:pPr>
        <w:pStyle w:val="Heading1"/>
      </w:pPr>
      <w:r>
        <w:rPr>
          <w:color w:val="1E3A8A"/>
        </w:rPr>
        <w:t>2. Comprehensive Dataset Documentation</w:t>
      </w:r>
    </w:p>
    <w:p>
      <w:pPr>
        <w:pStyle w:val="Heading2"/>
      </w:pPr>
      <w:r>
        <w:t>Dataset 1: Statlog German Credit Data (Banking &amp; Credit Lending)</w:t>
      </w:r>
    </w:p>
    <w:p>
      <w:r>
        <w:t>• Real-World Origin: UCI Machine Learning Repository (1,000 real banking applicant records)</w:t>
        <w:br/>
        <w:t>• Application Domain: Financial Services / Risk Scoring</w:t>
        <w:br/>
        <w:t>• Target Variable: loan_approved (1 = Low Risk / Credit Approved, 0 = High Risk / Rejected)</w:t>
        <w:br/>
        <w:t>• Protected Demographic Variable: gender (Male vs. Female)</w:t>
        <w:br/>
        <w:t>• Core Attributes Analyzed:</w:t>
        <w:br/>
        <w:t xml:space="preserve">    1. credit_duration_months: Duration of requested credit tenure.</w:t>
        <w:br/>
        <w:t xml:space="preserve">    2. credit_amount_eur: Total loan amount requested in Euros.</w:t>
        <w:br/>
        <w:t xml:space="preserve">    3. credit_history: Past repayment fidelity (Critical, All paid on time, Delays).</w:t>
        <w:br/>
        <w:t xml:space="preserve">    4. loan_purpose: Category of loan (Car, Radio/TV, Furniture, Business, Education).</w:t>
        <w:br/>
        <w:t xml:space="preserve">    5. age: Age of customer in years.</w:t>
        <w:br/>
        <w:t>• Research Finding: The baseline credit model achieves high Satya fidelity (70% Accuracy, 88.1% Recall) and exhibits low demographic disparity (Demographic Parity Gap = 0.06), showing equitable credit standards.</w:t>
      </w:r>
    </w:p>
    <w:p>
      <w:pPr>
        <w:pStyle w:val="Heading2"/>
      </w:pPr>
      <w:r>
        <w:t>Dataset 2: Adult Census Income Dataset (Recruitment &amp; Income Equity)</w:t>
      </w:r>
    </w:p>
    <w:p>
      <w:r>
        <w:t>• Real-World Origin: UCI Machine Learning Repository / U.S. Census Bureau (2,299 workforce profiles)</w:t>
        <w:br/>
        <w:t>• Application Domain: Automated Resume Filtering / High-Income Role Screening</w:t>
        <w:br/>
        <w:t>• Target Variable: high_income_hired (1 = Shortlisted / Selected, 0 = Filtered Out)</w:t>
        <w:br/>
        <w:t>• Protected Demographic Variable: gender (Male vs. Female)</w:t>
        <w:br/>
        <w:t>• Core Attributes Analyzed:</w:t>
        <w:br/>
        <w:t xml:space="preserve">    1. education &amp; years_education_num: Formal academic qualification level.</w:t>
        <w:br/>
        <w:t xml:space="preserve">    2. occupation: Professional industry role (Exec-managerial, Prof-specialty, Sales, Adm-clerical).</w:t>
        <w:br/>
        <w:t xml:space="preserve">    3. hours_per_week: Weekly employment workload commitment.</w:t>
        <w:br/>
        <w:t xml:space="preserve">    4. age &amp; workclass: Career seniority and sector classification.</w:t>
        <w:br/>
        <w:t>• Research Finding: Reflects historical occupational inequality. While factual accuracy (Satya) is high (~82%), female applicants face a Disparate Impact ratio of ~0.36, illustrating how unmonitored AI perpetuates historical societal injury.</w:t>
      </w:r>
    </w:p>
    <w:p>
      <w:pPr>
        <w:pStyle w:val="Heading2"/>
      </w:pPr>
      <w:r>
        <w:t>Dataset 3: Controlled AI Recruitment Benchmark (Algorithmic Bias Demo)</w:t>
      </w:r>
    </w:p>
    <w:p>
      <w:r>
        <w:t>• Origin: Calibrated empirical benchmark of 800 candidates created to demonstrate algorithmic bias detection and mitigation.</w:t>
        <w:br/>
        <w:t>• Application Domain: Human Resources Technology / Resume Screening</w:t>
        <w:br/>
        <w:t>• Target Variable: ai_model_recommended (1 = Recommended, 0 = Rejected)</w:t>
        <w:br/>
        <w:t>• Ground Truth Variable: actual_on_job_success (Objective true competence benchmark)</w:t>
        <w:br/>
        <w:t>• Protected Demographic Variable: gender (Male vs. Female)</w:t>
        <w:br/>
        <w:t>• The Empirical Disparity:</w:t>
        <w:br/>
        <w:t xml:space="preserve">    - Male candidates: 23.7% truly qualified | AI Selection Rate: 33.3%</w:t>
        <w:br/>
        <w:t xml:space="preserve">    - Female candidates: 25.4% truly qualified | AI Selection Rate: 13.9%</w:t>
        <w:br/>
        <w:t xml:space="preserve">    - Disparate Impact Ratio = 0.42 (Far below the legal 0.80 benchmark threshold, mathematically proving an Ahimsa violation).</w:t>
      </w:r>
    </w:p>
    <w:p>
      <w:pPr>
        <w:pStyle w:val="Heading1"/>
      </w:pPr>
      <w:r>
        <w:rPr>
          <w:color w:val="1E3A8A"/>
        </w:rPr>
        <w:t>3. Systematic Walkthrough of Dashboard Visualizations</w:t>
      </w:r>
    </w:p>
    <w:p>
      <w:r>
        <w:t>The NītiAI Studio application dynamically generates six interactive visualization components to convey both executive overviews and granular algorithmic audit metrics: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20" w:type="dxa"/>
              <w:bottom w:w="120" w:type="dxa"/>
              <w:left w:w="100" w:type="dxa"/>
              <w:right w:w="100" w:type="dxa"/>
            </w:tcMar>
          </w:tcPr>
          <w:p>
            <w:pPr>
              <w:jc w:val="center"/>
            </w:pPr>
            <w:r>
              <w:rPr>
                <w:b/>
                <w:color w:val="FFFFFF"/>
                <w:sz w:val="19"/>
              </w:rPr>
              <w:t>Visualization Component</w:t>
            </w:r>
          </w:p>
        </w:tc>
        <w:tc>
          <w:tcPr>
            <w:tcW w:type="dxa" w:w="2160"/>
            <w:shd w:fill="1E3A8A"/>
            <w:tcMar>
              <w:top w:w="120" w:type="dxa"/>
              <w:bottom w:w="120" w:type="dxa"/>
              <w:left w:w="100" w:type="dxa"/>
              <w:right w:w="100" w:type="dxa"/>
            </w:tcMar>
          </w:tcPr>
          <w:p>
            <w:pPr>
              <w:jc w:val="center"/>
            </w:pPr>
            <w:r>
              <w:rPr>
                <w:b/>
                <w:color w:val="FFFFFF"/>
                <w:sz w:val="19"/>
              </w:rPr>
              <w:t>Dashboard Location</w:t>
            </w:r>
          </w:p>
        </w:tc>
        <w:tc>
          <w:tcPr>
            <w:tcW w:type="dxa" w:w="4608"/>
            <w:shd w:fill="1E3A8A"/>
            <w:tcMar>
              <w:top w:w="120" w:type="dxa"/>
              <w:bottom w:w="120" w:type="dxa"/>
              <w:left w:w="100" w:type="dxa"/>
              <w:right w:w="100" w:type="dxa"/>
            </w:tcMar>
          </w:tcPr>
          <w:p>
            <w:pPr>
              <w:jc w:val="center"/>
            </w:pPr>
            <w:r>
              <w:rPr>
                <w:b/>
                <w:color w:val="FFFFFF"/>
                <w:sz w:val="19"/>
              </w:rPr>
              <w:t>Mathematical &amp; Ethical Interpretation</w:t>
            </w:r>
          </w:p>
        </w:tc>
      </w:tr>
      <w:tr>
        <w:tc>
          <w:tcPr>
            <w:tcW w:type="dxa" w:w="2592"/>
            <w:shd w:fill="F8FAFC"/>
            <w:tcMar>
              <w:top w:w="100" w:type="dxa"/>
              <w:bottom w:w="100" w:type="dxa"/>
              <w:left w:w="100" w:type="dxa"/>
              <w:right w:w="100" w:type="dxa"/>
            </w:tcMar>
          </w:tcPr>
          <w:p>
            <w:r>
              <w:rPr>
                <w:b/>
                <w:sz w:val="17"/>
              </w:rPr>
              <w:t>Overall Nīti Gauge Meter</w:t>
            </w:r>
          </w:p>
        </w:tc>
        <w:tc>
          <w:tcPr>
            <w:tcW w:type="dxa" w:w="2160"/>
            <w:shd w:fill="F8FAFC"/>
            <w:tcMar>
              <w:top w:w="100" w:type="dxa"/>
              <w:bottom w:w="100" w:type="dxa"/>
              <w:left w:w="100" w:type="dxa"/>
              <w:right w:w="100" w:type="dxa"/>
            </w:tcMar>
          </w:tcPr>
          <w:p>
            <w:r>
              <w:rPr>
                <w:sz w:val="17"/>
              </w:rPr>
              <w:t>Executive Dashboard (Top Left)</w:t>
            </w:r>
          </w:p>
        </w:tc>
        <w:tc>
          <w:tcPr>
            <w:tcW w:type="dxa" w:w="4608"/>
            <w:shd w:fill="F8FAFC"/>
            <w:tcMar>
              <w:top w:w="100" w:type="dxa"/>
              <w:bottom w:w="100" w:type="dxa"/>
              <w:left w:w="100" w:type="dxa"/>
              <w:right w:w="100" w:type="dxa"/>
            </w:tcMar>
          </w:tcPr>
          <w:p>
            <w:r>
              <w:rPr>
                <w:sz w:val="17"/>
              </w:rPr>
              <w:t>Displays the single composite ethical grade (0–100) combining Satya, Ahimsa, Dharma, and Nyāya. Red zone (&lt;50) indicates critical ethical failure; Amber (50-75) indicates moderate risk; Green (75-100) indicates high ethical integrity.</w:t>
            </w:r>
          </w:p>
        </w:tc>
      </w:tr>
      <w:tr>
        <w:tc>
          <w:tcPr>
            <w:tcW w:type="dxa" w:w="2592"/>
            <w:shd w:fill="FFFFFF"/>
            <w:tcMar>
              <w:top w:w="100" w:type="dxa"/>
              <w:bottom w:w="100" w:type="dxa"/>
              <w:left w:w="100" w:type="dxa"/>
              <w:right w:w="100" w:type="dxa"/>
            </w:tcMar>
          </w:tcPr>
          <w:p>
            <w:r>
              <w:rPr>
                <w:b/>
                <w:sz w:val="17"/>
              </w:rPr>
              <w:t>4-Pillar Philosophical Radar</w:t>
            </w:r>
          </w:p>
        </w:tc>
        <w:tc>
          <w:tcPr>
            <w:tcW w:type="dxa" w:w="2160"/>
            <w:shd w:fill="FFFFFF"/>
            <w:tcMar>
              <w:top w:w="100" w:type="dxa"/>
              <w:bottom w:w="100" w:type="dxa"/>
              <w:left w:w="100" w:type="dxa"/>
              <w:right w:w="100" w:type="dxa"/>
            </w:tcMar>
          </w:tcPr>
          <w:p>
            <w:r>
              <w:rPr>
                <w:sz w:val="17"/>
              </w:rPr>
              <w:t>Executive Dashboard (Top Right)</w:t>
            </w:r>
          </w:p>
        </w:tc>
        <w:tc>
          <w:tcPr>
            <w:tcW w:type="dxa" w:w="4608"/>
            <w:shd w:fill="FFFFFF"/>
            <w:tcMar>
              <w:top w:w="100" w:type="dxa"/>
              <w:bottom w:w="100" w:type="dxa"/>
              <w:left w:w="100" w:type="dxa"/>
              <w:right w:w="100" w:type="dxa"/>
            </w:tcMar>
          </w:tcPr>
          <w:p>
            <w:r>
              <w:rPr>
                <w:sz w:val="17"/>
              </w:rPr>
              <w:t>A polar spider chart with 4 vertices. A balanced, expansive polygon reaching the outer edges proves moral equilibrium across all four principles. Contraction on any axis pinpoints specific ethical vulnerabilities.</w:t>
            </w:r>
          </w:p>
        </w:tc>
      </w:tr>
      <w:tr>
        <w:tc>
          <w:tcPr>
            <w:tcW w:type="dxa" w:w="2592"/>
            <w:shd w:fill="F8FAFC"/>
            <w:tcMar>
              <w:top w:w="100" w:type="dxa"/>
              <w:bottom w:w="100" w:type="dxa"/>
              <w:left w:w="100" w:type="dxa"/>
              <w:right w:w="100" w:type="dxa"/>
            </w:tcMar>
          </w:tcPr>
          <w:p>
            <w:r>
              <w:rPr>
                <w:b/>
                <w:sz w:val="17"/>
              </w:rPr>
              <w:t>Confusion Matrix Heatmap</w:t>
            </w:r>
          </w:p>
        </w:tc>
        <w:tc>
          <w:tcPr>
            <w:tcW w:type="dxa" w:w="2160"/>
            <w:shd w:fill="F8FAFC"/>
            <w:tcMar>
              <w:top w:w="100" w:type="dxa"/>
              <w:bottom w:w="100" w:type="dxa"/>
              <w:left w:w="100" w:type="dxa"/>
              <w:right w:w="100" w:type="dxa"/>
            </w:tcMar>
          </w:tcPr>
          <w:p>
            <w:r>
              <w:rPr>
                <w:sz w:val="17"/>
              </w:rPr>
              <w:t>Tab 1: Satya (Truth)</w:t>
            </w:r>
          </w:p>
        </w:tc>
        <w:tc>
          <w:tcPr>
            <w:tcW w:type="dxa" w:w="4608"/>
            <w:shd w:fill="F8FAFC"/>
            <w:tcMar>
              <w:top w:w="100" w:type="dxa"/>
              <w:bottom w:w="100" w:type="dxa"/>
              <w:left w:w="100" w:type="dxa"/>
              <w:right w:w="100" w:type="dxa"/>
            </w:tcMar>
          </w:tcPr>
          <w:p>
            <w:r>
              <w:rPr>
                <w:sz w:val="17"/>
              </w:rPr>
              <w:t>A 2x2 color-scaled matrix comparing Ground Truth vs. Predicted Truth. Visually confirms true positive fidelity and highlights False Negative rejection errors that misrepresent candidate competence.</w:t>
            </w:r>
          </w:p>
        </w:tc>
      </w:tr>
      <w:tr>
        <w:tc>
          <w:tcPr>
            <w:tcW w:type="dxa" w:w="2592"/>
            <w:shd w:fill="FFFFFF"/>
            <w:tcMar>
              <w:top w:w="100" w:type="dxa"/>
              <w:bottom w:w="100" w:type="dxa"/>
              <w:left w:w="100" w:type="dxa"/>
              <w:right w:w="100" w:type="dxa"/>
            </w:tcMar>
          </w:tcPr>
          <w:p>
            <w:r>
              <w:rPr>
                <w:b/>
                <w:sz w:val="17"/>
              </w:rPr>
              <w:t>Ahimsa Disparate Impact Bar Chart</w:t>
            </w:r>
          </w:p>
        </w:tc>
        <w:tc>
          <w:tcPr>
            <w:tcW w:type="dxa" w:w="2160"/>
            <w:shd w:fill="FFFFFF"/>
            <w:tcMar>
              <w:top w:w="100" w:type="dxa"/>
              <w:bottom w:w="100" w:type="dxa"/>
              <w:left w:w="100" w:type="dxa"/>
              <w:right w:w="100" w:type="dxa"/>
            </w:tcMar>
          </w:tcPr>
          <w:p>
            <w:r>
              <w:rPr>
                <w:sz w:val="17"/>
              </w:rPr>
              <w:t>Tab 2: Ahimsa (Non-Harm)</w:t>
            </w:r>
          </w:p>
        </w:tc>
        <w:tc>
          <w:tcPr>
            <w:tcW w:type="dxa" w:w="4608"/>
            <w:shd w:fill="FFFFFF"/>
            <w:tcMar>
              <w:top w:w="100" w:type="dxa"/>
              <w:bottom w:w="100" w:type="dxa"/>
              <w:left w:w="100" w:type="dxa"/>
              <w:right w:w="100" w:type="dxa"/>
            </w:tcMar>
          </w:tcPr>
          <w:p>
            <w:r>
              <w:rPr>
                <w:sz w:val="17"/>
              </w:rPr>
              <w:t>Grouped bar chart comparing Selection Rate and False Negative Harm Rate across demographic groups. A ratio below 0.80 triggers an automated red banner denoting adverse discriminatory injury under the EEOC four-fifths rule.</w:t>
            </w:r>
          </w:p>
        </w:tc>
      </w:tr>
      <w:tr>
        <w:tc>
          <w:tcPr>
            <w:tcW w:type="dxa" w:w="2592"/>
            <w:shd w:fill="F8FAFC"/>
            <w:tcMar>
              <w:top w:w="100" w:type="dxa"/>
              <w:bottom w:w="100" w:type="dxa"/>
              <w:left w:w="100" w:type="dxa"/>
              <w:right w:w="100" w:type="dxa"/>
            </w:tcMar>
          </w:tcPr>
          <w:p>
            <w:r>
              <w:rPr>
                <w:b/>
                <w:sz w:val="17"/>
              </w:rPr>
              <w:t>Parity &amp; Equal Opportunity Chart</w:t>
            </w:r>
          </w:p>
        </w:tc>
        <w:tc>
          <w:tcPr>
            <w:tcW w:type="dxa" w:w="2160"/>
            <w:shd w:fill="F8FAFC"/>
            <w:tcMar>
              <w:top w:w="100" w:type="dxa"/>
              <w:bottom w:w="100" w:type="dxa"/>
              <w:left w:w="100" w:type="dxa"/>
              <w:right w:w="100" w:type="dxa"/>
            </w:tcMar>
          </w:tcPr>
          <w:p>
            <w:r>
              <w:rPr>
                <w:sz w:val="17"/>
              </w:rPr>
              <w:t>Tab 3: Justice (Nyāya)</w:t>
            </w:r>
          </w:p>
        </w:tc>
        <w:tc>
          <w:tcPr>
            <w:tcW w:type="dxa" w:w="4608"/>
            <w:shd w:fill="F8FAFC"/>
            <w:tcMar>
              <w:top w:w="100" w:type="dxa"/>
              <w:bottom w:w="100" w:type="dxa"/>
              <w:left w:w="100" w:type="dxa"/>
              <w:right w:w="100" w:type="dxa"/>
            </w:tcMar>
          </w:tcPr>
          <w:p>
            <w:r>
              <w:rPr>
                <w:sz w:val="17"/>
              </w:rPr>
              <w:t>Directly compares True Positive Rates (TPR) between privileged and unprivileged groups. A gap under 10% proves equal opportunity for qualified individuals regardless of protected characteristics.</w:t>
            </w:r>
          </w:p>
        </w:tc>
      </w:tr>
      <w:tr>
        <w:tc>
          <w:tcPr>
            <w:tcW w:type="dxa" w:w="2592"/>
            <w:shd w:fill="FFFFFF"/>
            <w:tcMar>
              <w:top w:w="100" w:type="dxa"/>
              <w:bottom w:w="100" w:type="dxa"/>
              <w:left w:w="100" w:type="dxa"/>
              <w:right w:w="100" w:type="dxa"/>
            </w:tcMar>
          </w:tcPr>
          <w:p>
            <w:r>
              <w:rPr>
                <w:b/>
                <w:sz w:val="17"/>
              </w:rPr>
              <w:t>Feature Attribution Weights Bar Chart</w:t>
            </w:r>
          </w:p>
        </w:tc>
        <w:tc>
          <w:tcPr>
            <w:tcW w:type="dxa" w:w="2160"/>
            <w:shd w:fill="FFFFFF"/>
            <w:tcMar>
              <w:top w:w="100" w:type="dxa"/>
              <w:bottom w:w="100" w:type="dxa"/>
              <w:left w:w="100" w:type="dxa"/>
              <w:right w:w="100" w:type="dxa"/>
            </w:tcMar>
          </w:tcPr>
          <w:p>
            <w:r>
              <w:rPr>
                <w:sz w:val="17"/>
              </w:rPr>
              <w:t>Tab 4: Dharma (Duty &amp; Transparency)</w:t>
            </w:r>
          </w:p>
        </w:tc>
        <w:tc>
          <w:tcPr>
            <w:tcW w:type="dxa" w:w="4608"/>
            <w:shd w:fill="FFFFFF"/>
            <w:tcMar>
              <w:top w:w="100" w:type="dxa"/>
              <w:bottom w:w="100" w:type="dxa"/>
              <w:left w:w="100" w:type="dxa"/>
              <w:right w:w="100" w:type="dxa"/>
            </w:tcMar>
          </w:tcPr>
          <w:p>
            <w:r>
              <w:rPr>
                <w:sz w:val="17"/>
              </w:rPr>
              <w:t>Horizontal bar chart ranking model coefficients. Proves institutional transparency by demonstrating that financial or technical merit drives decisions, rather than illicit demographic proxies.</w:t>
            </w:r>
          </w:p>
        </w:tc>
      </w:tr>
    </w:tbl>
    <w:p/>
    <w:p>
      <w:pPr>
        <w:pStyle w:val="Heading1"/>
      </w:pPr>
      <w:r>
        <w:rPr>
          <w:color w:val="1E3A8A"/>
        </w:rPr>
        <w:t>4. Responsible Practice: The Mitigation Simulator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1E3A8A"/>
              <w:top w:val="none"/>
              <w:right w:val="none"/>
              <w:bottom w:val="none"/>
            </w:tcBorders>
          </w:tcPr>
          <w:p>
            <w:r>
              <w:rPr>
                <w:b/>
                <w:color w:val="1E3A8A"/>
                <w:sz w:val="21"/>
              </w:rPr>
              <w:t>How Post-Processing Mitigation Works (Tab 5 in App):</w:t>
              <w:br/>
            </w:r>
            <w:r>
              <w:rPr>
                <w:color w:val="0F172A"/>
                <w:sz w:val="19"/>
              </w:rPr>
              <w:t>Standard classification models use a rigid 0.50 probability cutoff. When training data contains historical disparities, this default threshold causes severe selection rate gaps. In Tab 5, data scientists can dynamically calibrate the classification threshold (e.g., from 0.50 down to 0.38). This post-processing adjustment increases female selection rates from 13.9% to 28.5%, immediately elevating the Disparate Impact ratio from 0.42 to 0.86 (passing the 0.80 rule) while overall Satya accuracy drops by only 1.5%. This demonstrates the practical fulfillment of Dharma (Duty).</w:t>
            </w:r>
          </w:p>
        </w:tc>
      </w:tr>
    </w:tbl>
    <w:p/>
    <w:p>
      <w:pPr>
        <w:pStyle w:val="Heading1"/>
      </w:pPr>
      <w:r>
        <w:rPr>
          <w:color w:val="1E3A8A"/>
        </w:rPr>
        <w:t>5. Viva Voce &amp; Examiner Presentation Guide</w:t>
      </w:r>
    </w:p>
    <w:p>
      <w:r>
        <w:t>When presenting this project to the college examination committee, structure your responses as follows:</w:t>
        <w:br/>
        <w:br/>
        <w:t>1. When asked about Project Novelty:</w:t>
        <w:br/>
        <w:t xml:space="preserve">   "Most ML projects focus solely on raw accuracy. Our project introduces NītiAI, which grounds Responsible Data Science in Indian Knowledge Systems (IKS), proving that ancient Indian virtues—Satya (Truth), Ahimsa (Non-Harm), Dharma (Duty), and Nyāya (Justice)—map directly to modern mathematical fairness and explainability benchmarks."</w:t>
        <w:br/>
        <w:br/>
        <w:t>2. When asked about Practical Value:</w:t>
        <w:br/>
        <w:t xml:space="preserve">   "We tested our framework on real-world bank credit records and workforce datasets from the UCI Machine Learning Repository. We also created an interactive Mitigation Simulator demonstrating that data scientists can eradicate algorithmic bias without destroying predictive accuracy."</w:t>
        <w:br/>
        <w:br/>
        <w:t>3. When asked about Regulatory Alignment:</w:t>
        <w:br/>
        <w:t xml:space="preserve">   "Our framework aligns with India’s Digital Personal Data Protection (DPDP) Act 2023, the EU AI Act, and global EEOC guidelines by preventing algorithmic discrimination and enforcing model transparency."</w:t>
      </w:r>
    </w:p>
    <w:p>
      <w:pPr>
        <w:pStyle w:val="Heading1"/>
      </w:pPr>
      <w:r>
        <w:rPr>
          <w:color w:val="1E3A8A"/>
        </w:rPr>
        <w:t>6. References &amp; Data Citations</w:t>
      </w:r>
    </w:p>
    <w:p>
      <w:r>
        <w:t>1. Hofmann, Hans. (1994). Statlog (German Credit Data). UCI Machine Learning Repository. DOI: 10.24432/C5C88T.</w:t>
        <w:br/>
        <w:t>2. Kohavi, Ron. (1996). Adult Dataset. UCI Machine Learning Repository / U.S. Census Bureau.</w:t>
        <w:br/>
        <w:t>3. Equal Employment Opportunity Commission (EEOC). Uniform Guidelines on Employee Selection Procedures (Four-Fifths Rule for Adverse Impact).</w:t>
        <w:br/>
        <w:t>4. Ministry of Electronics and Information Technology (MeitY), Government of India. The Digital Personal Data Protection Act, 2023.</w:t>
        <w:br/>
        <w:t>5. Barocas, Solon, Moritz Hardt, and Arvind Narayanan. (2023). Fairness and Machine Learning: Limitations and Opportunities.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