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52"/>
          <w:szCs w:val="52"/>
        </w:rPr>
        <w:t xml:space="preserve">ALTIO</w:t>
      </w:r>
    </w:p>
    <w:p>
      <w:pPr>
        <w:spacing w:after="80"/>
        <w:jc w:val="center"/>
      </w:pPr>
      <w:r>
        <w:rPr>
          <w:rFonts w:ascii="Arial" w:cs="Arial" w:eastAsia="Arial" w:hAnsi="Arial"/>
          <w:i/>
          <w:iCs/>
          <w:color w:val="666666"/>
          <w:sz w:val="24"/>
          <w:szCs w:val="24"/>
        </w:rPr>
        <w:t xml:space="preserve">Marketplace de gestion immobilière</w:t>
      </w:r>
    </w:p>
    <w:p>
      <w:pPr>
        <w:spacing w:after="400"/>
        <w:jc w:val="center"/>
      </w:pPr>
      <w:r>
        <w:rPr>
          <w:rFonts w:ascii="Arial" w:cs="Arial" w:eastAsia="Arial" w:hAnsi="Arial"/>
          <w:b/>
          <w:bCs/>
          <w:color w:val="1A1A2E"/>
          <w:sz w:val="26"/>
          <w:szCs w:val="26"/>
        </w:rPr>
        <w:t xml:space="preserve">Note de synthèse — Modèle de facturation et conformité</w:t>
      </w:r>
    </w:p>
    <w:p>
      <w:pPr>
        <w:spacing w:after="600"/>
        <w:jc w:val="center"/>
      </w:pPr>
      <w:r>
        <w:rPr>
          <w:rFonts w:ascii="Arial" w:cs="Arial" w:eastAsia="Arial" w:hAnsi="Arial"/>
          <w:color w:val="999999"/>
          <w:sz w:val="20"/>
          <w:szCs w:val="20"/>
        </w:rPr>
        <w:t xml:space="preserve">Mars 2026 — Document à destination de l'expert-comptable</w:t>
      </w:r>
    </w:p>
    <w:p>
      <w:pPr>
        <w:pStyle w:val="Heading1"/>
      </w:pPr>
      <w:r>
        <w:t xml:space="preserve">1. Présentation d'Altio</w:t>
      </w:r>
    </w:p>
    <w:p>
      <w:pPr>
        <w:spacing w:after="200"/>
      </w:pPr>
      <w:r>
        <w:t xml:space="preserve">Altio est une application mobile (marketplace) qui met en relation des </w:t>
      </w:r>
      <w:r>
        <w:rPr>
          <w:b/>
          <w:bCs/>
        </w:rPr>
        <w:t xml:space="preserve">propriétaires de biens immobiliers</w:t>
      </w:r>
      <w:r>
        <w:t xml:space="preserve"> (résidences secondaires, locations saisonnières en France) avec des </w:t>
      </w:r>
      <w:r>
        <w:rPr>
          <w:b/>
          <w:bCs/>
        </w:rPr>
        <w:t xml:space="preserve">prestataires de services locaux</w:t>
      </w:r>
      <w:r>
        <w:t xml:space="preserve"> (plombiers, électriciens, serruriers, agents d'entretien, etc.).</w:t>
      </w:r>
    </w:p>
    <w:p>
      <w:pPr>
        <w:spacing w:after="200"/>
      </w:pPr>
      <w:r>
        <w:t xml:space="preserve">Les propriétaires publient des missions ou déclarent des urgences. Les prestataires consultent et acceptent les missions disponibles.</w:t>
      </w:r>
    </w:p>
    <w:p>
      <w:pPr>
        <w:spacing w:after="200"/>
      </w:pPr>
      <w:r>
        <w:rPr>
          <w:b/>
          <w:bCs/>
        </w:rPr>
        <w:t xml:space="preserve">Statut juridique de la plateforme : mandataire.</w:t>
      </w:r>
      <w:r>
        <w:t xml:space="preserve"> Altio agit comme intermédiaire entre les deux parties. Le chiffre d'affaires d'Altio correspond uniquement aux commissions perçues, et non au volume total des transactions.</w:t>
      </w:r>
    </w:p>
    <w:p>
      <w:pPr>
        <w:pStyle w:val="Heading1"/>
      </w:pPr>
      <w:r>
        <w:t xml:space="preserve">2. Modèle de commission</w:t>
      </w:r>
    </w:p>
    <w:p>
      <w:pPr>
        <w:spacing w:after="200"/>
      </w:pPr>
      <w:r>
        <w:t xml:space="preserve">Altio applique une commission de </w:t>
      </w:r>
      <w:r>
        <w:rPr>
          <w:b/>
          <w:bCs/>
        </w:rPr>
        <w:t xml:space="preserve">10 % côté propriétaire + 10 % côté prestataire</w:t>
      </w:r>
      <w:r>
        <w:t xml:space="preserve">, soit une marge totale de 20 % sur chaque transaction.</w:t>
      </w:r>
    </w:p>
    <w:p>
      <w:pPr>
        <w:pStyle w:val="Heading2"/>
      </w:pPr>
      <w:r>
        <w:t xml:space="preserve">2.1 Exemple chiffré — Mission de plomberie à 200 € HT</w:t>
      </w:r>
    </w:p>
    <w:p>
      <w:pPr>
        <w:spacing w:after="200"/>
      </w:pPr>
      <w:r>
        <w:t xml:space="preserve">Le prestataire fixe son tarif à 200 € HT pour l'intervention.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300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Montant HT</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Montant TTC (TVA 20%)</w:t>
            </w:r>
          </w:p>
        </w:tc>
      </w:tr>
      <w:tr>
        <w:tc>
          <w:tcPr>
            <w:tcW w:type="dxa" w:w="3009"/>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sz w:val="20"/>
                <w:szCs w:val="20"/>
              </w:rPr>
              <w:t xml:space="preserve">Prix prestation (fixé par le prestataire)</w:t>
            </w:r>
          </w:p>
        </w:tc>
        <w:tc>
          <w:tcPr>
            <w:tcW w:type="dxa" w:w="3009"/>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sz w:val="20"/>
                <w:szCs w:val="20"/>
              </w:rPr>
              <w:t xml:space="preserve">200,00 €</w:t>
            </w:r>
          </w:p>
        </w:tc>
        <w:tc>
          <w:tcPr>
            <w:tcW w:type="dxa" w:w="3008"/>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sz w:val="20"/>
                <w:szCs w:val="20"/>
              </w:rPr>
              <w:t xml:space="preserve">240,00 €</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Frais de service Altio (10 % proprio)</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20,00 €</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24,00 €</w:t>
            </w:r>
          </w:p>
        </w:tc>
      </w:tr>
      <w:tr>
        <w:tc>
          <w:tcPr>
            <w:tcW w:type="dxa" w:w="3009"/>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sz w:val="20"/>
                <w:szCs w:val="20"/>
              </w:rPr>
              <w:t xml:space="preserve">Total payé par le propriétaire</w:t>
            </w:r>
          </w:p>
        </w:tc>
        <w:tc>
          <w:tcPr>
            <w:tcW w:type="dxa" w:w="3009"/>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sz w:val="20"/>
                <w:szCs w:val="20"/>
              </w:rPr>
              <w:t xml:space="preserve">220,00 €</w:t>
            </w:r>
          </w:p>
        </w:tc>
        <w:tc>
          <w:tcPr>
            <w:tcW w:type="dxa" w:w="3008"/>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sz w:val="20"/>
                <w:szCs w:val="20"/>
              </w:rPr>
              <w:t xml:space="preserve">264,00 €</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Commission Altio (10 % presta)</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20,00 €</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24,00 €</w:t>
            </w:r>
          </w:p>
        </w:tc>
      </w:tr>
      <w:tr>
        <w:tc>
          <w:tcPr>
            <w:tcW w:type="dxa" w:w="3009"/>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sz w:val="20"/>
                <w:szCs w:val="20"/>
              </w:rPr>
              <w:t xml:space="preserve">Net perçu par le prestataire</w:t>
            </w:r>
          </w:p>
        </w:tc>
        <w:tc>
          <w:tcPr>
            <w:tcW w:type="dxa" w:w="3009"/>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sz w:val="20"/>
                <w:szCs w:val="20"/>
              </w:rPr>
              <w:t xml:space="preserve">180,00 €</w:t>
            </w:r>
          </w:p>
        </w:tc>
        <w:tc>
          <w:tcPr>
            <w:tcW w:type="dxa" w:w="3008"/>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sz w:val="20"/>
                <w:szCs w:val="20"/>
              </w:rPr>
              <w:t xml:space="preserve">216,00 €</w:t>
            </w:r>
          </w:p>
        </w:tc>
      </w:tr>
      <w:tr>
        <w:tc>
          <w:tcPr>
            <w:tcW w:type="dxa" w:w="300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Marge Altio totale</w:t>
            </w:r>
          </w:p>
        </w:tc>
        <w:tc>
          <w:tcPr>
            <w:tcW w:type="dxa" w:w="300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40,00 €</w:t>
            </w:r>
          </w:p>
        </w:tc>
        <w:tc>
          <w:tcPr>
            <w:tcW w:type="dxa" w:w="30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48,00 €</w:t>
            </w:r>
          </w:p>
        </w:tc>
      </w:tr>
    </w:tbl>
    <w:p>
      <w:pPr>
        <w:spacing w:before="200"/>
      </w:pPr>
    </w:p>
    <w:p>
      <w:pPr>
        <w:pStyle w:val="Heading1"/>
      </w:pPr>
      <w:r>
        <w:t xml:space="preserve">3. Les 3 factures par transaction</w:t>
      </w:r>
    </w:p>
    <w:p>
      <w:pPr>
        <w:spacing w:after="200"/>
      </w:pPr>
      <w:r>
        <w:t xml:space="preserve">Chaque mission génère 3 flux de facturation distincts :</w:t>
      </w:r>
    </w:p>
    <w:p>
      <w:pPr>
        <w:pStyle w:val="Heading2"/>
      </w:pPr>
      <w:r>
        <w:t xml:space="preserve">Facture 1 — Prestation (prestataire → propriétaire)</w:t>
      </w:r>
    </w:p>
    <w:p>
      <w:pPr>
        <w:pStyle w:val="ListParagraph"/>
        <w:numPr>
          <w:ilvl w:val="0"/>
          <w:numId w:val="2"/>
        </w:numPr>
      </w:pPr>
      <w:r>
        <w:rPr>
          <w:b/>
          <w:bCs/>
        </w:rPr>
        <w:t xml:space="preserve">Émetteur : </w:t>
      </w:r>
      <w:r>
        <w:t xml:space="preserve">le prestataire (facture émise par Altio via mandat de facturation)</w:t>
      </w:r>
    </w:p>
    <w:p>
      <w:pPr>
        <w:pStyle w:val="ListParagraph"/>
        <w:numPr>
          <w:ilvl w:val="0"/>
          <w:numId w:val="2"/>
        </w:numPr>
      </w:pPr>
      <w:r>
        <w:rPr>
          <w:b/>
          <w:bCs/>
        </w:rPr>
        <w:t xml:space="preserve">Destinataire : </w:t>
      </w:r>
      <w:r>
        <w:t xml:space="preserve">le propriétaire</w:t>
      </w:r>
    </w:p>
    <w:p>
      <w:pPr>
        <w:pStyle w:val="ListParagraph"/>
        <w:numPr>
          <w:ilvl w:val="0"/>
          <w:numId w:val="2"/>
        </w:numPr>
      </w:pPr>
      <w:r>
        <w:rPr>
          <w:b/>
          <w:bCs/>
        </w:rPr>
        <w:t xml:space="preserve">Montant : </w:t>
      </w:r>
      <w:r>
        <w:t xml:space="preserve">200,00 € HT (le tarif réel du prestataire)</w:t>
      </w:r>
    </w:p>
    <w:p>
      <w:pPr>
        <w:pStyle w:val="ListParagraph"/>
        <w:numPr>
          <w:ilvl w:val="0"/>
          <w:numId w:val="2"/>
        </w:numPr>
        <w:spacing w:after="200"/>
      </w:pPr>
      <w:r>
        <w:rPr>
          <w:b/>
          <w:bCs/>
        </w:rPr>
        <w:t xml:space="preserve">TVA : </w:t>
      </w:r>
      <w:r>
        <w:t xml:space="preserve">selon le statut du prestataire (20 % si assujetti, ou mention « TVA non applicable, art. 293 B du CGI » si franchise en base)</w:t>
      </w:r>
    </w:p>
    <w:p>
      <w:pPr>
        <w:pStyle w:val="Heading2"/>
      </w:pPr>
      <w:r>
        <w:t xml:space="preserve">Facture 2 — Frais de service Altio (Altio → propriétaire)</w:t>
      </w:r>
    </w:p>
    <w:p>
      <w:pPr>
        <w:pStyle w:val="ListParagraph"/>
        <w:numPr>
          <w:ilvl w:val="0"/>
          <w:numId w:val="2"/>
        </w:numPr>
      </w:pPr>
      <w:r>
        <w:rPr>
          <w:b/>
          <w:bCs/>
        </w:rPr>
        <w:t xml:space="preserve">Émetteur : </w:t>
      </w:r>
      <w:r>
        <w:t xml:space="preserve">Altio</w:t>
      </w:r>
    </w:p>
    <w:p>
      <w:pPr>
        <w:pStyle w:val="ListParagraph"/>
        <w:numPr>
          <w:ilvl w:val="0"/>
          <w:numId w:val="2"/>
        </w:numPr>
      </w:pPr>
      <w:r>
        <w:rPr>
          <w:b/>
          <w:bCs/>
        </w:rPr>
        <w:t xml:space="preserve">Destinataire : </w:t>
      </w:r>
      <w:r>
        <w:t xml:space="preserve">le propriétaire</w:t>
      </w:r>
    </w:p>
    <w:p>
      <w:pPr>
        <w:pStyle w:val="ListParagraph"/>
        <w:numPr>
          <w:ilvl w:val="0"/>
          <w:numId w:val="2"/>
        </w:numPr>
      </w:pPr>
      <w:r>
        <w:rPr>
          <w:b/>
          <w:bCs/>
        </w:rPr>
        <w:t xml:space="preserve">Objet : </w:t>
      </w:r>
      <w:r>
        <w:t xml:space="preserve">« Frais de mise en relation / service plateforme »</w:t>
      </w:r>
    </w:p>
    <w:p>
      <w:pPr>
        <w:pStyle w:val="ListParagraph"/>
        <w:numPr>
          <w:ilvl w:val="0"/>
          <w:numId w:val="2"/>
        </w:numPr>
        <w:spacing w:after="200"/>
      </w:pPr>
      <w:r>
        <w:rPr>
          <w:b/>
          <w:bCs/>
        </w:rPr>
        <w:t xml:space="preserve">Montant : </w:t>
      </w:r>
      <w:r>
        <w:t xml:space="preserve">20,00 € HT + TVA 20 % = 24,00 € TTC</w:t>
      </w:r>
    </w:p>
    <w:p>
      <w:pPr>
        <w:pStyle w:val="Heading2"/>
      </w:pPr>
      <w:r>
        <w:t xml:space="preserve">Facture 3 — Commission plateforme (Altio → prestataire)</w:t>
      </w:r>
    </w:p>
    <w:p>
      <w:pPr>
        <w:pStyle w:val="ListParagraph"/>
        <w:numPr>
          <w:ilvl w:val="0"/>
          <w:numId w:val="2"/>
        </w:numPr>
      </w:pPr>
      <w:r>
        <w:rPr>
          <w:b/>
          <w:bCs/>
        </w:rPr>
        <w:t xml:space="preserve">Émetteur : </w:t>
      </w:r>
      <w:r>
        <w:t xml:space="preserve">Altio</w:t>
      </w:r>
    </w:p>
    <w:p>
      <w:pPr>
        <w:pStyle w:val="ListParagraph"/>
        <w:numPr>
          <w:ilvl w:val="0"/>
          <w:numId w:val="2"/>
        </w:numPr>
      </w:pPr>
      <w:r>
        <w:rPr>
          <w:b/>
          <w:bCs/>
        </w:rPr>
        <w:t xml:space="preserve">Destinataire : </w:t>
      </w:r>
      <w:r>
        <w:t xml:space="preserve">le prestataire</w:t>
      </w:r>
    </w:p>
    <w:p>
      <w:pPr>
        <w:pStyle w:val="ListParagraph"/>
        <w:numPr>
          <w:ilvl w:val="0"/>
          <w:numId w:val="2"/>
        </w:numPr>
      </w:pPr>
      <w:r>
        <w:rPr>
          <w:b/>
          <w:bCs/>
        </w:rPr>
        <w:t xml:space="preserve">Objet : </w:t>
      </w:r>
      <w:r>
        <w:t xml:space="preserve">« Commission de service plateforme »</w:t>
      </w:r>
    </w:p>
    <w:p>
      <w:pPr>
        <w:pStyle w:val="ListParagraph"/>
        <w:numPr>
          <w:ilvl w:val="0"/>
          <w:numId w:val="2"/>
        </w:numPr>
      </w:pPr>
      <w:r>
        <w:rPr>
          <w:b/>
          <w:bCs/>
        </w:rPr>
        <w:t xml:space="preserve">Montant : </w:t>
      </w:r>
      <w:r>
        <w:t xml:space="preserve">10 % de la prestation HT + TVA 20 %</w:t>
      </w:r>
    </w:p>
    <w:p>
      <w:pPr>
        <w:pStyle w:val="ListParagraph"/>
        <w:numPr>
          <w:ilvl w:val="0"/>
          <w:numId w:val="2"/>
        </w:numPr>
        <w:spacing w:after="200"/>
      </w:pPr>
      <w:r>
        <w:rPr>
          <w:b/>
          <w:bCs/>
        </w:rPr>
        <w:t xml:space="preserve">Périodicité recommandée : </w:t>
      </w:r>
      <w:r>
        <w:t xml:space="preserve">facture récapitulative mensuelle (agrégation de toutes les commissions du mois)</w:t>
      </w:r>
    </w:p>
    <w:p>
      <w:pPr>
        <w:pStyle w:val="Heading1"/>
      </w:pPr>
      <w:r>
        <w:t xml:space="preserve">4. Flux de paiement — Stripe Connect</w:t>
      </w:r>
    </w:p>
    <w:p>
      <w:pPr>
        <w:spacing w:after="200"/>
      </w:pPr>
      <w:r>
        <w:t xml:space="preserve">Les paiements transitent par </w:t>
      </w:r>
      <w:r>
        <w:rPr>
          <w:b/>
          <w:bCs/>
        </w:rPr>
        <w:t xml:space="preserve">Stripe Connect</w:t>
      </w:r>
      <w:r>
        <w:t xml:space="preserve">, prestataire de services de paiement (PSP) agréé, ce qui évite à Altio de devoir obtenir un agrément d'établissement de paiement auprès de l'ACPR.</w:t>
      </w:r>
    </w:p>
    <w:p>
      <w:pPr>
        <w:spacing w:after="120"/>
      </w:pPr>
      <w:r>
        <w:rPr>
          <w:b/>
          <w:bCs/>
        </w:rPr>
        <w:t xml:space="preserve">Déroulement d'une transaction :</w:t>
      </w:r>
    </w:p>
    <w:p>
      <w:pPr>
        <w:pStyle w:val="ListParagraph"/>
        <w:numPr>
          <w:ilvl w:val="0"/>
          <w:numId w:val="3"/>
        </w:numPr>
      </w:pPr>
      <w:r>
        <w:t xml:space="preserve">Le propriétaire paie le montant total (220 € HT / 264 € TTC) en une seule opération dans l'application.</w:t>
      </w:r>
    </w:p>
    <w:p>
      <w:pPr>
        <w:pStyle w:val="ListParagraph"/>
        <w:numPr>
          <w:ilvl w:val="0"/>
          <w:numId w:val="3"/>
        </w:numPr>
      </w:pPr>
      <w:r>
        <w:t xml:space="preserve">Stripe encaisse la totalité et effectue le split automatiquement.</w:t>
      </w:r>
    </w:p>
    <w:p>
      <w:pPr>
        <w:pStyle w:val="ListParagraph"/>
        <w:numPr>
          <w:ilvl w:val="0"/>
          <w:numId w:val="3"/>
        </w:numPr>
      </w:pPr>
      <w:r>
        <w:t xml:space="preserve">Stripe transfère le montant net au compte connecté du prestataire (180 € HT / 216 € TTC).</w:t>
      </w:r>
    </w:p>
    <w:p>
      <w:pPr>
        <w:pStyle w:val="ListParagraph"/>
        <w:numPr>
          <w:ilvl w:val="0"/>
          <w:numId w:val="3"/>
        </w:numPr>
      </w:pPr>
      <w:r>
        <w:t xml:space="preserve">La marge Altio (40 € HT / 48 € TTC) reste sur le compte plateforme Altio, après déduction des frais Stripe (~2,9 % + 0,25 €).</w:t>
      </w:r>
    </w:p>
    <w:p>
      <w:pPr>
        <w:spacing w:after="200" w:before="200"/>
      </w:pPr>
      <w:r>
        <w:rPr>
          <w:b/>
          <w:bCs/>
        </w:rPr>
        <w:t xml:space="preserve">Note comptable : </w:t>
      </w:r>
      <w:r>
        <w:t xml:space="preserve">le CA d'Altio se constate au brut des commissions (hors TVA), pas au montant des virements Stripe nets de frais. Les frais Stripe constituent une charge d'exploitation.</w:t>
      </w:r>
    </w:p>
    <w:p>
      <w:pPr>
        <w:pStyle w:val="Heading1"/>
      </w:pPr>
      <w:r>
        <w:t xml:space="preserve">5. Mandat de facturation</w:t>
      </w:r>
    </w:p>
    <w:p>
      <w:pPr>
        <w:spacing w:after="200"/>
      </w:pPr>
      <w:r>
        <w:t xml:space="preserve">Altio émet la facture de prestation (Facture 1) </w:t>
      </w:r>
      <w:r>
        <w:rPr>
          <w:b/>
          <w:bCs/>
        </w:rPr>
        <w:t xml:space="preserve">au nom et pour le compte du prestataire</w:t>
      </w:r>
      <w:r>
        <w:t xml:space="preserve">. Ceci nécessite un mandat de facturation, intégré aux conditions générales acceptées par chaque prestataire lors de son inscription sur la plateforme.</w:t>
      </w:r>
    </w:p>
    <w:p>
      <w:pPr>
        <w:spacing w:after="200"/>
      </w:pPr>
      <w:r>
        <w:t xml:space="preserve">Ce mandat doit préciser : l'identité des parties, l'étendue du mandat (émission de factures), les obligations du mandataire (conformité des mentions légales), les conditions de résiliation, et la responsabilité fiscale (le prestataire reste redevable de la TVA sur sa prestation).</w:t>
      </w:r>
    </w:p>
    <w:p>
      <w:pPr>
        <w:pStyle w:val="Heading1"/>
      </w:pPr>
      <w:r>
        <w:t xml:space="preserve">6. Points de vigilance TVA</w:t>
      </w:r>
    </w:p>
    <w:p>
      <w:pPr>
        <w:pStyle w:val="ListParagraph"/>
        <w:numPr>
          <w:ilvl w:val="0"/>
          <w:numId w:val="2"/>
        </w:numPr>
      </w:pPr>
      <w:r>
        <w:rPr>
          <w:b/>
          <w:bCs/>
        </w:rPr>
        <w:t xml:space="preserve">Commission Altio : </w:t>
      </w:r>
      <w:r>
        <w:t xml:space="preserve">toujours soumise à TVA 20 % (prestation de service). Ceci s'applique que le prestataire soit lui-même assujetti ou non.</w:t>
      </w:r>
    </w:p>
    <w:p>
      <w:pPr>
        <w:pStyle w:val="ListParagraph"/>
        <w:numPr>
          <w:ilvl w:val="0"/>
          <w:numId w:val="2"/>
        </w:numPr>
      </w:pPr>
      <w:r>
        <w:rPr>
          <w:b/>
          <w:bCs/>
        </w:rPr>
        <w:t xml:space="preserve">Prestataire en franchise de base (auto-entrepreneur) : </w:t>
      </w:r>
      <w:r>
        <w:t xml:space="preserve">il ne facture pas de TVA sur sa prestation, mais il supporte la TVA sur la commission Altio sans pouvoir la récupérer (coût réel : 12 % au lieu de 10 %).</w:t>
      </w:r>
    </w:p>
    <w:p>
      <w:pPr>
        <w:pStyle w:val="ListParagraph"/>
        <w:numPr>
          <w:ilvl w:val="0"/>
          <w:numId w:val="2"/>
        </w:numPr>
      </w:pPr>
      <w:r>
        <w:rPr>
          <w:b/>
          <w:bCs/>
        </w:rPr>
        <w:t xml:space="preserve">Prestataire assujetti : </w:t>
      </w:r>
      <w:r>
        <w:t xml:space="preserve">il facture la TVA sur sa prestation et récupère la TVA sur la commission Altio (coût réel : 10 % net).</w:t>
      </w:r>
    </w:p>
    <w:p>
      <w:pPr>
        <w:pStyle w:val="ListParagraph"/>
        <w:numPr>
          <w:ilvl w:val="0"/>
          <w:numId w:val="2"/>
        </w:numPr>
        <w:spacing w:after="200"/>
      </w:pPr>
      <w:r>
        <w:rPr>
          <w:b/>
          <w:bCs/>
        </w:rPr>
        <w:t xml:space="preserve">Frais Stripe : </w:t>
      </w:r>
      <w:r>
        <w:t xml:space="preserve">facturés depuis l'Irlande, soumis au mécanisme d'autoliquidation de TVA intracommunautaire par Altio.</w:t>
      </w:r>
    </w:p>
    <w:p>
      <w:pPr>
        <w:pStyle w:val="Heading1"/>
      </w:pPr>
      <w:r>
        <w:t xml:space="preserve">7. Conformité e-invoicing — Septembre 2026</w:t>
      </w:r>
    </w:p>
    <w:p>
      <w:pPr>
        <w:spacing w:after="200"/>
      </w:pPr>
      <w:r>
        <w:t xml:space="preserve">À compter du 1er septembre 2026, toutes les entreprises assujetties à la TVA doivent être en capacité de recevoir des factures électroniques conformes, via une Plateforme Agréée (PA).</w:t>
      </w:r>
    </w:p>
    <w:p>
      <w:pPr>
        <w:spacing w:after="120"/>
      </w:pPr>
      <w:r>
        <w:rPr>
          <w:b/>
          <w:bCs/>
        </w:rPr>
        <w:t xml:space="preserve">Implications pour Altio :</w:t>
      </w:r>
    </w:p>
    <w:p>
      <w:pPr>
        <w:pStyle w:val="ListParagraph"/>
        <w:numPr>
          <w:ilvl w:val="0"/>
          <w:numId w:val="2"/>
        </w:numPr>
      </w:pPr>
      <w:r>
        <w:t xml:space="preserve">Les factures émises par Altio (Factures 2 et 3) devront transiter par une Plateforme Agréée dans un format structuré (Factur-X, CII ou UBL).</w:t>
      </w:r>
    </w:p>
    <w:p>
      <w:pPr>
        <w:pStyle w:val="ListParagraph"/>
        <w:numPr>
          <w:ilvl w:val="0"/>
          <w:numId w:val="2"/>
        </w:numPr>
      </w:pPr>
      <w:r>
        <w:t xml:space="preserve">Pour les factures de prestation émises par mandat (Facture 1), Altio doit s'assurer que la PA choisie supporte ce cas d'usage.</w:t>
      </w:r>
    </w:p>
    <w:p>
      <w:pPr>
        <w:pStyle w:val="ListParagraph"/>
        <w:numPr>
          <w:ilvl w:val="0"/>
          <w:numId w:val="2"/>
        </w:numPr>
      </w:pPr>
      <w:r>
        <w:t xml:space="preserve">Un e-reporting des données de paiement (montants encaissés pour les prestations de service) devra être transmis à l'administration fiscale.</w:t>
      </w:r>
    </w:p>
    <w:p>
      <w:pPr>
        <w:pStyle w:val="ListParagraph"/>
        <w:numPr>
          <w:ilvl w:val="0"/>
          <w:numId w:val="2"/>
        </w:numPr>
        <w:spacing w:after="200"/>
      </w:pPr>
      <w:r>
        <w:t xml:space="preserve">Stripe Connect se connecte à des partenaires de facturation conformes (Billit, Invopop) mais ne gère pas nativement la facturation électronique française.</w:t>
      </w:r>
    </w:p>
    <w:p>
      <w:pPr>
        <w:spacing w:after="120"/>
      </w:pPr>
      <w:r>
        <w:rPr>
          <w:b/>
          <w:bCs/>
        </w:rPr>
        <w:t xml:space="preserve">Calendrier :</w:t>
      </w:r>
    </w:p>
    <w:p>
      <w:pPr>
        <w:pStyle w:val="ListParagraph"/>
        <w:numPr>
          <w:ilvl w:val="0"/>
          <w:numId w:val="2"/>
        </w:numPr>
      </w:pPr>
      <w:r>
        <w:rPr>
          <w:b/>
          <w:bCs/>
        </w:rPr>
        <w:t xml:space="preserve">Sept. 2026 : </w:t>
      </w:r>
      <w:r>
        <w:t xml:space="preserve">réception obligatoire pour toutes les entreprises + émission pour GE et ETI</w:t>
      </w:r>
    </w:p>
    <w:p>
      <w:pPr>
        <w:pStyle w:val="ListParagraph"/>
        <w:numPr>
          <w:ilvl w:val="0"/>
          <w:numId w:val="2"/>
        </w:numPr>
        <w:spacing w:after="200"/>
      </w:pPr>
      <w:r>
        <w:rPr>
          <w:b/>
          <w:bCs/>
        </w:rPr>
        <w:t xml:space="preserve">Sept. 2027 : </w:t>
      </w:r>
      <w:r>
        <w:t xml:space="preserve">émission obligatoire pour TPE, PME et micro-entreprises</w:t>
      </w:r>
    </w:p>
    <w:p>
      <w:pPr>
        <w:pStyle w:val="Heading1"/>
      </w:pPr>
      <w:r>
        <w:t xml:space="preserve">8. Questions à valider avec l'expert-comptable</w:t>
      </w:r>
    </w:p>
    <w:p>
      <w:pPr>
        <w:pStyle w:val="ListParagraph"/>
        <w:numPr>
          <w:ilvl w:val="0"/>
          <w:numId w:val="3"/>
        </w:numPr>
      </w:pPr>
      <w:r>
        <w:t xml:space="preserve">Validation du schéma de facturation à 3 factures dans le cadre du statut mandataire.</w:t>
      </w:r>
    </w:p>
    <w:p>
      <w:pPr>
        <w:pStyle w:val="ListParagraph"/>
        <w:numPr>
          <w:ilvl w:val="0"/>
          <w:numId w:val="3"/>
        </w:numPr>
      </w:pPr>
      <w:r>
        <w:t xml:space="preserve">Rédaction juridique du mandat de facturation (clause CGU prestataire).</w:t>
      </w:r>
    </w:p>
    <w:p>
      <w:pPr>
        <w:pStyle w:val="ListParagraph"/>
        <w:numPr>
          <w:ilvl w:val="0"/>
          <w:numId w:val="3"/>
        </w:numPr>
      </w:pPr>
      <w:r>
        <w:t xml:space="preserve">Traitement comptable des flux Stripe Connect (compte d'attente, rapprochement bancaire).</w:t>
      </w:r>
    </w:p>
    <w:p>
      <w:pPr>
        <w:pStyle w:val="ListParagraph"/>
        <w:numPr>
          <w:ilvl w:val="0"/>
          <w:numId w:val="3"/>
        </w:numPr>
      </w:pPr>
      <w:r>
        <w:t xml:space="preserve">Gestion de la TVA pour les prestataires en franchise de base vs assujettis.</w:t>
      </w:r>
    </w:p>
    <w:p>
      <w:pPr>
        <w:pStyle w:val="ListParagraph"/>
        <w:numPr>
          <w:ilvl w:val="0"/>
          <w:numId w:val="3"/>
        </w:numPr>
      </w:pPr>
      <w:r>
        <w:t xml:space="preserve">Autoliquidation de TVA sur les frais Stripe (prestataire irlandais).</w:t>
      </w:r>
    </w:p>
    <w:p>
      <w:pPr>
        <w:pStyle w:val="ListParagraph"/>
        <w:numPr>
          <w:ilvl w:val="0"/>
          <w:numId w:val="3"/>
        </w:numPr>
      </w:pPr>
      <w:r>
        <w:t xml:space="preserve">Choix de la Plateforme Agréée pour la conformité e-invoicing.</w:t>
      </w:r>
    </w:p>
    <w:p>
      <w:pPr>
        <w:pStyle w:val="ListParagraph"/>
        <w:numPr>
          <w:ilvl w:val="0"/>
          <w:numId w:val="3"/>
        </w:numPr>
      </w:pPr>
      <w:r>
        <w:t xml:space="preserve">Périodicité de la facture de commission prestataire (mensuelle vs par transaction).</w:t>
      </w:r>
    </w:p>
    <w:p>
      <w:pPr>
        <w:pStyle w:val="ListParagraph"/>
        <w:numPr>
          <w:ilvl w:val="0"/>
          <w:numId w:val="3"/>
        </w:numPr>
        <w:spacing w:after="400"/>
      </w:pPr>
      <w:r>
        <w:t xml:space="preserve">Obligations déclaratives annuelles (récapitulatif des sommes perçues par vendeur, transmission à l'administration fiscale avant le 31 janvier N+1).</w:t>
      </w:r>
    </w:p>
    <w:p>
      <w:pPr>
        <w:spacing w:before="400"/>
        <w:jc w:val="center"/>
      </w:pPr>
      <w:r>
        <w:rPr>
          <w:color w:val="CCCCCC"/>
          <w:sz w:val="20"/>
          <w:szCs w:val="20"/>
        </w:rPr>
        <w:t xml:space="preserve">—</w:t>
      </w:r>
    </w:p>
    <w:p>
      <w:pPr>
        <w:spacing w:after="200"/>
        <w:jc w:val="center"/>
      </w:pPr>
      <w:r>
        <w:rPr>
          <w:i/>
          <w:iCs/>
          <w:color w:val="999999"/>
          <w:sz w:val="18"/>
          <w:szCs w:val="18"/>
        </w:rPr>
        <w:t xml:space="preserve">Document préparé par Maxime — Altio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2026-03-21T09:44:30.667Z</dcterms:created>
  <dcterms:modified xsi:type="dcterms:W3CDTF">2026-03-21T09:44:30.668Z</dcterms:modified>
</cp:coreProperties>
</file>

<file path=docProps/custom.xml><?xml version="1.0" encoding="utf-8"?>
<Properties xmlns="http://schemas.openxmlformats.org/officeDocument/2006/custom-properties" xmlns:vt="http://schemas.openxmlformats.org/officeDocument/2006/docPropsVTypes"/>
</file>