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60" w:line="276" w:lineRule="auto"/>
        <w:jc w:val="center"/>
      </w:pPr>
      <w:r>
        <w:rPr>
          <w:rFonts w:ascii="Open Sans" w:hAnsi="Open Sans" w:cs="Open Sans"/>
          <w:b/>
          <w:bCs/>
          <w:color w:val="A6192E"/>
          <w:sz w:val="34"/>
          <w:szCs w:val="34"/>
        </w:rPr>
        <w:t xml:space="preserve">Capstone Checkpoint 4.1: Tree-of-Thought Reasoning</w:t>
      </w:r>
    </w:p>
    <w:p>
      <w:pPr>
        <w:spacing w:after="60" w:line="276" w:lineRule="auto"/>
        <w:jc w:val="center"/>
      </w:pPr>
      <w:r>
        <w:rPr>
          <w:rFonts w:ascii="Open Sans" w:hAnsi="Open Sans" w:cs="Open Sans"/>
          <w:b/>
          <w:bCs/>
          <w:color w:val="A6192E"/>
          <w:sz w:val="26"/>
          <w:szCs w:val="26"/>
        </w:rPr>
        <w:t xml:space="preserve">Thesis Check: Choosing the Right Claims Before Testing Them</w:t>
      </w:r>
    </w:p>
    <w:p>
      <w:pPr>
        <w:spacing w:after="240" w:line="276" w:lineRule="auto"/>
        <w:jc w:val="center"/>
      </w:pPr>
      <w:r>
        <w:rPr>
          <w:rFonts w:ascii="Open Sans" w:hAnsi="Open Sans" w:cs="Open Sans"/>
          <w:b w:val="0"/>
          <w:color w:val="404040"/>
          <w:sz w:val="21"/>
          <w:szCs w:val="21"/>
        </w:rPr>
        <w:t xml:space="preserve">Mohit Sachdeva  |  Agentic AI Program  |  October 2026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1. Is ToT appropriate?</w:t>
      </w:r>
    </w:p>
    <w:p>
      <w:pPr>
        <w:spacing w:after="12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Yes, in one step only: when the Thesis Analyst turns the investor’s thesis into testable claims. Everywhere else, ToT would add cost without improving accuracy.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Rule: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explore alternatives only where (1) an early wrong choice is expensive, (2) no later step can catch it, and (3) candidates can be scored cheaply before committing.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Claim decomposition is the only step that meets all three.</w:t>
      </w:r>
    </w:p>
    <w:tbl>
      <w:tblPr>
        <w:tblW w:w="9746" w:type="dxa"/>
        <w:tblBorders>
          <w:top w:val="single" w:sz="4" w:space="0" w:color="D0C4C6"/>
          <w:left w:val="single" w:sz="4" w:space="0" w:color="D0C4C6"/>
          <w:bottom w:val="single" w:sz="4" w:space="0" w:color="D0C4C6"/>
          <w:right w:val="single" w:sz="4" w:space="0" w:color="D0C4C6"/>
          <w:insideH w:val="single" w:sz="4" w:space="0" w:color="D0C4C6"/>
          <w:insideV w:val="single" w:sz="4" w:space="0" w:color="D0C4C6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946"/>
      </w:tblGrid>
      <w:tr>
        <w:trPr>
          <w:cantSplit/>
          <w:tblHeader/>
        </w:trPr>
        <w:tc>
          <w:tcPr>
            <w:tcW w:w="29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w="9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ToT?</w:t>
            </w:r>
          </w:p>
        </w:tc>
        <w:tc>
          <w:tcPr>
            <w:tcW w:w="5946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Thesis Analyst: claim decomposition</w:t>
            </w:r>
          </w:p>
        </w:tc>
        <w:tc>
          <w:tcPr>
            <w:tcW w:w="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59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Every later step inherits the claims; nothing sends them back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Filing Researcher, Financial Data Analyst</w:t>
            </w:r>
          </w:p>
        </w:tc>
        <w:tc>
          <w:tcPr>
            <w:tcW w:w="9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59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ReAct already adapts to each search result; a miss ends as “insufficient evidence”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Bull and Bear Advocates</w:t>
            </w:r>
          </w:p>
        </w:tc>
        <w:tc>
          <w:tcPr>
            <w:tcW w:w="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59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Searching for the most persuasive argument rewards rhetoric, not truth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Fact-Checker</w:t>
            </w:r>
          </w:p>
        </w:tc>
        <w:tc>
          <w:tcPr>
            <w:tcW w:w="9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59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A number matches its source or it doesn’t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Supervisor and verdict rubric</w:t>
            </w:r>
          </w:p>
        </w:tc>
        <w:tc>
          <w:tcPr>
            <w:tcW w:w="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59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 same filing must give the same verdict, at a bounded cost</w:t>
            </w:r>
          </w:p>
        </w:tc>
      </w:tr>
    </w:tbl>
    <w:p>
      <w:pPr>
        <w:spacing w:after="0" w:line="160" w:lineRule="exact"/>
      </w:pP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2. Where ToT is used, and why a linear chain fails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ToT runs inside the Thesis Analyst, after the investor enters a thesis and before they confirm the claims (Figure 1).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It picks the best set of 3–5 testable claims.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It runs once per thesis. Quarterly re-checks reuse the confirmed claims.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6126480" cy="5483200"/>
            <wp:effectExtent l="0" t="0" r="0" b="0"/>
            <wp:docPr id="901" name="System design" descr="Thesis Check system design, updated for Checkpoint 4.1: ToT claim search inside the Thesis Analy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System design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Open Sans" w:hAnsi="Open Sans" w:cs="Open Sans"/>
          <w:b w:val="0"/>
          <w:i/>
          <w:iCs/>
          <w:color w:val="595959"/>
          <w:sz w:val="17"/>
          <w:szCs w:val="17"/>
        </w:rPr>
        <w:t xml:space="preserve">Figure 1. Thesis Check system design, with ToT claim search inside the Thesis Analyst.</w:t>
      </w:r>
    </w:p>
    <w:p>
      <w:pPr>
        <w:spacing w:after="12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Take Priya’s thesis: “AI demand will keep gross margins above 60%.” A linear chain of thought fails in three ways: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Premature commitment.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It fixes the meaning of “keep” in its first step. If it reads “keep” as last quarter’s margin, it never adds a claim on management’s outlook, so the claims can pass even after guidance drops below 60%. No later step catches this: the Fact-Checker checks evidence, not the choice of claims, and rework goes to the evidence agents. The investor confirming the claims is the person whose bias the product exists to counter.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High branching.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“AI demand,” “margins” and “keep” each have several valid meanings, giving roughly 30 combinations.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Constraint complexity.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A valid claim set must satisfy six rules at once, and a linear chain finds violations only after the research budget is spent: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3–5 claims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each testable from </w:t>
      </w:r>
      <w:r>
        <w:rPr>
          <w:rFonts w:ascii="Open Sans" w:hAnsi="Open Sans" w:cs="Open Sans"/>
          <w:b w:val="0"/>
          <w:i/>
          <w:iCs/>
          <w:color w:val="000000"/>
          <w:sz w:val="21"/>
          <w:szCs w:val="21"/>
        </w:rPr>
        <w:t xml:space="preserve">this company’s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SEC data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no price-based claims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the investor’s numbers unchanged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no duplicate measures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at least one claim that could fail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3. ToT structure</w:t>
      </w:r>
    </w:p>
    <w:tbl>
      <w:tblPr>
        <w:tblW w:w="9746" w:type="dxa"/>
        <w:tblBorders>
          <w:top w:val="single" w:sz="4" w:space="0" w:color="D0C4C6"/>
          <w:left w:val="single" w:sz="4" w:space="0" w:color="D0C4C6"/>
          <w:bottom w:val="single" w:sz="4" w:space="0" w:color="D0C4C6"/>
          <w:right w:val="single" w:sz="4" w:space="0" w:color="D0C4C6"/>
          <w:insideH w:val="single" w:sz="4" w:space="0" w:color="D0C4C6"/>
          <w:insideV w:val="single" w:sz="4" w:space="0" w:color="D0C4C6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>
        <w:trPr>
          <w:cantSplit/>
          <w:tblHeader/>
        </w:trPr>
        <w:tc>
          <w:tcPr>
            <w:tcW w:w="22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w="7546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Thought</w:t>
            </w:r>
          </w:p>
        </w:tc>
        <w:tc>
          <w:tcPr>
            <w:tcW w:w="75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One decision about making the thesis testable: how to read it, or how to measure it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Node (reasoning state)</w:t>
            </w:r>
          </w:p>
        </w:tc>
        <w:tc>
          <w:tcPr>
            <w:tcW w:w="75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 root plus the thoughts on its path, stored as an immutable record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w="75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Thesis, ticker, clarifying answers, and the thresholds the investor stated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Depth 1</w:t>
            </w:r>
          </w:p>
        </w:tc>
        <w:tc>
          <w:tcPr>
            <w:tcW w:w="75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reading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: the thesis as a cause-and-effect chain, e.g., AI demand → data-center sales → richer mix → gross margin ≥ 60%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Depth 2 (leaf)</w:t>
            </w:r>
          </w:p>
        </w:tc>
        <w:tc>
          <w:tcPr>
            <w:tcW w:w="75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claim set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: 3–5 claims, each with a metric, threshold, period and source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w="75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An alternative reading, or an alternative claim set for the same reading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Branching factor</w:t>
            </w:r>
          </w:p>
        </w:tc>
        <w:tc>
          <w:tcPr>
            <w:tcW w:w="75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3 children per node; the beam keeps 2 readings, so at most 9 nodes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Depth limit</w:t>
            </w:r>
          </w:p>
        </w:tc>
        <w:tc>
          <w:tcPr>
            <w:tcW w:w="75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2: a leaf is a complete claim set</w:t>
            </w:r>
          </w:p>
        </w:tc>
      </w:tr>
    </w:tbl>
    <w:p>
      <w:pPr>
        <w:spacing w:after="0" w:line="160" w:lineRule="exact"/>
      </w:pP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Termination: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The search stops when the depth-2 claim sets are scored. The top-scoring set goes to the investor for confirmation.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It stops early if the budget runs out (it then shows the best set so far) or if no candidate survives (Section 5).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4. Search strategy: beam search, width 2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Compares readings side by side and drops weak ones before spending calls on them.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Has a fixed, predictable cost.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Width 2 keeps a backup reading in case the critic misjudges the first.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The generator proposes 3 distinct siblings in one call at temperature 0, so the same thesis gives nearly the same tree.</w:t>
      </w:r>
    </w:p>
    <w:tbl>
      <w:tblPr>
        <w:tblW w:w="9746" w:type="dxa"/>
        <w:tblBorders>
          <w:top w:val="single" w:sz="4" w:space="0" w:color="D0C4C6"/>
          <w:left w:val="single" w:sz="4" w:space="0" w:color="D0C4C6"/>
          <w:bottom w:val="single" w:sz="4" w:space="0" w:color="D0C4C6"/>
          <w:right w:val="single" w:sz="4" w:space="0" w:color="D0C4C6"/>
          <w:insideH w:val="single" w:sz="4" w:space="0" w:color="D0C4C6"/>
          <w:insideV w:val="single" w:sz="4" w:space="0" w:color="D0C4C6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1900"/>
        <w:gridCol w:w="2000"/>
        <w:gridCol w:w="2246"/>
      </w:tblGrid>
      <w:tr>
        <w:trPr>
          <w:cantSplit/>
          <w:tblHeader/>
        </w:trPr>
        <w:tc>
          <w:tcPr>
            <w:tcW w:w="15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w="21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Compute</w:t>
            </w:r>
          </w:p>
        </w:tc>
        <w:tc>
          <w:tcPr>
            <w:tcW w:w="19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w="20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w="2246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Beam (chosen)</w:t>
            </w:r>
          </w:p>
        </w:tc>
        <w:tc>
          <w:tcPr>
            <w:tcW w:w="21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Fixed: 9 nodes, 12 LLM calls</w:t>
            </w:r>
          </w:p>
        </w:tc>
        <w:tc>
          <w:tcPr>
            <w:tcW w:w="1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4 rounds, parallel within a level</w:t>
            </w:r>
          </w:p>
        </w:tc>
        <w:tc>
          <w:tcPr>
            <w:tcW w:w="2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Low: keep the top 2 per level</w:t>
            </w:r>
          </w:p>
        </w:tc>
        <w:tc>
          <w:tcPr>
            <w:tcW w:w="22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Best balance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BFS</w:t>
            </w:r>
          </w:p>
        </w:tc>
        <w:tc>
          <w:tcPr>
            <w:tcW w:w="21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16 calls, grows with every reading</w:t>
            </w:r>
          </w:p>
        </w:tc>
        <w:tc>
          <w:tcPr>
            <w:tcW w:w="19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4 rounds</w:t>
            </w:r>
          </w:p>
        </w:tc>
        <w:tc>
          <w:tcPr>
            <w:tcW w:w="20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Lowest</w:t>
            </w:r>
          </w:p>
        </w:tc>
        <w:tc>
          <w:tcPr>
            <w:tcW w:w="22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Expands readings already known to be weak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DFS</w:t>
            </w:r>
          </w:p>
        </w:tc>
        <w:tc>
          <w:tcPr>
            <w:tcW w:w="21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6 to 16 calls, unpredictable</w:t>
            </w:r>
          </w:p>
        </w:tc>
        <w:tc>
          <w:tcPr>
            <w:tcW w:w="19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Up to 8 rounds</w:t>
            </w:r>
          </w:p>
        </w:tc>
        <w:tc>
          <w:tcPr>
            <w:tcW w:w="2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Medium: backtracking and a stop rule</w:t>
            </w:r>
          </w:p>
        </w:tc>
        <w:tc>
          <w:tcPr>
            <w:tcW w:w="22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Commits to the first reading: the failure ToT fixes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Monte Carlo</w:t>
            </w:r>
          </w:p>
        </w:tc>
        <w:tc>
          <w:tcPr>
            <w:tcW w:w="21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Dozens of rollouts</w:t>
            </w:r>
          </w:p>
        </w:tc>
        <w:tc>
          <w:tcPr>
            <w:tcW w:w="19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Many sequential rounds</w:t>
            </w:r>
          </w:p>
        </w:tc>
        <w:tc>
          <w:tcPr>
            <w:tcW w:w="20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High: rollouts and value backup</w:t>
            </w:r>
          </w:p>
        </w:tc>
        <w:tc>
          <w:tcPr>
            <w:tcW w:w="22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Built for deep trees; adds variance here</w:t>
            </w:r>
          </w:p>
        </w:tc>
      </w:tr>
    </w:tbl>
    <w:p>
      <w:pPr>
        <w:spacing w:after="0" w:line="160" w:lineRule="exact"/>
      </w:pP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Budget: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At most 14 LLM calls, 20 tool probes and about 30k tokens.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Target latency is under 20 seconds.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ToT stays only if it beats a single linear decomposition on the golden test set.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5. Evaluation and pruning</w:t>
      </w: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Who evaluates.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The evaluator sits inside the Thesis Analyst and has two parts: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Gates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: code and tool checks.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Claim Critic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: a separate LLM prompt at temperature 0.</w:t>
      </w:r>
    </w:p>
    <w:p>
      <w:pPr>
        <w:spacing w:after="12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A deterministic decision maker then applies the thresholds below.</w:t>
      </w:r>
    </w:p>
    <w:tbl>
      <w:tblPr>
        <w:tblW w:w="9746" w:type="dxa"/>
        <w:tblBorders>
          <w:top w:val="single" w:sz="4" w:space="0" w:color="D0C4C6"/>
          <w:left w:val="single" w:sz="4" w:space="0" w:color="D0C4C6"/>
          <w:bottom w:val="single" w:sz="4" w:space="0" w:color="D0C4C6"/>
          <w:right w:val="single" w:sz="4" w:space="0" w:color="D0C4C6"/>
          <w:insideH w:val="single" w:sz="4" w:space="0" w:color="D0C4C6"/>
          <w:insideV w:val="single" w:sz="4" w:space="0" w:color="D0C4C6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6146"/>
        <w:gridCol w:w="1800"/>
      </w:tblGrid>
      <w:tr>
        <w:trPr>
          <w:cantSplit/>
          <w:tblHeader/>
        </w:trPr>
        <w:tc>
          <w:tcPr>
            <w:tcW w:w="18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w="6146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w="18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Done by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Well-formed</w:t>
            </w:r>
          </w:p>
        </w:tc>
        <w:tc>
          <w:tcPr>
            <w:tcW w:w="61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Metric, threshold, period and source present</w:t>
            </w:r>
          </w:p>
        </w:tc>
        <w:tc>
          <w:tcPr>
            <w:tcW w:w="18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Pydantic schema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 price claims</w:t>
            </w:r>
          </w:p>
        </w:tc>
        <w:tc>
          <w:tcPr>
            <w:tcW w:w="61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 stock price, valuation multiple or price target</w:t>
            </w:r>
          </w:p>
        </w:tc>
        <w:tc>
          <w:tcPr>
            <w:tcW w:w="18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Rule check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Numbers kept</w:t>
            </w:r>
          </w:p>
        </w:tc>
        <w:tc>
          <w:tcPr>
            <w:tcW w:w="61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 investor’s thresholds appear unchanged</w:t>
            </w:r>
          </w:p>
        </w:tc>
        <w:tc>
          <w:tcPr>
            <w:tcW w:w="18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Testable</w:t>
            </w:r>
          </w:p>
        </w:tc>
        <w:tc>
          <w:tcPr>
            <w:tcW w:w="61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 XBRL concept has values for the needed periods, or </w:t>
            </w:r>
            <w:r>
              <w:rPr>
                <w:rFonts w:ascii="Consolas" w:hAnsi="Consolas" w:cs="Consolas"/>
                <w:b w:val="0"/>
                <w:color w:val="000000"/>
                <w:sz w:val="16"/>
                <w:szCs w:val="16"/>
              </w:rPr>
              <w:t xml:space="preserve">search_filings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finds a passage for that period</w:t>
            </w:r>
          </w:p>
        </w:tc>
        <w:tc>
          <w:tcPr>
            <w:tcW w:w="18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Tool probes</w:t>
            </w:r>
          </w:p>
        </w:tc>
      </w:tr>
    </w:tbl>
    <w:p>
      <w:pPr>
        <w:spacing w:after="0" w:line="160" w:lineRule="exact"/>
      </w:pP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Probes return only “found” or “not found,” never values. Otherwise the search could pick claims whose result it already knows.</w:t>
      </w:r>
    </w:p>
    <w:tbl>
      <w:tblPr>
        <w:tblW w:w="9746" w:type="dxa"/>
        <w:tblBorders>
          <w:top w:val="single" w:sz="4" w:space="0" w:color="D0C4C6"/>
          <w:left w:val="single" w:sz="4" w:space="0" w:color="D0C4C6"/>
          <w:bottom w:val="single" w:sz="4" w:space="0" w:color="D0C4C6"/>
          <w:right w:val="single" w:sz="4" w:space="0" w:color="D0C4C6"/>
          <w:insideH w:val="single" w:sz="4" w:space="0" w:color="D0C4C6"/>
          <w:insideV w:val="single" w:sz="4" w:space="0" w:color="D0C4C6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6746"/>
      </w:tblGrid>
      <w:tr>
        <w:trPr>
          <w:cantSplit/>
          <w:tblHeader/>
        </w:trPr>
        <w:tc>
          <w:tcPr>
            <w:tcW w:w="20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w="10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w="6746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Scores 5 when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Faithful</w:t>
            </w:r>
          </w:p>
        </w:tc>
        <w:tc>
          <w:tcPr>
            <w:tcW w:w="1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w="67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It tests the belief as stated, with the investor’s metric and time frame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Covers the chain</w:t>
            </w:r>
          </w:p>
        </w:tc>
        <w:tc>
          <w:tcPr>
            <w:tcW w:w="10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w="67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Every link from driver to outcome has a claim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Could fail</w:t>
            </w:r>
          </w:p>
        </w:tc>
        <w:tc>
          <w:tcPr>
            <w:tcW w:w="1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w="67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At least one claim could fail on the next filing (a check against bias)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Distinct</w:t>
            </w:r>
          </w:p>
        </w:tc>
        <w:tc>
          <w:tcPr>
            <w:tcW w:w="10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w="674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 two claims measure the same thing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w="10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w="674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The investor can confirm it in one read</w:t>
            </w:r>
          </w:p>
        </w:tc>
      </w:tr>
    </w:tbl>
    <w:p>
      <w:pPr>
        <w:spacing w:after="0" w:line="160" w:lineRule="exact"/>
      </w:pP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The critic scores each criterion from 1 to 5. Readings at depth 1 are scored on Faithful (60%) and Covers the chain (40%).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It sees only the thesis and one candidate. It never sees the generator’s reasoning, the other candidates or the investor’s past edits.</w:t>
      </w: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Pruning: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A claim that fails a gate is dropped.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Depth 1: a reading is pruned if it is price-based or scores Faithful &lt; 3. The top 2 survivors move on.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Depth 2: a claim set is pruned if fewer than 3 claims remain, its outcome claim is lost, it scores Faithful &lt; 3, or its total score is below 3.5.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If nothing survives, the analyst asks one clarifying question and reruns once. If nothing survives again, the result is “Untestable as stated.”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If the critic’s output is invalid twice, the system falls back to one linear decomposition through the same gates.</w:t>
      </w: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Ties (scores within 0.25):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Different readings: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the investor picks one of the two at the confirmation step.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Same reading: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a fixed order decides: more claims backed by XBRL data, then a higher “Could fail” score, then fewer claims.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6. ToT in action</w:t>
      </w:r>
    </w:p>
    <w:p>
      <w:pPr>
        <w:spacing w:after="120" w:line="276" w:lineRule="auto"/>
      </w:pPr>
      <w:r>
        <w:rPr>
          <w:rFonts w:ascii="Open Sans" w:hAnsi="Open Sans" w:cs="Open Sans"/>
          <w:b w:val="0"/>
          <w:i/>
          <w:iCs/>
          <w:color w:val="595959"/>
          <w:sz w:val="18"/>
          <w:szCs w:val="18"/>
        </w:rPr>
        <w:t xml:space="preserve">(Illustrative; scores are hypothetical.)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Linear chain: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“gross margin above 60% last quarter; revenue growing; management positive on AI.” It misses guidance, and its third claim can’t fail. It says Intact even when guidance falls to 58%.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ToT: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Keeps two readings: mix shift (4.6) and pricing power (4.4).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Prunes “guidance only” (3.0).</w:t>
      </w:r>
    </w:p>
    <w:p>
      <w:pPr>
        <w:numPr>
          <w:ilvl w:val="1"/>
          <w:numId w:val="2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Drops an “AI accelerator revenue” claim, which isn’t reported, and a stock-price claim, which fails a gate.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Selected set (4.55):</w:t>
      </w: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 data-center growth, gross margin ≥ 60% and next-quarter outlook ≥ 60%. The outlook claim comes back Broken.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7. Mapping ToT roles to tools</w:t>
      </w:r>
    </w:p>
    <w:tbl>
      <w:tblPr>
        <w:tblW w:w="9746" w:type="dxa"/>
        <w:tblBorders>
          <w:top w:val="single" w:sz="4" w:space="0" w:color="D0C4C6"/>
          <w:left w:val="single" w:sz="4" w:space="0" w:color="D0C4C6"/>
          <w:bottom w:val="single" w:sz="4" w:space="0" w:color="D0C4C6"/>
          <w:right w:val="single" w:sz="4" w:space="0" w:color="D0C4C6"/>
          <w:insideH w:val="single" w:sz="4" w:space="0" w:color="D0C4C6"/>
          <w:insideV w:val="single" w:sz="4" w:space="0" w:color="D0C4C6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650"/>
        <w:gridCol w:w="3100"/>
        <w:gridCol w:w="2496"/>
        <w:gridCol w:w="2500"/>
      </w:tblGrid>
      <w:tr>
        <w:trPr>
          <w:cantSplit/>
          <w:tblHeader/>
        </w:trPr>
        <w:tc>
          <w:tcPr>
            <w:tcW w:w="165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31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LangChain / LangGraph</w:t>
            </w:r>
          </w:p>
        </w:tc>
        <w:tc>
          <w:tcPr>
            <w:tcW w:w="2496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MCP</w:t>
            </w:r>
          </w:p>
        </w:tc>
        <w:tc>
          <w:tcPr>
            <w:tcW w:w="2500" w:type="dxa"/>
            <w:shd w:val="clear" w:color="auto" w:fill="A6192E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FFFFFF"/>
                <w:sz w:val="18"/>
                <w:szCs w:val="18"/>
              </w:rPr>
              <w:t xml:space="preserve">CrewAI (evaluated)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Thought Generator</w:t>
            </w:r>
          </w:p>
        </w:tc>
        <w:tc>
          <w:tcPr>
            <w:tcW w:w="31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An LCEL chain with Pydantic output, run from a LangGraph node</w:t>
            </w:r>
          </w:p>
        </w:tc>
        <w:tc>
          <w:tcPr>
            <w:tcW w:w="249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Reads confirmed claims and past edits from the thesis store</w:t>
            </w:r>
          </w:p>
        </w:tc>
        <w:tc>
          <w:tcPr>
            <w:tcW w:w="25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Could be an </w:t>
            </w:r>
            <w:r>
              <w:rPr>
                <w:rFonts w:ascii="Consolas" w:hAnsi="Consolas" w:cs="Consolas"/>
                <w:b w:val="0"/>
                <w:color w:val="000000"/>
                <w:sz w:val="16"/>
                <w:szCs w:val="16"/>
              </w:rPr>
              <w:t xml:space="preserve">Agent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; not needed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Critic / evaluator</w:t>
            </w:r>
          </w:p>
        </w:tc>
        <w:tc>
          <w:tcPr>
            <w:tcW w:w="31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A separate LCEL chain for scores; gates as Python</w:t>
            </w:r>
          </w:p>
        </w:tc>
        <w:tc>
          <w:tcPr>
            <w:tcW w:w="249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XBRL and </w:t>
            </w:r>
            <w:r>
              <w:rPr>
                <w:rFonts w:ascii="Consolas" w:hAnsi="Consolas" w:cs="Consolas"/>
                <w:b w:val="0"/>
                <w:color w:val="000000"/>
                <w:sz w:val="16"/>
                <w:szCs w:val="16"/>
              </w:rPr>
              <w:t xml:space="preserve">search_filings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probes, shared with the evidence agents</w:t>
            </w:r>
          </w:p>
        </w:tc>
        <w:tc>
          <w:tcPr>
            <w:tcW w:w="25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Could be an </w:t>
            </w:r>
            <w:r>
              <w:rPr>
                <w:rFonts w:ascii="Consolas" w:hAnsi="Consolas" w:cs="Consolas"/>
                <w:b w:val="0"/>
                <w:color w:val="000000"/>
                <w:sz w:val="16"/>
                <w:szCs w:val="16"/>
              </w:rPr>
              <w:t xml:space="preserve">Agent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; shared crew memory would break the critic’s isolation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Decision maker</w:t>
            </w:r>
          </w:p>
        </w:tc>
        <w:tc>
          <w:tcPr>
            <w:tcW w:w="31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A LangGraph subgraph: generate → gate → score → prune, with budget counters and the confirmation interrupt</w:t>
            </w:r>
          </w:p>
        </w:tc>
        <w:tc>
          <w:tcPr>
            <w:tcW w:w="2496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Not used</w:t>
            </w:r>
          </w:p>
        </w:tc>
        <w:tc>
          <w:tcPr>
            <w:tcW w:w="2500" w:type="dxa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Not suitable: a manager LLM would choose the next step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State manager</w:t>
            </w:r>
          </w:p>
        </w:tc>
        <w:tc>
          <w:tcPr>
            <w:tcW w:w="31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Immutable nodes in LangGraph state, with a SQLite checkpointer</w:t>
            </w:r>
          </w:p>
        </w:tc>
        <w:tc>
          <w:tcPr>
            <w:tcW w:w="2496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 xml:space="preserve">Used.</w:t>
            </w: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 The thesis store keeps confirmed claims for re-checks</w:t>
            </w:r>
          </w:p>
        </w:tc>
        <w:tc>
          <w:tcPr>
            <w:tcW w:w="2500" w:type="dxa"/>
            <w:shd w:val="clear" w:color="auto" w:fill="F8F3F4"/>
          </w:tcPr>
          <w:p>
            <w:pPr>
              <w:spacing w:after="40" w:line="252" w:lineRule="auto"/>
            </w:pPr>
            <w:r>
              <w:rPr>
                <w:rFonts w:ascii="Open Sans" w:hAnsi="Open Sans" w:cs="Open Sans"/>
                <w:b w:val="0"/>
                <w:color w:val="000000"/>
                <w:sz w:val="18"/>
                <w:szCs w:val="18"/>
              </w:rPr>
              <w:t xml:space="preserve">Not used: it would duplicate state</w:t>
            </w:r>
          </w:p>
        </w:tc>
      </w:tr>
    </w:tbl>
    <w:p>
      <w:pPr>
        <w:spacing w:after="0" w:line="160" w:lineRule="exact"/>
      </w:pP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Why not CrewAI: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Its strengths are delegation between agents and a manager LLM that routes work. Thesis Check’s fixed workflow rules out both.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Role separation already comes from LangGraph nodes with separate prompts and scoped state.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Revisit CrewAI if defining all eight agents in LangGraph proves clumsy.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8. Risk and mitigation</w:t>
      </w: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Risk: weak evaluation signals prune the best branch too early.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Beam cuts are final.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The critic infers what the investor meant from one sentence, and may prefer the most common or most fluent reading.</w:t>
      </w:r>
    </w:p>
    <w:p>
      <w:pPr>
        <w:spacing w:after="120" w:line="276" w:lineRule="auto"/>
      </w:pPr>
      <w:r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Mitigation: the critic ranks but rarely cuts, and is calibrated first.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Only objective checks cut outright: the gates and clear misreadings (Faithful &lt; 3).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A beam width of 2 keeps a backup reading, and near-ties go to the investor.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Before go-live, ToT is calibrated on about 20 golden theses: the reference reading must survive depth 1 at least 90% of the time.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Every pruned branch is logged with its score and reason.</w:t>
      </w:r>
    </w:p>
    <w:p>
      <w:pPr>
        <w:keepNext/>
        <w:pBdr>
          <w:bottom w:val="single" w:sz="6" w:space="2" w:color="A6192E"/>
        </w:pBdr>
        <w:spacing w:before="280" w:after="100"/>
      </w:pPr>
      <w:r>
        <w:rPr>
          <w:rFonts w:ascii="Open Sans" w:hAnsi="Open Sans" w:cs="Open Sans"/>
          <w:b/>
          <w:bCs/>
          <w:color w:val="A6192E"/>
          <w:sz w:val="25"/>
          <w:szCs w:val="25"/>
        </w:rPr>
        <w:t xml:space="preserve">9. Project repository</w:t>
      </w:r>
    </w:p>
    <w:p>
      <w:pPr>
        <w:spacing w:after="12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Repository: </w:t>
      </w:r>
      <w:hyperlink r:id="rId201" w:history="1">
        <w:r>
          <w:rPr>
            <w:rStyle w:val="Hyperlink"/>
            <w:rFonts w:ascii="Open Sans" w:hAnsi="Open Sans" w:cs="Open Sans"/>
            <w:b w:val="0"/>
            <w:sz w:val="21"/>
            <w:szCs w:val="21"/>
          </w:rPr>
          <w:t xml:space="preserve">https://github.com/mosachde/agentic-ai-real-world-capstone-work</w:t>
        </w:r>
      </w:hyperlink>
    </w:p>
    <w:p>
      <w:pPr>
        <w:spacing w:after="120" w:line="276" w:lineRule="auto"/>
      </w:pPr>
      <w:r>
        <w:rPr>
          <w:rFonts w:ascii="Open Sans" w:hAnsi="Open Sans" w:cs="Open Sans"/>
          <w:b w:val="0"/>
          <w:color w:val="000000"/>
          <w:sz w:val="21"/>
          <w:szCs w:val="21"/>
        </w:rPr>
        <w:t xml:space="preserve">This checkpoint: </w:t>
      </w:r>
      <w:hyperlink r:id="rId202" w:history="1">
        <w:r>
          <w:rPr>
            <w:rStyle w:val="Hyperlink"/>
            <w:rFonts w:ascii="Open Sans" w:hAnsi="Open Sans" w:cs="Open Sans"/>
            <w:b w:val="0"/>
            <w:sz w:val="21"/>
            <w:szCs w:val="21"/>
          </w:rPr>
          <w:t xml:space="preserve">https://github.com/mosachde/agentic-ai-real-world-capstone-work/tree/checkpoint-4.1/docs</w:t>
        </w:r>
      </w:hyperlink>
    </w:p>
    <w:sectPr w:rsidR="00C56E26" w:rsidSect="004967C3">
      <w:headerReference w:type="default" r:id="rId15"/>
      <w:footerReference w:type="default" r:id="rId16"/>
      <w:pgSz w:w="11906" w:h="16838"/>
      <w:pgMar w:top="1440" w:right="1080" w:bottom="1440" w:left="1080" w:header="28" w:footer="708" w:gutter="0"/>
      <w:pgNumType w:start="1"/>
      <w:cols w:space="720"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DEC" w:rsidRDefault="00A04DEC">
      <w:pPr>
        <w:spacing w:after="0" w:line="240" w:lineRule="auto"/>
      </w:pPr>
      <w:r>
        <w:separator/>
      </w:r>
    </w:p>
  </w:endnote>
  <w:endnote w:type="continuationSeparator" w:id="0">
    <w:p w:rsidR="00A04DEC" w:rsidRDefault="00A04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3E2E" w:rsidRPr="003B2B25" w:rsidRDefault="007F3E2E" w:rsidP="007F3E2E">
    <w:pPr>
      <w:pStyle w:val="CMU-H1"/>
      <w:rPr>
        <w:color w:val="212121"/>
        <w:sz w:val="22"/>
        <w:szCs w:val="22"/>
      </w:rPr>
    </w:pPr>
    <w:r>
      <w:rPr>
        <w:color w:val="212121"/>
        <w:sz w:val="22"/>
        <w:szCs w:val="22"/>
      </w:rPr>
      <w:t xml:space="preserve">                                                                                                                                                                                   </w:t>
    </w:r>
  </w:p>
  <w:p w:rsidR="002A6ADE" w:rsidRDefault="002E66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Open Sans" w:eastAsia="Open Sans" w:hAnsi="Open Sans" w:cs="Open Sans"/>
        <w:b w:val="0"/>
        <w:color w:val="000000"/>
        <w:sz w:val="20"/>
        <w:szCs w:val="20"/>
      </w:rPr>
    </w:pPr>
    <w:r w:rsidRPr="00B7426E">
      <w:rPr>
        <w:rFonts w:ascii="Open Sans" w:hAnsi="Open Sans" w:cs="Open Sans"/>
        <w:b w:val="0"/>
        <w:color w:val="212121"/>
        <w:sz w:val="20"/>
        <w:szCs w:val="20"/>
      </w:rPr>
      <w:t>Agentic AI</w:t>
    </w:r>
    <w:r w:rsidR="001209FC">
      <w:rPr>
        <w:rFonts w:ascii="Open Sans" w:hAnsi="Open Sans" w:cs="Open Sans"/>
        <w:b w:val="0"/>
        <w:color w:val="212121"/>
        <w:sz w:val="20"/>
        <w:szCs w:val="20"/>
      </w:rPr>
      <w:t xml:space="preserve"> Program</w:t>
    </w:r>
    <w:r w:rsidRPr="00B7426E">
      <w:rPr>
        <w:rFonts w:ascii="Open Sans" w:hAnsi="Open Sans" w:cs="Open Sans"/>
        <w:b w:val="0"/>
        <w:color w:val="212121"/>
        <w:sz w:val="20"/>
        <w:szCs w:val="20"/>
      </w:rPr>
      <w:t>: Building Autonomous Systems for Real-World Applications</w:t>
    </w:r>
    <w:r>
      <w:rPr>
        <w:rFonts w:ascii="Open Sans" w:hAnsi="Open Sans" w:cs="Open Sans"/>
        <w:b w:val="0"/>
        <w:color w:val="212121"/>
        <w:sz w:val="20"/>
        <w:szCs w:val="20"/>
      </w:rPr>
      <w:t xml:space="preserve">        </w: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tab/>
    </w:r>
    <w:r>
      <w:rPr>
        <w:rFonts w:ascii="Open Sans" w:eastAsia="Open Sans" w:hAnsi="Open Sans" w:cs="Open Sans"/>
        <w:b w:val="0"/>
        <w:color w:val="000000"/>
        <w:sz w:val="20"/>
        <w:szCs w:val="20"/>
      </w:rPr>
      <w:t xml:space="preserve">                  </w: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t xml:space="preserve">Page </w: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fldChar w:fldCharType="begin"/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instrText>PAGE</w:instrTex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fldChar w:fldCharType="separate"/>
    </w:r>
    <w:r w:rsidR="00A33945">
      <w:rPr>
        <w:rFonts w:ascii="Open Sans" w:eastAsia="Open Sans" w:hAnsi="Open Sans" w:cs="Open Sans"/>
        <w:b w:val="0"/>
        <w:noProof/>
        <w:color w:val="000000"/>
        <w:sz w:val="20"/>
        <w:szCs w:val="20"/>
      </w:rPr>
      <w:t>1</w: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fldChar w:fldCharType="end"/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t xml:space="preserve"> of </w: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fldChar w:fldCharType="begin"/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instrText>NUMPAGES</w:instrTex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fldChar w:fldCharType="separate"/>
    </w:r>
    <w:r w:rsidR="00A33945">
      <w:rPr>
        <w:rFonts w:ascii="Open Sans" w:eastAsia="Open Sans" w:hAnsi="Open Sans" w:cs="Open Sans"/>
        <w:b w:val="0"/>
        <w:noProof/>
        <w:color w:val="000000"/>
        <w:sz w:val="20"/>
        <w:szCs w:val="20"/>
      </w:rPr>
      <w:t>1</w:t>
    </w:r>
    <w:r w:rsidR="007649FC">
      <w:rPr>
        <w:rFonts w:ascii="Open Sans" w:eastAsia="Open Sans" w:hAnsi="Open Sans" w:cs="Open Sans"/>
        <w:b w:val="0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DEC" w:rsidRDefault="00A04DEC">
      <w:pPr>
        <w:spacing w:after="0" w:line="240" w:lineRule="auto"/>
      </w:pPr>
      <w:r>
        <w:separator/>
      </w:r>
    </w:p>
  </w:footnote>
  <w:footnote w:type="continuationSeparator" w:id="0">
    <w:p w:rsidR="00A04DEC" w:rsidRDefault="00A04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6A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080"/>
      <w:jc w:val="right"/>
      <w:rPr>
        <w:rFonts w:ascii="Calibri" w:hAnsi="Calibri"/>
        <w:color w:val="000000"/>
      </w:rPr>
    </w:pPr>
    <w:r>
      <w:rPr>
        <w:rFonts w:ascii="Calibri" w:hAnsi="Calibri"/>
        <w:noProof/>
        <w:color w:val="000000"/>
      </w:rPr>
      <w:drawing>
        <wp:inline distT="0" distB="0" distL="0" distR="0" wp14:anchorId="66D70AC4" wp14:editId="121A5F0A">
          <wp:extent cx="7595136" cy="610418"/>
          <wp:effectExtent l="0" t="0" r="0" b="0"/>
          <wp:docPr id="40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5136" cy="6104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512"/>
    <w:multiLevelType w:val="multilevel"/>
    <w:tmpl w:val="88628940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023FE1"/>
    <w:multiLevelType w:val="multilevel"/>
    <w:tmpl w:val="C50AA142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0E103C"/>
    <w:multiLevelType w:val="hybridMultilevel"/>
    <w:tmpl w:val="3A843262"/>
    <w:lvl w:ilvl="0" w:tplc="6B40D5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54AC6"/>
    <w:multiLevelType w:val="hybridMultilevel"/>
    <w:tmpl w:val="2D28A9E6"/>
    <w:lvl w:ilvl="0" w:tplc="7A9ACC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B6D23"/>
    <w:multiLevelType w:val="multilevel"/>
    <w:tmpl w:val="3C2A8986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B21049"/>
    <w:multiLevelType w:val="multilevel"/>
    <w:tmpl w:val="E4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390C"/>
    <w:multiLevelType w:val="multilevel"/>
    <w:tmpl w:val="81762AD4"/>
    <w:lvl w:ilvl="0">
      <w:start w:val="1"/>
      <w:numFmt w:val="bullet"/>
      <w:lvlText w:val="•"/>
      <w:lvlJc w:val="left"/>
      <w:pPr>
        <w:ind w:left="1080" w:hanging="720"/>
      </w:pPr>
      <w:rPr>
        <w:rFonts w:ascii="Open Sans" w:eastAsia="Open Sans" w:hAnsi="Open Sans" w:cs="Open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D18641A"/>
    <w:multiLevelType w:val="multilevel"/>
    <w:tmpl w:val="7F42AF20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9F5FB4"/>
    <w:multiLevelType w:val="multilevel"/>
    <w:tmpl w:val="908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C4ED4"/>
    <w:multiLevelType w:val="multilevel"/>
    <w:tmpl w:val="A8ECF0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64BB22FA"/>
    <w:multiLevelType w:val="multilevel"/>
    <w:tmpl w:val="FC1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85EBE"/>
    <w:multiLevelType w:val="multilevel"/>
    <w:tmpl w:val="DBD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321B6"/>
    <w:multiLevelType w:val="multilevel"/>
    <w:tmpl w:val="6492A63C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2D70350"/>
    <w:multiLevelType w:val="hybridMultilevel"/>
    <w:tmpl w:val="8DB4AF02"/>
    <w:lvl w:ilvl="0" w:tplc="5B1A5F24">
      <w:start w:val="1"/>
      <w:numFmt w:val="bullet"/>
      <w:lvlText w:val="•"/>
      <w:lvlJc w:val="left"/>
      <w:pPr>
        <w:ind w:left="720" w:hanging="360"/>
      </w:pPr>
      <w:rPr>
        <w:rFonts w:ascii="Open Sans" w:hAnsi="Open Sans"/>
        <w:color w:val="A6192E"/>
      </w:rPr>
    </w:lvl>
    <w:lvl w:ilvl="1" w:tplc="76BA17C4">
      <w:numFmt w:val="decimal"/>
      <w:lvlText w:val=""/>
      <w:lvlJc w:val="left"/>
    </w:lvl>
    <w:lvl w:ilvl="2" w:tplc="031A3994">
      <w:numFmt w:val="decimal"/>
      <w:lvlText w:val=""/>
      <w:lvlJc w:val="left"/>
    </w:lvl>
    <w:lvl w:ilvl="3" w:tplc="32901242">
      <w:numFmt w:val="decimal"/>
      <w:lvlText w:val=""/>
      <w:lvlJc w:val="left"/>
    </w:lvl>
    <w:lvl w:ilvl="4" w:tplc="CF4058BA">
      <w:numFmt w:val="decimal"/>
      <w:lvlText w:val=""/>
      <w:lvlJc w:val="left"/>
    </w:lvl>
    <w:lvl w:ilvl="5" w:tplc="577C90CC">
      <w:numFmt w:val="decimal"/>
      <w:lvlText w:val=""/>
      <w:lvlJc w:val="left"/>
    </w:lvl>
    <w:lvl w:ilvl="6" w:tplc="7DD4B9EA">
      <w:numFmt w:val="decimal"/>
      <w:lvlText w:val=""/>
      <w:lvlJc w:val="left"/>
    </w:lvl>
    <w:lvl w:ilvl="7" w:tplc="DED06878">
      <w:numFmt w:val="decimal"/>
      <w:lvlText w:val=""/>
      <w:lvlJc w:val="left"/>
    </w:lvl>
    <w:lvl w:ilvl="8" w:tplc="269A2EAC">
      <w:numFmt w:val="decimal"/>
      <w:lvlText w:val=""/>
      <w:lvlJc w:val="left"/>
    </w:lvl>
  </w:abstractNum>
  <w:abstractNum w:abstractNumId="14" w15:restartNumberingAfterBreak="0">
    <w:nsid w:val="76C955B2"/>
    <w:multiLevelType w:val="multilevel"/>
    <w:tmpl w:val="81762AD4"/>
    <w:lvl w:ilvl="0">
      <w:start w:val="1"/>
      <w:numFmt w:val="bullet"/>
      <w:lvlText w:val="•"/>
      <w:lvlJc w:val="left"/>
      <w:pPr>
        <w:ind w:left="1080" w:hanging="720"/>
      </w:pPr>
      <w:rPr>
        <w:rFonts w:ascii="Open Sans" w:eastAsia="Open Sans" w:hAnsi="Open Sans" w:cs="Open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72D42BF"/>
    <w:multiLevelType w:val="hybridMultilevel"/>
    <w:tmpl w:val="9B06CF0C"/>
    <w:lvl w:ilvl="0" w:tplc="A50C4184">
      <w:start w:val="1"/>
      <w:numFmt w:val="decimal"/>
      <w:lvlText w:val="%1."/>
      <w:lvlJc w:val="left"/>
      <w:pPr>
        <w:ind w:left="720" w:hanging="360"/>
      </w:pPr>
      <w:rPr>
        <w:rFonts w:ascii="Open Sans" w:hAnsi="Open Sans"/>
        <w:b/>
        <w:color w:val="A6192E"/>
      </w:rPr>
    </w:lvl>
    <w:lvl w:ilvl="1" w:tplc="BECACF54">
      <w:numFmt w:val="decimal"/>
      <w:lvlText w:val=""/>
      <w:lvlJc w:val="left"/>
    </w:lvl>
    <w:lvl w:ilvl="2" w:tplc="455C3EAC">
      <w:numFmt w:val="decimal"/>
      <w:lvlText w:val=""/>
      <w:lvlJc w:val="left"/>
    </w:lvl>
    <w:lvl w:ilvl="3" w:tplc="D81415B8">
      <w:numFmt w:val="decimal"/>
      <w:lvlText w:val=""/>
      <w:lvlJc w:val="left"/>
    </w:lvl>
    <w:lvl w:ilvl="4" w:tplc="B2B8AB0C">
      <w:numFmt w:val="decimal"/>
      <w:lvlText w:val=""/>
      <w:lvlJc w:val="left"/>
    </w:lvl>
    <w:lvl w:ilvl="5" w:tplc="57803174">
      <w:numFmt w:val="decimal"/>
      <w:lvlText w:val=""/>
      <w:lvlJc w:val="left"/>
    </w:lvl>
    <w:lvl w:ilvl="6" w:tplc="8E0871A0">
      <w:numFmt w:val="decimal"/>
      <w:lvlText w:val=""/>
      <w:lvlJc w:val="left"/>
    </w:lvl>
    <w:lvl w:ilvl="7" w:tplc="929A8CD0">
      <w:numFmt w:val="decimal"/>
      <w:lvlText w:val=""/>
      <w:lvlJc w:val="left"/>
    </w:lvl>
    <w:lvl w:ilvl="8" w:tplc="83665660">
      <w:numFmt w:val="decimal"/>
      <w:lvlText w:val=""/>
      <w:lvlJc w:val="left"/>
    </w:lvl>
  </w:abstractNum>
  <w:abstractNum w:abstractNumId="16" w15:restartNumberingAfterBreak="0">
    <w:nsid w:val="78645ADF"/>
    <w:multiLevelType w:val="multilevel"/>
    <w:tmpl w:val="E62E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10181E"/>
    <w:multiLevelType w:val="multilevel"/>
    <w:tmpl w:val="AAEE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079970">
    <w:abstractNumId w:val="6"/>
  </w:num>
  <w:num w:numId="2" w16cid:durableId="1164204433">
    <w:abstractNumId w:val="10"/>
  </w:num>
  <w:num w:numId="3" w16cid:durableId="1465274836">
    <w:abstractNumId w:val="5"/>
  </w:num>
  <w:num w:numId="4" w16cid:durableId="2082559817">
    <w:abstractNumId w:val="11"/>
  </w:num>
  <w:num w:numId="5" w16cid:durableId="81142540">
    <w:abstractNumId w:val="8"/>
  </w:num>
  <w:num w:numId="6" w16cid:durableId="142822702">
    <w:abstractNumId w:val="12"/>
  </w:num>
  <w:num w:numId="7" w16cid:durableId="417870131">
    <w:abstractNumId w:val="4"/>
  </w:num>
  <w:num w:numId="8" w16cid:durableId="755902255">
    <w:abstractNumId w:val="14"/>
  </w:num>
  <w:num w:numId="9" w16cid:durableId="124549786">
    <w:abstractNumId w:val="7"/>
  </w:num>
  <w:num w:numId="10" w16cid:durableId="1849520520">
    <w:abstractNumId w:val="0"/>
  </w:num>
  <w:num w:numId="11" w16cid:durableId="1829251557">
    <w:abstractNumId w:val="1"/>
  </w:num>
  <w:num w:numId="12" w16cid:durableId="402221819">
    <w:abstractNumId w:val="16"/>
  </w:num>
  <w:num w:numId="13" w16cid:durableId="1922522473">
    <w:abstractNumId w:val="3"/>
  </w:num>
  <w:num w:numId="14" w16cid:durableId="494027917">
    <w:abstractNumId w:val="2"/>
  </w:num>
  <w:num w:numId="15" w16cid:durableId="1939949476">
    <w:abstractNumId w:val="17"/>
  </w:num>
  <w:num w:numId="16" w16cid:durableId="1614287921">
    <w:abstractNumId w:val="9"/>
  </w:num>
  <w:num w:numId="17" w16cid:durableId="237715292">
    <w:abstractNumId w:val="13"/>
  </w:num>
  <w:num w:numId="18" w16cid:durableId="415594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QytjAzM7Q0Njc2N7NU0lEKTi0uzszPAykwrQUACRK0VSwAAAA="/>
  </w:docVars>
  <w:rsids>
    <w:rsidRoot w:val="002A6ADE"/>
    <w:rsid w:val="00004EB6"/>
    <w:rsid w:val="000162D5"/>
    <w:rsid w:val="00043024"/>
    <w:rsid w:val="00045ADE"/>
    <w:rsid w:val="00051366"/>
    <w:rsid w:val="000903A3"/>
    <w:rsid w:val="00090516"/>
    <w:rsid w:val="00090FB3"/>
    <w:rsid w:val="000B3D2B"/>
    <w:rsid w:val="000B781E"/>
    <w:rsid w:val="001209FC"/>
    <w:rsid w:val="0015089B"/>
    <w:rsid w:val="00185573"/>
    <w:rsid w:val="001A69AC"/>
    <w:rsid w:val="001B3697"/>
    <w:rsid w:val="001D0B0F"/>
    <w:rsid w:val="001D0BE3"/>
    <w:rsid w:val="001E377E"/>
    <w:rsid w:val="001F03B9"/>
    <w:rsid w:val="00225649"/>
    <w:rsid w:val="00250FE7"/>
    <w:rsid w:val="0026493F"/>
    <w:rsid w:val="00293D4D"/>
    <w:rsid w:val="002A6ADE"/>
    <w:rsid w:val="002B543A"/>
    <w:rsid w:val="002E667F"/>
    <w:rsid w:val="002F529B"/>
    <w:rsid w:val="00323201"/>
    <w:rsid w:val="00331E53"/>
    <w:rsid w:val="00340C41"/>
    <w:rsid w:val="003505DD"/>
    <w:rsid w:val="0037385E"/>
    <w:rsid w:val="00377A82"/>
    <w:rsid w:val="0039308A"/>
    <w:rsid w:val="003A6675"/>
    <w:rsid w:val="003B2B25"/>
    <w:rsid w:val="004223C3"/>
    <w:rsid w:val="00430574"/>
    <w:rsid w:val="00474509"/>
    <w:rsid w:val="004967C3"/>
    <w:rsid w:val="004B0C10"/>
    <w:rsid w:val="004E4FFA"/>
    <w:rsid w:val="004F749B"/>
    <w:rsid w:val="00552AE7"/>
    <w:rsid w:val="005643C8"/>
    <w:rsid w:val="00566A97"/>
    <w:rsid w:val="00574BD0"/>
    <w:rsid w:val="005C7C37"/>
    <w:rsid w:val="005D151E"/>
    <w:rsid w:val="00627420"/>
    <w:rsid w:val="00633CB9"/>
    <w:rsid w:val="00634AE2"/>
    <w:rsid w:val="006423CD"/>
    <w:rsid w:val="00651717"/>
    <w:rsid w:val="006A0755"/>
    <w:rsid w:val="006C656E"/>
    <w:rsid w:val="006F4173"/>
    <w:rsid w:val="00713577"/>
    <w:rsid w:val="00724D85"/>
    <w:rsid w:val="007649FC"/>
    <w:rsid w:val="0078644D"/>
    <w:rsid w:val="0079662A"/>
    <w:rsid w:val="007B2614"/>
    <w:rsid w:val="007B7C1D"/>
    <w:rsid w:val="007F1578"/>
    <w:rsid w:val="007F3E2E"/>
    <w:rsid w:val="00800F8F"/>
    <w:rsid w:val="0087378C"/>
    <w:rsid w:val="008935A4"/>
    <w:rsid w:val="008D5E24"/>
    <w:rsid w:val="009030C0"/>
    <w:rsid w:val="00904EDB"/>
    <w:rsid w:val="009152B1"/>
    <w:rsid w:val="00943331"/>
    <w:rsid w:val="009C43E4"/>
    <w:rsid w:val="009D18E1"/>
    <w:rsid w:val="00A04DEC"/>
    <w:rsid w:val="00A16C2E"/>
    <w:rsid w:val="00A33945"/>
    <w:rsid w:val="00A3783B"/>
    <w:rsid w:val="00A450DE"/>
    <w:rsid w:val="00A45940"/>
    <w:rsid w:val="00A507DD"/>
    <w:rsid w:val="00A76ACC"/>
    <w:rsid w:val="00A92CB2"/>
    <w:rsid w:val="00AD237A"/>
    <w:rsid w:val="00AE25B8"/>
    <w:rsid w:val="00B01B20"/>
    <w:rsid w:val="00B105FF"/>
    <w:rsid w:val="00B16FA1"/>
    <w:rsid w:val="00B26DDE"/>
    <w:rsid w:val="00B31659"/>
    <w:rsid w:val="00B35C01"/>
    <w:rsid w:val="00BA15DA"/>
    <w:rsid w:val="00BB48B6"/>
    <w:rsid w:val="00BB4FFD"/>
    <w:rsid w:val="00BD7A6F"/>
    <w:rsid w:val="00C21439"/>
    <w:rsid w:val="00C5237E"/>
    <w:rsid w:val="00C527B8"/>
    <w:rsid w:val="00C542BB"/>
    <w:rsid w:val="00C56E26"/>
    <w:rsid w:val="00C94456"/>
    <w:rsid w:val="00D526E7"/>
    <w:rsid w:val="00DA3421"/>
    <w:rsid w:val="00DC2553"/>
    <w:rsid w:val="00DC693B"/>
    <w:rsid w:val="00DC7025"/>
    <w:rsid w:val="00DE2E2E"/>
    <w:rsid w:val="00E30D18"/>
    <w:rsid w:val="00E32170"/>
    <w:rsid w:val="00E42E2A"/>
    <w:rsid w:val="00E54858"/>
    <w:rsid w:val="00E970E7"/>
    <w:rsid w:val="00EC3383"/>
    <w:rsid w:val="00F2715E"/>
    <w:rsid w:val="00F90D52"/>
    <w:rsid w:val="00FA2C51"/>
    <w:rsid w:val="00FA59CF"/>
    <w:rsid w:val="00FD3840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CDE12"/>
  <w15:docId w15:val="{565A3B00-BEA5-4542-8FDF-39CAA8F9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b/>
        <w:sz w:val="22"/>
        <w:szCs w:val="22"/>
        <w:lang w:val="en-US" w:eastAsia="en-US" w:bidi="ar-SA"/>
      </w:rPr>
    </w:rPrDefault>
    <w:pPrDefault>
      <w:pPr>
        <w:spacing w:after="2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74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A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A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A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515B2"/>
    <w:rPr>
      <w:color w:val="808080"/>
    </w:rPr>
  </w:style>
  <w:style w:type="paragraph" w:styleId="ListParagraph">
    <w:name w:val="List Paragraph"/>
    <w:basedOn w:val="Normal"/>
    <w:uiPriority w:val="34"/>
    <w:qFormat/>
    <w:rsid w:val="002A2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E63"/>
  </w:style>
  <w:style w:type="paragraph" w:styleId="Footer">
    <w:name w:val="footer"/>
    <w:basedOn w:val="Normal"/>
    <w:link w:val="FooterChar"/>
    <w:uiPriority w:val="99"/>
    <w:unhideWhenUsed/>
    <w:rsid w:val="000A3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E63"/>
  </w:style>
  <w:style w:type="paragraph" w:customStyle="1" w:styleId="CMU-H1">
    <w:name w:val="CMU-H1"/>
    <w:basedOn w:val="Normal"/>
    <w:qFormat/>
    <w:rsid w:val="00AD237A"/>
    <w:pPr>
      <w:keepNext/>
      <w:keepLines/>
      <w:pBdr>
        <w:top w:val="nil"/>
        <w:left w:val="nil"/>
        <w:bottom w:val="nil"/>
        <w:right w:val="nil"/>
        <w:between w:val="nil"/>
      </w:pBdr>
      <w:spacing w:after="240"/>
      <w:jc w:val="center"/>
    </w:pPr>
    <w:rPr>
      <w:rFonts w:ascii="Open Sans" w:eastAsia="Open Sans" w:hAnsi="Open Sans" w:cs="Open Sans"/>
      <w:color w:val="A6192E"/>
      <w:sz w:val="32"/>
      <w:szCs w:val="32"/>
    </w:rPr>
  </w:style>
  <w:style w:type="paragraph" w:customStyle="1" w:styleId="CMU-H2">
    <w:name w:val="CMU-H2"/>
    <w:basedOn w:val="Heading2"/>
    <w:autoRedefine/>
    <w:qFormat/>
    <w:rsid w:val="0031339F"/>
    <w:pPr>
      <w:spacing w:before="0" w:after="240"/>
      <w:jc w:val="center"/>
    </w:pPr>
    <w:rPr>
      <w:rFonts w:ascii="Open Sans" w:eastAsiaTheme="minorEastAsia" w:hAnsi="Open Sans"/>
      <w:color w:val="A6192E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4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MU-H3">
    <w:name w:val="CMU-H3"/>
    <w:basedOn w:val="Normal"/>
    <w:next w:val="Heading3"/>
    <w:autoRedefine/>
    <w:qFormat/>
    <w:rsid w:val="00732A5E"/>
    <w:pPr>
      <w:ind w:left="1134" w:right="1418"/>
      <w:jc w:val="center"/>
    </w:pPr>
    <w:rPr>
      <w:rFonts w:ascii="Open Sans" w:hAnsi="Open Sans" w:cs="Open Sans"/>
      <w:color w:val="A6192E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MU-Paragraph">
    <w:name w:val="CMU-Paragraph"/>
    <w:basedOn w:val="Normal"/>
    <w:next w:val="Normal"/>
    <w:qFormat/>
    <w:rsid w:val="00464A81"/>
    <w:pPr>
      <w:ind w:left="1134" w:right="1416"/>
    </w:pPr>
    <w:rPr>
      <w:rFonts w:ascii="Open Sans" w:hAnsi="Open Sans"/>
      <w:b w:val="0"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8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50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paragraph" w:customStyle="1" w:styleId="Default">
    <w:name w:val="Default"/>
    <w:rsid w:val="006A0755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2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4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settings" Target="setting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00" Type="http://schemas.openxmlformats.org/officeDocument/2006/relationships/image" Target="media/fig1.png"/><Relationship Id="rId201" Type="http://schemas.openxmlformats.org/officeDocument/2006/relationships/hyperlink" Target="https://github.com/mosachde/agentic-ai-real-world-capstone-work" TargetMode="External"/><Relationship Id="rId202" Type="http://schemas.openxmlformats.org/officeDocument/2006/relationships/hyperlink" Target="https://github.com/mosachde/agentic-ai-real-world-capstone-work/tree/checkpoint-4.1/doc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67928A359D264F9EF1880C2E221F2D" ma:contentTypeVersion="11" ma:contentTypeDescription="Create a new document." ma:contentTypeScope="" ma:versionID="c3622a102496d83dcbf86952a1135697">
  <xsd:schema xmlns:xsd="http://www.w3.org/2001/XMLSchema" xmlns:xs="http://www.w3.org/2001/XMLSchema" xmlns:p="http://schemas.microsoft.com/office/2006/metadata/properties" xmlns:ns2="b950caa2-3060-400e-ac69-190ee22b5a3c" xmlns:ns3="aa9de4af-3fdf-4657-9a9d-58b7532d65ed" targetNamespace="http://schemas.microsoft.com/office/2006/metadata/properties" ma:root="true" ma:fieldsID="b97c1b2c168b90592a44eaed7a31b998" ns2:_="" ns3:_="">
    <xsd:import namespace="b950caa2-3060-400e-ac69-190ee22b5a3c"/>
    <xsd:import namespace="aa9de4af-3fdf-4657-9a9d-58b7532d6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0caa2-3060-400e-ac69-190ee22b5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de4af-3fdf-4657-9a9d-58b7532d6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b5a0d7-2c3c-4730-bbe3-e1f74ef1c084}" ma:internalName="TaxCatchAll" ma:showField="CatchAllData" ma:web="aa9de4af-3fdf-4657-9a9d-58b7532d6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50caa2-3060-400e-ac69-190ee22b5a3c">
      <Terms xmlns="http://schemas.microsoft.com/office/infopath/2007/PartnerControls"/>
    </lcf76f155ced4ddcb4097134ff3c332f>
    <TaxCatchAll xmlns="aa9de4af-3fdf-4657-9a9d-58b7532d65ed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wmvtScRWrTBXm/U1U4IL8/yT+Q==">AMUW2mUo3hs247llBQCCeIDyw/o6c4OsjQII5teSoi43v/barLRmXDTC1CnGRzyBBJBKXLTUgrf3Q76HNtJ+zdOE8iULy8k79jUPrIuPxOm7e3PYoIxsqb0=</go:docsCustomData>
</go:gDocsCustomXmlDataStorage>
</file>

<file path=customXml/itemProps1.xml><?xml version="1.0" encoding="utf-8"?>
<ds:datastoreItem xmlns:ds="http://schemas.openxmlformats.org/officeDocument/2006/customXml" ds:itemID="{A06FEAF8-D1E3-4DAA-A32C-64B3F1890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50caa2-3060-400e-ac69-190ee22b5a3c"/>
    <ds:schemaRef ds:uri="aa9de4af-3fdf-4657-9a9d-58b7532d6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7DB219-E873-4711-93A1-466AFC3AFF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C18057-4B07-48E5-9C44-6590717A6C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719B45-0898-4DEB-BD0F-162ECB033CEC}">
  <ds:schemaRefs>
    <ds:schemaRef ds:uri="http://schemas.microsoft.com/office/2006/metadata/properties"/>
    <ds:schemaRef ds:uri="http://schemas.microsoft.com/office/infopath/2007/PartnerControls"/>
    <ds:schemaRef ds:uri="b950caa2-3060-400e-ac69-190ee22b5a3c"/>
    <ds:schemaRef ds:uri="aa9de4af-3fdf-4657-9a9d-58b7532d65e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1972</Words>
  <Characters>10693</Characters>
  <Application>Microsoft Office Word</Application>
  <DocSecurity>0</DocSecurity>
  <Lines>297</Lines>
  <Paragraphs>197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Checkpoint 4.1 - Tree-of-Thought Reasoning</dc:title>
  <dc:creator>Mohit Sachdeva</dc:creator>
  <cp:lastModifiedBy>mohit.sachdeva2022@gmail.com</cp:lastModifiedBy>
  <cp:revision>3</cp:revision>
  <cp:lastPrinted>2026-04-29T16:54:00Z</cp:lastPrinted>
  <dcterms:created xsi:type="dcterms:W3CDTF">2026-04-29T17:33:00Z</dcterms:created>
  <dcterms:modified xsi:type="dcterms:W3CDTF">2026-10-21T12:00:00Z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0x010100BC67928A359D264F9EF1880C2E221F2D</vt:lpwstr>
  </property>
  <property fmtid="{D5CDD505-2E9C-101B-9397-08002B2CF9AE}" pid="3" name="GrammarlyDocumentId">
    <vt:lpwstr>0737f50c-8330-44ed-84e3-266e177d3930</vt:lpwstr>
  </property>
</Properties>
</file>