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 w:after="60"/>
        <w:jc w:val="center"/>
      </w:pPr>
      <w:r>
        <w:rPr>
          <w:rFonts w:ascii="Open Sans" w:hAnsi="Open Sans" w:cs="Open Sans"/>
          <w:b/>
          <w:bCs/>
          <w:color w:val="A6192E"/>
          <w:sz w:val="34"/>
          <w:szCs w:val="34"/>
        </w:rPr>
        <w:t xml:space="preserve">Capstone Checkpoint 1.1: Project Scoping and Initial Agent Design</w:t>
      </w:r>
    </w:p>
    <w:p>
      <w:pPr>
        <w:spacing w:before="0" w:after="60"/>
        <w:jc w:val="center"/>
      </w:pPr>
      <w:r>
        <w:rPr>
          <w:rFonts w:ascii="Open Sans" w:hAnsi="Open Sans" w:cs="Open Sans"/>
          <w:b/>
          <w:bCs/>
          <w:color w:val="A6192E"/>
          <w:sz w:val="26"/>
          <w:szCs w:val="26"/>
        </w:rPr>
        <w:t xml:space="preserve">Thesis Check: A Research Assistant Agent That Tests an Investor’s Thesis</w:t>
      </w:r>
    </w:p>
    <w:p>
      <w:pPr>
        <w:spacing w:before="0" w:after="240"/>
        <w:jc w:val="center"/>
      </w:pPr>
      <w:r>
        <w:rPr>
          <w:rFonts w:ascii="Open Sans" w:hAnsi="Open Sans" w:cs="Open Sans"/>
          <w:b w:val="0"/>
          <w:bCs w:val="0"/>
          <w:color w:val="404040"/>
          <w:sz w:val="21"/>
          <w:szCs w:val="21"/>
        </w:rPr>
        <w:t xml:space="preserve">Mohit Sachdeva  |  Agentic AI Program  |  October 2026</w:t>
      </w:r>
    </w:p>
    <w:p>
      <w:pPr>
        <w:keepNext/>
        <w:pBdr>
          <w:bottom w:val="single" w:sz="6" w:space="2" w:color="A6192E"/>
        </w:pBdr>
        <w:spacing w:before="280" w:after="100"/>
      </w:pPr>
      <w:r>
        <w:rPr>
          <w:rFonts w:ascii="Open Sans" w:hAnsi="Open Sans" w:cs="Open Sans"/>
          <w:b/>
          <w:bCs/>
          <w:color w:val="A6192E"/>
          <w:sz w:val="25"/>
          <w:szCs w:val="25"/>
        </w:rPr>
        <w:t xml:space="preserve">1. Agent, problem and intended user</w:t>
      </w:r>
    </w:p>
    <w:p>
      <w:pPr>
        <w:spacing w:before="0" w:after="120" w:line="276" w:lineRule="auto"/>
      </w:pPr>
      <w:r>
        <w:rPr>
          <w:rFonts w:ascii="Open Sans" w:hAnsi="Open Sans" w:cs="Open Sans"/>
          <w:b/>
          <w:bCs/>
          <w:color w:val="000000"/>
          <w:sz w:val="21"/>
          <w:szCs w:val="21"/>
        </w:rPr>
        <w:t xml:space="preserve">Agent option: Research Assistant.</w:t>
      </w:r>
      <w:r>
        <w:rPr>
          <w:rFonts w:ascii="Open Sans" w:hAnsi="Open Sans" w:cs="Open Sans"/>
          <w:b w:val="0"/>
          <w:bCs w:val="0"/>
          <w:color w:val="000000"/>
          <w:sz w:val="21"/>
          <w:szCs w:val="21"/>
        </w:rPr>
        <w:t xml:space="preserve"> Thesis Check navigates large public financial documents and uses tools to retrieve and analyze financial data in order to test whether an investor's reason for owning a stock still holds.</w:t>
      </w:r>
    </w:p>
    <w:p>
      <w:pPr>
        <w:spacing w:before="0" w:after="120" w:line="276" w:lineRule="auto"/>
      </w:pPr>
      <w:r>
        <w:rPr>
          <w:rFonts w:ascii="Open Sans" w:hAnsi="Open Sans" w:cs="Open Sans"/>
          <w:b/>
          <w:bCs/>
          <w:color w:val="000000"/>
          <w:sz w:val="21"/>
          <w:szCs w:val="21"/>
        </w:rPr>
        <w:t xml:space="preserve">Problem.</w:t>
      </w:r>
      <w:r>
        <w:rPr>
          <w:rFonts w:ascii="Open Sans" w:hAnsi="Open Sans" w:cs="Open Sans"/>
          <w:b w:val="0"/>
          <w:bCs w:val="0"/>
          <w:color w:val="000000"/>
          <w:sz w:val="21"/>
          <w:szCs w:val="21"/>
        </w:rPr>
        <w:t xml:space="preserve"> Individual investors are predictably biased: they hold losing stocks too long hoping to break even, sell winners too early, and seek information that confirms what they already believe (the disposition effect and confirmation bias, both well documented in behavioral finance). A key contributor is that the original reason for buying ("AI demand will keep gross margins above 60%") is rarely written down or re-tested as new evidence arrives in quarterly filings. Professionals have investment committees to push back; individual investors do not.</w:t>
      </w:r>
    </w:p>
    <w:p>
      <w:pPr>
        <w:spacing w:before="0" w:after="120" w:line="276" w:lineRule="auto"/>
      </w:pPr>
      <w:r>
        <w:rPr>
          <w:rFonts w:ascii="Open Sans" w:hAnsi="Open Sans" w:cs="Open Sans"/>
          <w:b/>
          <w:bCs/>
          <w:color w:val="000000"/>
          <w:sz w:val="21"/>
          <w:szCs w:val="21"/>
        </w:rPr>
        <w:t xml:space="preserve">Intended user.</w:t>
      </w:r>
      <w:r>
        <w:rPr>
          <w:rFonts w:ascii="Open Sans" w:hAnsi="Open Sans" w:cs="Open Sans"/>
          <w:b w:val="0"/>
          <w:bCs w:val="0"/>
          <w:color w:val="000000"/>
          <w:sz w:val="21"/>
          <w:szCs w:val="21"/>
        </w:rPr>
        <w:t xml:space="preserve"> Self-directed investors who pick their own stocks but have no advisor, e.g., a product manager holding a 20% loss "until it gets back to even" without re-checking her thesis.</w:t>
      </w:r>
    </w:p>
    <w:p>
      <w:pPr>
        <w:spacing w:before="0" w:after="120" w:line="276" w:lineRule="auto"/>
      </w:pPr>
      <w:r>
        <w:rPr>
          <w:rFonts w:ascii="Open Sans" w:hAnsi="Open Sans" w:cs="Open Sans"/>
          <w:b/>
          <w:bCs/>
          <w:color w:val="000000"/>
          <w:sz w:val="21"/>
          <w:szCs w:val="21"/>
        </w:rPr>
        <w:t xml:space="preserve">Goal.</w:t>
      </w:r>
      <w:r>
        <w:rPr>
          <w:rFonts w:ascii="Open Sans" w:hAnsi="Open Sans" w:cs="Open Sans"/>
          <w:b w:val="0"/>
          <w:bCs w:val="0"/>
          <w:color w:val="000000"/>
          <w:sz w:val="21"/>
          <w:szCs w:val="21"/>
        </w:rPr>
        <w:t xml:space="preserve"> Given a ticker and a plain-language thesis, the agent returns a verdict (Intact / Weakening / Broken) with cited evidence. The user makes the final decision; the agent provides decision support, not financial advice.</w:t>
      </w:r>
    </w:p>
    <w:p>
      <w:pPr>
        <w:keepNext/>
        <w:pBdr>
          <w:bottom w:val="single" w:sz="6" w:space="2" w:color="A6192E"/>
        </w:pBdr>
        <w:spacing w:before="280" w:after="100"/>
      </w:pPr>
      <w:r>
        <w:rPr>
          <w:rFonts w:ascii="Open Sans" w:hAnsi="Open Sans" w:cs="Open Sans"/>
          <w:b/>
          <w:bCs/>
          <w:color w:val="A6192E"/>
          <w:sz w:val="25"/>
          <w:szCs w:val="25"/>
        </w:rPr>
        <w:t xml:space="preserve">2. Why a stand-alone LLM or simple prompt is insufficient</w:t>
      </w:r>
    </w:p>
    <w:p>
      <w:pPr>
        <w:numPr>
          <w:ilvl w:val="0"/>
          <w:numId w:val="90"/>
        </w:numPr>
        <w:spacing w:before="0" w:after="80" w:line="276" w:lineRule="auto"/>
        <w:ind w:left="720" w:hanging="360"/>
      </w:pPr>
      <w:r>
        <w:rPr>
          <w:rFonts w:ascii="Open Sans" w:hAnsi="Open Sans" w:cs="Open Sans"/>
          <w:b/>
          <w:bCs/>
          <w:color w:val="000000"/>
          <w:sz w:val="21"/>
          <w:szCs w:val="21"/>
        </w:rPr>
        <w:t xml:space="preserve">Stale knowledge.</w:t>
      </w:r>
      <w:r>
        <w:rPr>
          <w:rFonts w:ascii="Open Sans" w:hAnsi="Open Sans" w:cs="Open Sans"/>
          <w:b w:val="0"/>
          <w:bCs w:val="0"/>
          <w:color w:val="000000"/>
          <w:sz w:val="21"/>
          <w:szCs w:val="21"/>
        </w:rPr>
        <w:t xml:space="preserve"> Training data has a cutoff; new filings arrive every quarter.</w:t>
      </w:r>
    </w:p>
    <w:p>
      <w:pPr>
        <w:numPr>
          <w:ilvl w:val="0"/>
          <w:numId w:val="90"/>
        </w:numPr>
        <w:spacing w:before="0" w:after="80" w:line="276" w:lineRule="auto"/>
        <w:ind w:left="720" w:hanging="360"/>
      </w:pPr>
      <w:r>
        <w:rPr>
          <w:rFonts w:ascii="Open Sans" w:hAnsi="Open Sans" w:cs="Open Sans"/>
          <w:b/>
          <w:bCs/>
          <w:color w:val="000000"/>
          <w:sz w:val="21"/>
          <w:szCs w:val="21"/>
        </w:rPr>
        <w:t xml:space="preserve">Hallucinated numbers.</w:t>
      </w:r>
      <w:r>
        <w:rPr>
          <w:rFonts w:ascii="Open Sans" w:hAnsi="Open Sans" w:cs="Open Sans"/>
          <w:b w:val="0"/>
          <w:bCs w:val="0"/>
          <w:color w:val="000000"/>
          <w:sz w:val="21"/>
          <w:szCs w:val="21"/>
        </w:rPr>
        <w:t xml:space="preserve"> LLMs produce plausible but wrong figures; one wrong margin can drive a costly decision, so numbers must come from tools and be verified.</w:t>
      </w:r>
    </w:p>
    <w:p>
      <w:pPr>
        <w:numPr>
          <w:ilvl w:val="0"/>
          <w:numId w:val="90"/>
        </w:numPr>
        <w:spacing w:before="0" w:after="80" w:line="276" w:lineRule="auto"/>
        <w:ind w:left="720" w:hanging="360"/>
      </w:pPr>
      <w:r>
        <w:rPr>
          <w:rFonts w:ascii="Open Sans" w:hAnsi="Open Sans" w:cs="Open Sans"/>
          <w:b/>
          <w:bCs/>
          <w:color w:val="000000"/>
          <w:sz w:val="21"/>
          <w:szCs w:val="21"/>
        </w:rPr>
        <w:t xml:space="preserve">Documents too long to read in one pass.</w:t>
      </w:r>
      <w:r>
        <w:rPr>
          <w:rFonts w:ascii="Open Sans" w:hAnsi="Open Sans" w:cs="Open Sans"/>
          <w:b w:val="0"/>
          <w:bCs w:val="0"/>
          <w:color w:val="000000"/>
          <w:sz w:val="21"/>
          <w:szCs w:val="21"/>
        </w:rPr>
        <w:t xml:space="preserve"> A 10-K often exceeds 100 pages; the agent must search and select relevant passages.</w:t>
      </w:r>
    </w:p>
    <w:p>
      <w:pPr>
        <w:numPr>
          <w:ilvl w:val="0"/>
          <w:numId w:val="90"/>
        </w:numPr>
        <w:spacing w:before="0" w:after="80" w:line="276" w:lineRule="auto"/>
        <w:ind w:left="720" w:hanging="360"/>
      </w:pPr>
      <w:r>
        <w:rPr>
          <w:rFonts w:ascii="Open Sans" w:hAnsi="Open Sans" w:cs="Open Sans"/>
          <w:b/>
          <w:bCs/>
          <w:color w:val="000000"/>
          <w:sz w:val="21"/>
          <w:szCs w:val="21"/>
        </w:rPr>
        <w:t xml:space="preserve">Dependent, multi-step reasoning.</w:t>
      </w:r>
      <w:r>
        <w:rPr>
          <w:rFonts w:ascii="Open Sans" w:hAnsi="Open Sans" w:cs="Open Sans"/>
          <w:b w:val="0"/>
          <w:bCs w:val="0"/>
          <w:color w:val="000000"/>
          <w:sz w:val="21"/>
          <w:szCs w:val="21"/>
        </w:rPr>
        <w:t xml:space="preserve"> Decomposing the thesis, gathering evidence per claim, computing metrics and weighing them each depend on earlier results.</w:t>
      </w:r>
    </w:p>
    <w:p>
      <w:pPr>
        <w:numPr>
          <w:ilvl w:val="0"/>
          <w:numId w:val="90"/>
        </w:numPr>
        <w:spacing w:before="0" w:after="80" w:line="276" w:lineRule="auto"/>
        <w:ind w:left="720" w:hanging="360"/>
      </w:pPr>
      <w:r>
        <w:rPr>
          <w:rFonts w:ascii="Open Sans" w:hAnsi="Open Sans" w:cs="Open Sans"/>
          <w:b/>
          <w:bCs/>
          <w:color w:val="000000"/>
          <w:sz w:val="21"/>
          <w:szCs w:val="21"/>
        </w:rPr>
        <w:t xml:space="preserve">Agreeing with the user.</w:t>
      </w:r>
      <w:r>
        <w:rPr>
          <w:rFonts w:ascii="Open Sans" w:hAnsi="Open Sans" w:cs="Open Sans"/>
          <w:b w:val="0"/>
          <w:bCs w:val="0"/>
          <w:color w:val="000000"/>
          <w:sz w:val="21"/>
          <w:szCs w:val="21"/>
        </w:rPr>
        <w:t xml:space="preserve"> A single prompt tends to accept the user's framing, which reinforces the very bias we are trying to counter. The workflow must deliberately argue the opposing case.</w:t>
      </w:r>
    </w:p>
    <w:p>
      <w:pPr>
        <w:numPr>
          <w:ilvl w:val="0"/>
          <w:numId w:val="90"/>
        </w:numPr>
        <w:spacing w:before="0" w:after="80" w:line="276" w:lineRule="auto"/>
        <w:ind w:left="720" w:hanging="360"/>
      </w:pPr>
      <w:r>
        <w:rPr>
          <w:rFonts w:ascii="Open Sans" w:hAnsi="Open Sans" w:cs="Open Sans"/>
          <w:b/>
          <w:bCs/>
          <w:color w:val="000000"/>
          <w:sz w:val="21"/>
          <w:szCs w:val="21"/>
        </w:rPr>
        <w:t xml:space="preserve">No audit trail.</w:t>
      </w:r>
      <w:r>
        <w:rPr>
          <w:rFonts w:ascii="Open Sans" w:hAnsi="Open Sans" w:cs="Open Sans"/>
          <w:b w:val="0"/>
          <w:bCs w:val="0"/>
          <w:color w:val="000000"/>
          <w:sz w:val="21"/>
          <w:szCs w:val="21"/>
        </w:rPr>
        <w:t xml:space="preserve"> A one-shot answer cannot show which evidence supports which conclusion.</w:t>
      </w:r>
    </w:p>
    <w:p>
      <w:pPr>
        <w:keepNext/>
        <w:pBdr>
          <w:bottom w:val="single" w:sz="6" w:space="2" w:color="A6192E"/>
        </w:pBdr>
        <w:spacing w:before="280" w:after="100"/>
      </w:pPr>
      <w:r>
        <w:rPr>
          <w:rFonts w:ascii="Open Sans" w:hAnsi="Open Sans" w:cs="Open Sans"/>
          <w:b/>
          <w:bCs/>
          <w:color w:val="A6192E"/>
          <w:sz w:val="25"/>
          <w:szCs w:val="25"/>
        </w:rPr>
        <w:t xml:space="preserve">3. Environment</w:t>
      </w:r>
    </w:p>
    <w:p>
      <w:pPr>
        <w:numPr>
          <w:ilvl w:val="0"/>
          <w:numId w:val="90"/>
        </w:numPr>
        <w:spacing w:before="0" w:after="80" w:line="276" w:lineRule="auto"/>
        <w:ind w:left="720" w:hanging="360"/>
      </w:pPr>
      <w:r>
        <w:rPr>
          <w:rFonts w:ascii="Open Sans" w:hAnsi="Open Sans" w:cs="Open Sans"/>
          <w:b/>
          <w:bCs/>
          <w:color w:val="000000"/>
          <w:sz w:val="21"/>
          <w:szCs w:val="21"/>
        </w:rPr>
        <w:t xml:space="preserve">Documents:</w:t>
      </w:r>
      <w:r>
        <w:rPr>
          <w:rFonts w:ascii="Open Sans" w:hAnsi="Open Sans" w:cs="Open Sans"/>
          <w:b w:val="0"/>
          <w:bCs w:val="0"/>
          <w:color w:val="000000"/>
          <w:sz w:val="21"/>
          <w:szCs w:val="21"/>
        </w:rPr>
        <w:t xml:space="preserve"> public SEC EDGAR filings: 10-K (annual), 10-Q (quarterly), 8-K (material events) and Form 4 (insider trades).</w:t>
      </w:r>
    </w:p>
    <w:p>
      <w:pPr>
        <w:numPr>
          <w:ilvl w:val="0"/>
          <w:numId w:val="90"/>
        </w:numPr>
        <w:spacing w:before="0" w:after="80" w:line="276" w:lineRule="auto"/>
        <w:ind w:left="720" w:hanging="360"/>
      </w:pPr>
      <w:r>
        <w:rPr>
          <w:rFonts w:ascii="Open Sans" w:hAnsi="Open Sans" w:cs="Open Sans"/>
          <w:b/>
          <w:bCs/>
          <w:color w:val="000000"/>
          <w:sz w:val="21"/>
          <w:szCs w:val="21"/>
        </w:rPr>
        <w:t xml:space="preserve">Data sources:</w:t>
      </w:r>
      <w:r>
        <w:rPr>
          <w:rFonts w:ascii="Open Sans" w:hAnsi="Open Sans" w:cs="Open Sans"/>
          <w:b w:val="0"/>
          <w:bCs w:val="0"/>
          <w:color w:val="000000"/>
          <w:sz w:val="21"/>
          <w:szCs w:val="21"/>
        </w:rPr>
        <w:t xml:space="preserve"> SEC XBRL "company facts" API for structured financials; public stock price data.</w:t>
      </w:r>
    </w:p>
    <w:p>
      <w:pPr>
        <w:numPr>
          <w:ilvl w:val="0"/>
          <w:numId w:val="90"/>
        </w:numPr>
        <w:spacing w:before="0" w:after="80" w:line="276" w:lineRule="auto"/>
        <w:ind w:left="720" w:hanging="360"/>
      </w:pPr>
      <w:r>
        <w:rPr>
          <w:rFonts w:ascii="Open Sans" w:hAnsi="Open Sans" w:cs="Open Sans"/>
          <w:b/>
          <w:bCs/>
          <w:color w:val="000000"/>
          <w:sz w:val="21"/>
          <w:szCs w:val="21"/>
        </w:rPr>
        <w:t xml:space="preserve">Tools:</w:t>
      </w:r>
      <w:r>
        <w:rPr>
          <w:rFonts w:ascii="Open Sans" w:hAnsi="Open Sans" w:cs="Open Sans"/>
          <w:b w:val="0"/>
          <w:bCs w:val="0"/>
          <w:color w:val="000000"/>
          <w:sz w:val="21"/>
          <w:szCs w:val="21"/>
        </w:rPr>
        <w:t xml:space="preserve"> EDGAR search and download; document chunking and retrieval over a vector store; Python functions for ratios and trends; a report generator.</w:t>
      </w:r>
    </w:p>
    <w:p>
      <w:pPr>
        <w:numPr>
          <w:ilvl w:val="0"/>
          <w:numId w:val="90"/>
        </w:numPr>
        <w:spacing w:before="0" w:after="80" w:line="276" w:lineRule="auto"/>
        <w:ind w:left="720" w:hanging="360"/>
      </w:pPr>
      <w:r>
        <w:rPr>
          <w:rFonts w:ascii="Open Sans" w:hAnsi="Open Sans" w:cs="Open Sans"/>
          <w:b/>
          <w:bCs/>
          <w:color w:val="000000"/>
          <w:sz w:val="21"/>
          <w:szCs w:val="21"/>
        </w:rPr>
        <w:t xml:space="preserve">Memory:</w:t>
      </w:r>
      <w:r>
        <w:rPr>
          <w:rFonts w:ascii="Open Sans" w:hAnsi="Open Sans" w:cs="Open Sans"/>
          <w:b w:val="0"/>
          <w:bCs w:val="0"/>
          <w:color w:val="000000"/>
          <w:sz w:val="21"/>
          <w:szCs w:val="21"/>
        </w:rPr>
        <w:t xml:space="preserve"> a store of each user's theses, extracted claims, past verdicts and the user's decisions.</w:t>
      </w:r>
    </w:p>
    <w:p>
      <w:pPr>
        <w:numPr>
          <w:ilvl w:val="0"/>
          <w:numId w:val="90"/>
        </w:numPr>
        <w:spacing w:before="0" w:after="80" w:line="276" w:lineRule="auto"/>
        <w:ind w:left="720" w:hanging="360"/>
      </w:pPr>
      <w:r>
        <w:rPr>
          <w:rFonts w:ascii="Open Sans" w:hAnsi="Open Sans" w:cs="Open Sans"/>
          <w:b/>
          <w:bCs/>
          <w:color w:val="000000"/>
          <w:sz w:val="21"/>
          <w:szCs w:val="21"/>
        </w:rPr>
        <w:t xml:space="preserve">User:</w:t>
      </w:r>
      <w:r>
        <w:rPr>
          <w:rFonts w:ascii="Open Sans" w:hAnsi="Open Sans" w:cs="Open Sans"/>
          <w:b w:val="0"/>
          <w:bCs w:val="0"/>
          <w:color w:val="000000"/>
          <w:sz w:val="21"/>
          <w:szCs w:val="21"/>
        </w:rPr>
        <w:t xml:space="preserve"> provides the thesis, confirms the extracted claims, and approves or overrides the verdict.</w:t>
      </w:r>
    </w:p>
    <w:p>
      <w:pPr>
        <w:numPr>
          <w:ilvl w:val="0"/>
          <w:numId w:val="90"/>
        </w:numPr>
        <w:spacing w:before="0" w:after="80" w:line="276" w:lineRule="auto"/>
        <w:ind w:left="720" w:hanging="360"/>
      </w:pPr>
      <w:r>
        <w:rPr>
          <w:rFonts w:ascii="Open Sans" w:hAnsi="Open Sans" w:cs="Open Sans"/>
          <w:b/>
          <w:bCs/>
          <w:color w:val="000000"/>
          <w:sz w:val="21"/>
          <w:szCs w:val="21"/>
        </w:rPr>
        <w:t xml:space="preserve">Constraints:</w:t>
      </w:r>
      <w:r>
        <w:rPr>
          <w:rFonts w:ascii="Open Sans" w:hAnsi="Open Sans" w:cs="Open Sans"/>
          <w:b w:val="0"/>
          <w:bCs w:val="0"/>
          <w:color w:val="000000"/>
          <w:sz w:val="21"/>
          <w:szCs w:val="21"/>
        </w:rPr>
        <w:t xml:space="preserve"> public data only; SEC rate limits; no trading or buy/sell recommendations.</w:t>
      </w:r>
    </w:p>
    <w:p>
      <w:pPr>
        <w:keepNext/>
        <w:pBdr>
          <w:bottom w:val="single" w:sz="6" w:space="2" w:color="A6192E"/>
        </w:pBdr>
        <w:spacing w:before="280" w:after="100"/>
      </w:pPr>
      <w:r>
        <w:rPr>
          <w:rFonts w:ascii="Open Sans" w:hAnsi="Open Sans" w:cs="Open Sans"/>
          <w:b/>
          <w:bCs/>
          <w:color w:val="A6192E"/>
          <w:sz w:val="25"/>
          <w:szCs w:val="25"/>
        </w:rPr>
        <w:t xml:space="preserve">4. Actions toward the goal</w:t>
      </w:r>
    </w:p>
    <w:p>
      <w:pPr>
        <w:numPr>
          <w:ilvl w:val="0"/>
          <w:numId w:val="91"/>
        </w:numPr>
        <w:spacing w:before="0" w:after="80" w:line="276" w:lineRule="auto"/>
        <w:ind w:left="720" w:hanging="360"/>
      </w:pPr>
      <w:r>
        <w:rPr>
          <w:rFonts w:ascii="Open Sans" w:hAnsi="Open Sans" w:cs="Open Sans"/>
          <w:b/>
          <w:bCs/>
          <w:color w:val="000000"/>
          <w:sz w:val="21"/>
          <w:szCs w:val="21"/>
        </w:rPr>
        <w:t xml:space="preserve">Decompose</w:t>
      </w:r>
      <w:r>
        <w:rPr>
          <w:rFonts w:ascii="Open Sans" w:hAnsi="Open Sans" w:cs="Open Sans"/>
          <w:b w:val="0"/>
          <w:bCs w:val="0"/>
          <w:color w:val="000000"/>
          <w:sz w:val="21"/>
          <w:szCs w:val="21"/>
        </w:rPr>
        <w:t xml:space="preserve"> the thesis into 3–5 testable claims with metrics and thresholds (e.g., "gross margin stays above 60%"), and ask the user to confirm them.</w:t>
      </w:r>
    </w:p>
    <w:p>
      <w:pPr>
        <w:numPr>
          <w:ilvl w:val="0"/>
          <w:numId w:val="91"/>
        </w:numPr>
        <w:spacing w:before="0" w:after="80" w:line="276" w:lineRule="auto"/>
        <w:ind w:left="720" w:hanging="360"/>
      </w:pPr>
      <w:r>
        <w:rPr>
          <w:rFonts w:ascii="Open Sans" w:hAnsi="Open Sans" w:cs="Open Sans"/>
          <w:b/>
          <w:bCs/>
          <w:color w:val="000000"/>
          <w:sz w:val="21"/>
          <w:szCs w:val="21"/>
        </w:rPr>
        <w:t xml:space="preserve">Plan</w:t>
      </w:r>
      <w:r>
        <w:rPr>
          <w:rFonts w:ascii="Open Sans" w:hAnsi="Open Sans" w:cs="Open Sans"/>
          <w:b w:val="0"/>
          <w:bCs w:val="0"/>
          <w:color w:val="000000"/>
          <w:sz w:val="21"/>
          <w:szCs w:val="21"/>
        </w:rPr>
        <w:t xml:space="preserve"> which filings, periods and metrics each claim needs.</w:t>
      </w:r>
    </w:p>
    <w:p>
      <w:pPr>
        <w:numPr>
          <w:ilvl w:val="0"/>
          <w:numId w:val="91"/>
        </w:numPr>
        <w:spacing w:before="0" w:after="80" w:line="276" w:lineRule="auto"/>
        <w:ind w:left="720" w:hanging="360"/>
      </w:pPr>
      <w:r>
        <w:rPr>
          <w:rFonts w:ascii="Open Sans" w:hAnsi="Open Sans" w:cs="Open Sans"/>
          <w:b/>
          <w:bCs/>
          <w:color w:val="000000"/>
          <w:sz w:val="21"/>
          <w:szCs w:val="21"/>
        </w:rPr>
        <w:t xml:space="preserve">Retrieve</w:t>
      </w:r>
      <w:r>
        <w:rPr>
          <w:rFonts w:ascii="Open Sans" w:hAnsi="Open Sans" w:cs="Open Sans"/>
          <w:b w:val="0"/>
          <w:bCs w:val="0"/>
          <w:color w:val="000000"/>
          <w:sz w:val="21"/>
          <w:szCs w:val="21"/>
        </w:rPr>
        <w:t xml:space="preserve"> filings and structured financial data.</w:t>
      </w:r>
    </w:p>
    <w:p>
      <w:pPr>
        <w:numPr>
          <w:ilvl w:val="0"/>
          <w:numId w:val="91"/>
        </w:numPr>
        <w:spacing w:before="0" w:after="80" w:line="276" w:lineRule="auto"/>
        <w:ind w:left="720" w:hanging="360"/>
      </w:pPr>
      <w:r>
        <w:rPr>
          <w:rFonts w:ascii="Open Sans" w:hAnsi="Open Sans" w:cs="Open Sans"/>
          <w:b/>
          <w:bCs/>
          <w:color w:val="000000"/>
          <w:sz w:val="21"/>
          <w:szCs w:val="21"/>
        </w:rPr>
        <w:t xml:space="preserve">Extract</w:t>
      </w:r>
      <w:r>
        <w:rPr>
          <w:rFonts w:ascii="Open Sans" w:hAnsi="Open Sans" w:cs="Open Sans"/>
          <w:b w:val="0"/>
          <w:bCs w:val="0"/>
          <w:color w:val="000000"/>
          <w:sz w:val="21"/>
          <w:szCs w:val="21"/>
        </w:rPr>
        <w:t xml:space="preserve"> evidence passages and </w:t>
      </w:r>
      <w:r>
        <w:rPr>
          <w:rFonts w:ascii="Open Sans" w:hAnsi="Open Sans" w:cs="Open Sans"/>
          <w:b/>
          <w:bCs/>
          <w:color w:val="000000"/>
          <w:sz w:val="21"/>
          <w:szCs w:val="21"/>
        </w:rPr>
        <w:t xml:space="preserve">compute</w:t>
      </w:r>
      <w:r>
        <w:rPr>
          <w:rFonts w:ascii="Open Sans" w:hAnsi="Open Sans" w:cs="Open Sans"/>
          <w:b w:val="0"/>
          <w:bCs w:val="0"/>
          <w:color w:val="000000"/>
          <w:sz w:val="21"/>
          <w:szCs w:val="21"/>
        </w:rPr>
        <w:t xml:space="preserve"> metrics and trends with tools rather than by the model.</w:t>
      </w:r>
    </w:p>
    <w:p>
      <w:pPr>
        <w:numPr>
          <w:ilvl w:val="0"/>
          <w:numId w:val="91"/>
        </w:numPr>
        <w:spacing w:before="0" w:after="80" w:line="276" w:lineRule="auto"/>
        <w:ind w:left="720" w:hanging="360"/>
      </w:pPr>
      <w:r>
        <w:rPr>
          <w:rFonts w:ascii="Open Sans" w:hAnsi="Open Sans" w:cs="Open Sans"/>
          <w:b/>
          <w:bCs/>
          <w:color w:val="000000"/>
          <w:sz w:val="21"/>
          <w:szCs w:val="21"/>
        </w:rPr>
        <w:t xml:space="preserve">Evaluate</w:t>
      </w:r>
      <w:r>
        <w:rPr>
          <w:rFonts w:ascii="Open Sans" w:hAnsi="Open Sans" w:cs="Open Sans"/>
          <w:b w:val="0"/>
          <w:bCs w:val="0"/>
          <w:color w:val="000000"/>
          <w:sz w:val="21"/>
          <w:szCs w:val="21"/>
        </w:rPr>
        <w:t xml:space="preserve"> each claim from both a bull and a bear perspective.</w:t>
      </w:r>
    </w:p>
    <w:p>
      <w:pPr>
        <w:numPr>
          <w:ilvl w:val="0"/>
          <w:numId w:val="91"/>
        </w:numPr>
        <w:spacing w:before="0" w:after="80" w:line="276" w:lineRule="auto"/>
        <w:ind w:left="720" w:hanging="360"/>
      </w:pPr>
      <w:r>
        <w:rPr>
          <w:rFonts w:ascii="Open Sans" w:hAnsi="Open Sans" w:cs="Open Sans"/>
          <w:b/>
          <w:bCs/>
          <w:color w:val="000000"/>
          <w:sz w:val="21"/>
          <w:szCs w:val="21"/>
        </w:rPr>
        <w:t xml:space="preserve">Verify</w:t>
      </w:r>
      <w:r>
        <w:rPr>
          <w:rFonts w:ascii="Open Sans" w:hAnsi="Open Sans" w:cs="Open Sans"/>
          <w:b w:val="0"/>
          <w:bCs w:val="0"/>
          <w:color w:val="000000"/>
          <w:sz w:val="21"/>
          <w:szCs w:val="21"/>
        </w:rPr>
        <w:t xml:space="preserve"> every number and citation against the source data.</w:t>
      </w:r>
    </w:p>
    <w:p>
      <w:pPr>
        <w:numPr>
          <w:ilvl w:val="0"/>
          <w:numId w:val="91"/>
        </w:numPr>
        <w:spacing w:before="0" w:after="80" w:line="276" w:lineRule="auto"/>
        <w:ind w:left="720" w:hanging="360"/>
      </w:pPr>
      <w:r>
        <w:rPr>
          <w:rFonts w:ascii="Open Sans" w:hAnsi="Open Sans" w:cs="Open Sans"/>
          <w:b/>
          <w:bCs/>
          <w:color w:val="000000"/>
          <w:sz w:val="21"/>
          <w:szCs w:val="21"/>
        </w:rPr>
        <w:t xml:space="preserve">Synthesize</w:t>
      </w:r>
      <w:r>
        <w:rPr>
          <w:rFonts w:ascii="Open Sans" w:hAnsi="Open Sans" w:cs="Open Sans"/>
          <w:b w:val="0"/>
          <w:bCs w:val="0"/>
          <w:color w:val="000000"/>
          <w:sz w:val="21"/>
          <w:szCs w:val="21"/>
        </w:rPr>
        <w:t xml:space="preserve"> a verdict report with confidence levels and clearly flagged evidence gaps.</w:t>
      </w:r>
    </w:p>
    <w:p>
      <w:pPr>
        <w:numPr>
          <w:ilvl w:val="0"/>
          <w:numId w:val="91"/>
        </w:numPr>
        <w:spacing w:before="0" w:after="80" w:line="276" w:lineRule="auto"/>
        <w:ind w:left="720" w:hanging="360"/>
      </w:pPr>
      <w:r>
        <w:rPr>
          <w:rFonts w:ascii="Open Sans" w:hAnsi="Open Sans" w:cs="Open Sans"/>
          <w:b/>
          <w:bCs/>
          <w:color w:val="000000"/>
          <w:sz w:val="21"/>
          <w:szCs w:val="21"/>
        </w:rPr>
        <w:t xml:space="preserve">Record</w:t>
      </w:r>
      <w:r>
        <w:rPr>
          <w:rFonts w:ascii="Open Sans" w:hAnsi="Open Sans" w:cs="Open Sans"/>
          <w:b w:val="0"/>
          <w:bCs w:val="0"/>
          <w:color w:val="000000"/>
          <w:sz w:val="21"/>
          <w:szCs w:val="21"/>
        </w:rPr>
        <w:t xml:space="preserve"> the outcome in memory so the thesis can be re-checked when the next filing arrives.</w:t>
      </w:r>
    </w:p>
    <w:p>
      <w:pPr>
        <w:spacing w:before="0" w:after="120" w:line="276" w:lineRule="auto"/>
      </w:pPr>
      <w:r>
        <w:rPr>
          <w:rFonts w:ascii="Open Sans" w:hAnsi="Open Sans" w:cs="Open Sans"/>
          <w:b/>
          <w:bCs/>
          <w:color w:val="000000"/>
          <w:sz w:val="21"/>
          <w:szCs w:val="21"/>
        </w:rPr>
        <w:t xml:space="preserve">Initial structure.</w:t>
      </w:r>
      <w:r>
        <w:rPr>
          <w:rFonts w:ascii="Open Sans" w:hAnsi="Open Sans" w:cs="Open Sans"/>
          <w:b w:val="0"/>
          <w:bCs w:val="0"/>
          <w:color w:val="000000"/>
          <w:sz w:val="21"/>
          <w:szCs w:val="21"/>
        </w:rPr>
        <w:t xml:space="preserve"> Start as a single tool-using agent (the course starter, also the baseline), then evolve into a supervisor coordinating specialists: thesis analyst, filing researcher, data analyst, bull and bear advocates, fact-checker and report writer.</w:t>
      </w:r>
    </w:p>
    <w:p>
      <w:pPr>
        <w:keepNext/>
        <w:pBdr>
          <w:bottom w:val="single" w:sz="6" w:space="2" w:color="A6192E"/>
        </w:pBdr>
        <w:spacing w:before="280" w:after="100"/>
      </w:pPr>
      <w:r>
        <w:rPr>
          <w:rFonts w:ascii="Open Sans" w:hAnsi="Open Sans" w:cs="Open Sans"/>
          <w:b/>
          <w:bCs/>
          <w:color w:val="A6192E"/>
          <w:sz w:val="25"/>
          <w:szCs w:val="25"/>
        </w:rPr>
        <w:t xml:space="preserve">5. How feedback guides behavior across steps</w:t>
      </w:r>
    </w:p>
    <w:p>
      <w:pPr>
        <w:numPr>
          <w:ilvl w:val="0"/>
          <w:numId w:val="90"/>
        </w:numPr>
        <w:spacing w:before="0" w:after="80" w:line="276" w:lineRule="auto"/>
        <w:ind w:left="720" w:hanging="360"/>
      </w:pPr>
      <w:r>
        <w:rPr>
          <w:rFonts w:ascii="Open Sans" w:hAnsi="Open Sans" w:cs="Open Sans"/>
          <w:b/>
          <w:bCs/>
          <w:color w:val="000000"/>
          <w:sz w:val="21"/>
          <w:szCs w:val="21"/>
        </w:rPr>
        <w:t xml:space="preserve">Tool feedback:</w:t>
      </w:r>
      <w:r>
        <w:rPr>
          <w:rFonts w:ascii="Open Sans" w:hAnsi="Open Sans" w:cs="Open Sans"/>
          <w:b w:val="0"/>
          <w:bCs w:val="0"/>
          <w:color w:val="000000"/>
          <w:sz w:val="21"/>
          <w:szCs w:val="21"/>
        </w:rPr>
        <w:t xml:space="preserve"> API errors or missing data trigger a retry, an alternative source (e.g., the annual 10-K instead of a 10-Q), or marking the claim "insufficient evidence" rather than guessing.</w:t>
      </w:r>
    </w:p>
    <w:p>
      <w:pPr>
        <w:numPr>
          <w:ilvl w:val="0"/>
          <w:numId w:val="90"/>
        </w:numPr>
        <w:spacing w:before="0" w:after="80" w:line="276" w:lineRule="auto"/>
        <w:ind w:left="720" w:hanging="360"/>
      </w:pPr>
      <w:r>
        <w:rPr>
          <w:rFonts w:ascii="Open Sans" w:hAnsi="Open Sans" w:cs="Open Sans"/>
          <w:b/>
          <w:bCs/>
          <w:color w:val="000000"/>
          <w:sz w:val="21"/>
          <w:szCs w:val="21"/>
        </w:rPr>
        <w:t xml:space="preserve">Coverage checks:</w:t>
      </w:r>
      <w:r>
        <w:rPr>
          <w:rFonts w:ascii="Open Sans" w:hAnsi="Open Sans" w:cs="Open Sans"/>
          <w:b w:val="0"/>
          <w:bCs w:val="0"/>
          <w:color w:val="000000"/>
          <w:sz w:val="21"/>
          <w:szCs w:val="21"/>
        </w:rPr>
        <w:t xml:space="preserve"> a claim moves forward only when it has at least one cited passage and one computed metric.</w:t>
      </w:r>
    </w:p>
    <w:p>
      <w:pPr>
        <w:numPr>
          <w:ilvl w:val="0"/>
          <w:numId w:val="90"/>
        </w:numPr>
        <w:spacing w:before="0" w:after="80" w:line="276" w:lineRule="auto"/>
        <w:ind w:left="720" w:hanging="360"/>
      </w:pPr>
      <w:r>
        <w:rPr>
          <w:rFonts w:ascii="Open Sans" w:hAnsi="Open Sans" w:cs="Open Sans"/>
          <w:b/>
          <w:bCs/>
          <w:color w:val="000000"/>
          <w:sz w:val="21"/>
          <w:szCs w:val="21"/>
        </w:rPr>
        <w:t xml:space="preserve">Validator feedback:</w:t>
      </w:r>
      <w:r>
        <w:rPr>
          <w:rFonts w:ascii="Open Sans" w:hAnsi="Open Sans" w:cs="Open Sans"/>
          <w:b w:val="0"/>
          <w:bCs w:val="0"/>
          <w:color w:val="000000"/>
          <w:sz w:val="21"/>
          <w:szCs w:val="21"/>
        </w:rPr>
        <w:t xml:space="preserve"> if the fact-check finds a mismatch between a stated number and the source, the claim is sent back to extraction, with at most two rework loops.</w:t>
      </w:r>
    </w:p>
    <w:p>
      <w:pPr>
        <w:numPr>
          <w:ilvl w:val="0"/>
          <w:numId w:val="90"/>
        </w:numPr>
        <w:spacing w:before="0" w:after="80" w:line="276" w:lineRule="auto"/>
        <w:ind w:left="720" w:hanging="360"/>
      </w:pPr>
      <w:r>
        <w:rPr>
          <w:rFonts w:ascii="Open Sans" w:hAnsi="Open Sans" w:cs="Open Sans"/>
          <w:b/>
          <w:bCs/>
          <w:color w:val="000000"/>
          <w:sz w:val="21"/>
          <w:szCs w:val="21"/>
        </w:rPr>
        <w:t xml:space="preserve">Adversarial feedback:</w:t>
      </w:r>
      <w:r>
        <w:rPr>
          <w:rFonts w:ascii="Open Sans" w:hAnsi="Open Sans" w:cs="Open Sans"/>
          <w:b w:val="0"/>
          <w:bCs w:val="0"/>
          <w:color w:val="000000"/>
          <w:sz w:val="21"/>
          <w:szCs w:val="21"/>
        </w:rPr>
        <w:t xml:space="preserve"> the bear case challenges the bull case. Unresolved disagreement lowers the verdict's confidence instead of looping indefinitely.</w:t>
      </w:r>
    </w:p>
    <w:p>
      <w:pPr>
        <w:numPr>
          <w:ilvl w:val="0"/>
          <w:numId w:val="90"/>
        </w:numPr>
        <w:spacing w:before="0" w:after="80" w:line="276" w:lineRule="auto"/>
        <w:ind w:left="720" w:hanging="360"/>
      </w:pPr>
      <w:r>
        <w:rPr>
          <w:rFonts w:ascii="Open Sans" w:hAnsi="Open Sans" w:cs="Open Sans"/>
          <w:b/>
          <w:bCs/>
          <w:color w:val="000000"/>
          <w:sz w:val="21"/>
          <w:szCs w:val="21"/>
        </w:rPr>
        <w:t xml:space="preserve">Human feedback:</w:t>
      </w:r>
      <w:r>
        <w:rPr>
          <w:rFonts w:ascii="Open Sans" w:hAnsi="Open Sans" w:cs="Open Sans"/>
          <w:b w:val="0"/>
          <w:bCs w:val="0"/>
          <w:color w:val="000000"/>
          <w:sz w:val="21"/>
          <w:szCs w:val="21"/>
        </w:rPr>
        <w:t xml:space="preserve"> the user confirms the claims at the start and approves or overrides the verdict at the end. Overrides are stored in memory to improve future decompositions.</w:t>
      </w:r>
    </w:p>
    <w:p>
      <w:pPr>
        <w:numPr>
          <w:ilvl w:val="0"/>
          <w:numId w:val="90"/>
        </w:numPr>
        <w:spacing w:before="0" w:after="80" w:line="276" w:lineRule="auto"/>
        <w:ind w:left="720" w:hanging="360"/>
      </w:pPr>
      <w:r>
        <w:rPr>
          <w:rFonts w:ascii="Open Sans" w:hAnsi="Open Sans" w:cs="Open Sans"/>
          <w:b/>
          <w:bCs/>
          <w:color w:val="000000"/>
          <w:sz w:val="21"/>
          <w:szCs w:val="21"/>
        </w:rPr>
        <w:t xml:space="preserve">Limits:</w:t>
      </w:r>
      <w:r>
        <w:rPr>
          <w:rFonts w:ascii="Open Sans" w:hAnsi="Open Sans" w:cs="Open Sans"/>
          <w:b w:val="0"/>
          <w:bCs w:val="0"/>
          <w:color w:val="000000"/>
          <w:sz w:val="21"/>
          <w:szCs w:val="21"/>
        </w:rPr>
        <w:t xml:space="preserve"> a maximum number of steps and a cost budget per run keep the agent from looping.</w:t>
      </w:r>
    </w:p>
    <w:p>
      <w:pPr>
        <w:spacing w:before="0" w:after="120" w:line="276" w:lineRule="auto"/>
      </w:pPr>
      <w:r>
        <w:rPr>
          <w:rFonts w:ascii="Open Sans" w:hAnsi="Open Sans" w:cs="Open Sans"/>
          <w:b w:val="0"/>
          <w:bCs w:val="0"/>
          <w:color w:val="000000"/>
          <w:sz w:val="21"/>
          <w:szCs w:val="21"/>
        </w:rPr>
        <w:t xml:space="preserve">This design will be refined in later modules as the agent is built and evaluated.</w:t>
      </w:r>
    </w:p>
    <w:p>
      <w:pPr>
        <w:keepNext/>
        <w:pBdr>
          <w:bottom w:val="single" w:sz="6" w:space="2" w:color="A6192E"/>
        </w:pBdr>
        <w:spacing w:before="280" w:after="100"/>
      </w:pPr>
      <w:r>
        <w:rPr>
          <w:rFonts w:ascii="Open Sans" w:hAnsi="Open Sans" w:cs="Open Sans"/>
          <w:b/>
          <w:bCs/>
          <w:color w:val="A6192E"/>
          <w:sz w:val="25"/>
          <w:szCs w:val="25"/>
        </w:rPr>
        <w:t xml:space="preserve">6. Project repository</w:t>
      </w:r>
    </w:p>
    <w:p>
      <w:pPr>
        <w:spacing w:before="0" w:after="120" w:line="276" w:lineRule="auto"/>
      </w:pPr>
      <w:r>
        <w:rPr>
          <w:rFonts w:ascii="Open Sans" w:hAnsi="Open Sans" w:cs="Open Sans"/>
          <w:b w:val="0"/>
          <w:bCs w:val="0"/>
          <w:color w:val="000000"/>
          <w:sz w:val="21"/>
          <w:szCs w:val="21"/>
        </w:rPr>
        <w:t xml:space="preserve">I have started a public GitHub repository for this capstone: </w:t>
      </w:r>
      <w:fldSimple w:instr=" HYPERLINK &quot;https://github.com/mosachde/agentic-ai-real-world-capstone-work&quot; ">
        <w:r>
          <w:rPr>
            <w:rFonts w:ascii="Open Sans" w:hAnsi="Open Sans" w:cs="Open Sans"/>
            <w:b w:val="0"/>
            <w:bCs w:val="0"/>
            <w:color w:val="A6192E"/>
            <w:u w:val="single"/>
            <w:sz w:val="21"/>
            <w:szCs w:val="21"/>
          </w:rPr>
          <w:t xml:space="preserve">github.com/mosachde/agentic-ai-real-world-capstone-work</w:t>
        </w:r>
      </w:fldSimple>
      <w:r>
        <w:rPr>
          <w:rFonts w:ascii="Open Sans" w:hAnsi="Open Sans" w:cs="Open Sans"/>
          <w:b w:val="0"/>
          <w:bCs w:val="0"/>
          <w:color w:val="000000"/>
          <w:sz w:val="21"/>
          <w:szCs w:val="21"/>
        </w:rPr>
        <w:t xml:space="preserve">. Version </w:t>
      </w:r>
      <w:r>
        <w:rPr>
          <w:rFonts w:ascii="Open Sans" w:hAnsi="Open Sans" w:cs="Open Sans"/>
          <w:b/>
          <w:bCs/>
          <w:color w:val="000000"/>
          <w:sz w:val="21"/>
          <w:szCs w:val="21"/>
        </w:rPr>
        <w:t xml:space="preserve">v1.0</w:t>
      </w:r>
      <w:r>
        <w:rPr>
          <w:rFonts w:ascii="Open Sans" w:hAnsi="Open Sans" w:cs="Open Sans"/>
          <w:b w:val="0"/>
          <w:bCs w:val="0"/>
          <w:color w:val="000000"/>
          <w:sz w:val="21"/>
          <w:szCs w:val="21"/>
        </w:rPr>
        <w:t xml:space="preserve"> captures this Module 1 project definition: the problem, users, positioning and draft architecture, with the course starter code as the baseline. Later checkpoints will be tagged as new versions.</w:t>
      </w:r>
    </w:p>
    <w:sectPr w:rsidR="002A6ADE" w:rsidRPr="00800F8F" w:rsidSect="004967C3">
      <w:headerReference w:type="default" r:id="rId16"/>
      <w:footerReference w:type="default" r:id="rId17"/>
      <w:pgSz w:w="11906" w:h="16838"/>
      <w:pgMar w:top="1440" w:right="1080" w:bottom="1440" w:left="1080" w:header="28" w:footer="708" w:gutter="0"/>
      <w:pgNumType w:start="1"/>
      <w:cols w:space="720"/>
      <w:docGrid w:linePitch="3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04554" w14:textId="77777777" w:rsidR="00A45940" w:rsidRDefault="00A45940">
      <w:pPr>
        <w:spacing w:after="0" w:line="240" w:lineRule="auto"/>
      </w:pPr>
      <w:r>
        <w:separator/>
      </w:r>
    </w:p>
  </w:endnote>
  <w:endnote w:type="continuationSeparator" w:id="0">
    <w:p w14:paraId="2E1FBD8F" w14:textId="77777777" w:rsidR="00A45940" w:rsidRDefault="00A45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3D0FB" w14:textId="63244613" w:rsidR="007F3E2E" w:rsidRPr="003B2B25" w:rsidRDefault="007F3E2E" w:rsidP="007F3E2E">
    <w:pPr>
      <w:pStyle w:val="CMU-H1"/>
      <w:rPr>
        <w:color w:val="212121"/>
        <w:sz w:val="22"/>
        <w:szCs w:val="22"/>
      </w:rPr>
    </w:pPr>
    <w:r>
      <w:rPr>
        <w:color w:val="212121"/>
        <w:sz w:val="22"/>
        <w:szCs w:val="22"/>
      </w:rPr>
      <w:t xml:space="preserve">                                                                                                                                                                                   </w:t>
    </w:r>
  </w:p>
  <w:p w14:paraId="1BED9228" w14:textId="0082FC92" w:rsidR="002A6ADE" w:rsidRDefault="002E667F">
    <w:pPr>
      <w:pBdr>
        <w:top w:val="nil"/>
        <w:left w:val="nil"/>
        <w:bottom w:val="nil"/>
        <w:right w:val="nil"/>
        <w:between w:val="nil"/>
      </w:pBdr>
      <w:tabs>
        <w:tab w:val="center" w:pos="4513"/>
        <w:tab w:val="right" w:pos="9026"/>
      </w:tabs>
      <w:spacing w:after="0" w:line="240" w:lineRule="auto"/>
      <w:rPr>
        <w:rFonts w:ascii="Open Sans" w:eastAsia="Open Sans" w:hAnsi="Open Sans" w:cs="Open Sans"/>
        <w:b w:val="0"/>
        <w:color w:val="000000"/>
        <w:sz w:val="20"/>
        <w:szCs w:val="20"/>
      </w:rPr>
    </w:pPr>
    <w:r w:rsidRPr="00B7426E">
      <w:rPr>
        <w:rFonts w:ascii="Open Sans" w:hAnsi="Open Sans" w:cs="Open Sans"/>
        <w:b w:val="0"/>
        <w:color w:val="212121"/>
        <w:sz w:val="20"/>
        <w:szCs w:val="20"/>
      </w:rPr>
      <w:t>Agentic AI</w:t>
    </w:r>
    <w:r w:rsidR="001209FC">
      <w:rPr>
        <w:rFonts w:ascii="Open Sans" w:hAnsi="Open Sans" w:cs="Open Sans"/>
        <w:b w:val="0"/>
        <w:color w:val="212121"/>
        <w:sz w:val="20"/>
        <w:szCs w:val="20"/>
      </w:rPr>
      <w:t xml:space="preserve"> Program</w:t>
    </w:r>
    <w:r w:rsidRPr="00B7426E">
      <w:rPr>
        <w:rFonts w:ascii="Open Sans" w:hAnsi="Open Sans" w:cs="Open Sans"/>
        <w:b w:val="0"/>
        <w:color w:val="212121"/>
        <w:sz w:val="20"/>
        <w:szCs w:val="20"/>
      </w:rPr>
      <w:t>: Building Autonomous Systems for Real-World Applications</w:t>
    </w:r>
    <w:r>
      <w:rPr>
        <w:rFonts w:ascii="Open Sans" w:hAnsi="Open Sans" w:cs="Open Sans"/>
        <w:b w:val="0"/>
        <w:color w:val="212121"/>
        <w:sz w:val="20"/>
        <w:szCs w:val="20"/>
      </w:rPr>
      <w:t xml:space="preserve">        </w:t>
    </w:r>
    <w:r w:rsidR="007649FC">
      <w:rPr>
        <w:rFonts w:ascii="Open Sans" w:eastAsia="Open Sans" w:hAnsi="Open Sans" w:cs="Open Sans"/>
        <w:b w:val="0"/>
        <w:color w:val="000000"/>
        <w:sz w:val="20"/>
        <w:szCs w:val="20"/>
      </w:rPr>
      <w:tab/>
    </w:r>
    <w:r>
      <w:rPr>
        <w:rFonts w:ascii="Open Sans" w:eastAsia="Open Sans" w:hAnsi="Open Sans" w:cs="Open Sans"/>
        <w:b w:val="0"/>
        <w:color w:val="000000"/>
        <w:sz w:val="20"/>
        <w:szCs w:val="20"/>
      </w:rPr>
      <w:t xml:space="preserve">                  </w:t>
    </w:r>
    <w:r w:rsidR="007649FC">
      <w:rPr>
        <w:rFonts w:ascii="Open Sans" w:eastAsia="Open Sans" w:hAnsi="Open Sans" w:cs="Open Sans"/>
        <w:b w:val="0"/>
        <w:color w:val="000000"/>
        <w:sz w:val="20"/>
        <w:szCs w:val="20"/>
      </w:rPr>
      <w:t xml:space="preserve">Page </w:t>
    </w:r>
    <w:r w:rsidR="007649FC">
      <w:rPr>
        <w:rFonts w:ascii="Open Sans" w:eastAsia="Open Sans" w:hAnsi="Open Sans" w:cs="Open Sans"/>
        <w:b w:val="0"/>
        <w:color w:val="000000"/>
        <w:sz w:val="20"/>
        <w:szCs w:val="20"/>
      </w:rPr>
      <w:fldChar w:fldCharType="begin"/>
    </w:r>
    <w:r w:rsidR="007649FC">
      <w:rPr>
        <w:rFonts w:ascii="Open Sans" w:eastAsia="Open Sans" w:hAnsi="Open Sans" w:cs="Open Sans"/>
        <w:b w:val="0"/>
        <w:color w:val="000000"/>
        <w:sz w:val="20"/>
        <w:szCs w:val="20"/>
      </w:rPr>
      <w:instrText>PAGE</w:instrText>
    </w:r>
    <w:r w:rsidR="007649FC">
      <w:rPr>
        <w:rFonts w:ascii="Open Sans" w:eastAsia="Open Sans" w:hAnsi="Open Sans" w:cs="Open Sans"/>
        <w:b w:val="0"/>
        <w:color w:val="000000"/>
        <w:sz w:val="20"/>
        <w:szCs w:val="20"/>
      </w:rPr>
      <w:fldChar w:fldCharType="separate"/>
    </w:r>
    <w:r w:rsidR="00A33945">
      <w:rPr>
        <w:rFonts w:ascii="Open Sans" w:eastAsia="Open Sans" w:hAnsi="Open Sans" w:cs="Open Sans"/>
        <w:b w:val="0"/>
        <w:noProof/>
        <w:color w:val="000000"/>
        <w:sz w:val="20"/>
        <w:szCs w:val="20"/>
      </w:rPr>
      <w:t>1</w:t>
    </w:r>
    <w:r w:rsidR="007649FC">
      <w:rPr>
        <w:rFonts w:ascii="Open Sans" w:eastAsia="Open Sans" w:hAnsi="Open Sans" w:cs="Open Sans"/>
        <w:b w:val="0"/>
        <w:color w:val="000000"/>
        <w:sz w:val="20"/>
        <w:szCs w:val="20"/>
      </w:rPr>
      <w:fldChar w:fldCharType="end"/>
    </w:r>
    <w:r w:rsidR="007649FC">
      <w:rPr>
        <w:rFonts w:ascii="Open Sans" w:eastAsia="Open Sans" w:hAnsi="Open Sans" w:cs="Open Sans"/>
        <w:b w:val="0"/>
        <w:color w:val="000000"/>
        <w:sz w:val="20"/>
        <w:szCs w:val="20"/>
      </w:rPr>
      <w:t xml:space="preserve"> of </w:t>
    </w:r>
    <w:r w:rsidR="007649FC">
      <w:rPr>
        <w:rFonts w:ascii="Open Sans" w:eastAsia="Open Sans" w:hAnsi="Open Sans" w:cs="Open Sans"/>
        <w:b w:val="0"/>
        <w:color w:val="000000"/>
        <w:sz w:val="20"/>
        <w:szCs w:val="20"/>
      </w:rPr>
      <w:fldChar w:fldCharType="begin"/>
    </w:r>
    <w:r w:rsidR="007649FC">
      <w:rPr>
        <w:rFonts w:ascii="Open Sans" w:eastAsia="Open Sans" w:hAnsi="Open Sans" w:cs="Open Sans"/>
        <w:b w:val="0"/>
        <w:color w:val="000000"/>
        <w:sz w:val="20"/>
        <w:szCs w:val="20"/>
      </w:rPr>
      <w:instrText>NUMPAGES</w:instrText>
    </w:r>
    <w:r w:rsidR="007649FC">
      <w:rPr>
        <w:rFonts w:ascii="Open Sans" w:eastAsia="Open Sans" w:hAnsi="Open Sans" w:cs="Open Sans"/>
        <w:b w:val="0"/>
        <w:color w:val="000000"/>
        <w:sz w:val="20"/>
        <w:szCs w:val="20"/>
      </w:rPr>
      <w:fldChar w:fldCharType="separate"/>
    </w:r>
    <w:r w:rsidR="00A33945">
      <w:rPr>
        <w:rFonts w:ascii="Open Sans" w:eastAsia="Open Sans" w:hAnsi="Open Sans" w:cs="Open Sans"/>
        <w:b w:val="0"/>
        <w:noProof/>
        <w:color w:val="000000"/>
        <w:sz w:val="20"/>
        <w:szCs w:val="20"/>
      </w:rPr>
      <w:t>1</w:t>
    </w:r>
    <w:r w:rsidR="007649FC">
      <w:rPr>
        <w:rFonts w:ascii="Open Sans" w:eastAsia="Open Sans" w:hAnsi="Open Sans" w:cs="Open Sans"/>
        <w:b w:val="0"/>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2DB64" w14:textId="77777777" w:rsidR="00A45940" w:rsidRDefault="00A45940">
      <w:pPr>
        <w:spacing w:after="0" w:line="240" w:lineRule="auto"/>
      </w:pPr>
      <w:r>
        <w:separator/>
      </w:r>
    </w:p>
  </w:footnote>
  <w:footnote w:type="continuationSeparator" w:id="0">
    <w:p w14:paraId="15ADF978" w14:textId="77777777" w:rsidR="00A45940" w:rsidRDefault="00A459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3CB67" w14:textId="11A8869F" w:rsidR="002A6ADE" w:rsidRDefault="00311CD3">
    <w:pPr>
      <w:pBdr>
        <w:top w:val="nil"/>
        <w:left w:val="nil"/>
        <w:bottom w:val="nil"/>
        <w:right w:val="nil"/>
        <w:between w:val="nil"/>
      </w:pBdr>
      <w:tabs>
        <w:tab w:val="center" w:pos="4513"/>
        <w:tab w:val="right" w:pos="9026"/>
      </w:tabs>
      <w:spacing w:after="0" w:line="240" w:lineRule="auto"/>
      <w:ind w:left="-1080"/>
      <w:jc w:val="right"/>
      <w:rPr>
        <w:rFonts w:ascii="Calibri" w:hAnsi="Calibri"/>
        <w:color w:val="000000"/>
      </w:rPr>
    </w:pPr>
    <w:r>
      <w:rPr>
        <w:rFonts w:ascii="Calibri" w:hAnsi="Calibri"/>
        <w:noProof/>
        <w:color w:val="000000"/>
      </w:rPr>
      <w:drawing>
        <wp:inline distT="0" distB="0" distL="0" distR="0" wp14:anchorId="66D70AC4" wp14:editId="121A5F0A">
          <wp:extent cx="7595136" cy="610418"/>
          <wp:effectExtent l="0" t="0" r="0" b="0"/>
          <wp:docPr id="40" name="image1.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0" name="image1.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7595136" cy="61041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5512"/>
    <w:multiLevelType w:val="multilevel"/>
    <w:tmpl w:val="88628940"/>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023FE1"/>
    <w:multiLevelType w:val="multilevel"/>
    <w:tmpl w:val="C50AA142"/>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0E103C"/>
    <w:multiLevelType w:val="hybridMultilevel"/>
    <w:tmpl w:val="3A843262"/>
    <w:lvl w:ilvl="0" w:tplc="6B40D50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B54AC6"/>
    <w:multiLevelType w:val="hybridMultilevel"/>
    <w:tmpl w:val="2D28A9E6"/>
    <w:lvl w:ilvl="0" w:tplc="7A9ACCD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1B6D23"/>
    <w:multiLevelType w:val="multilevel"/>
    <w:tmpl w:val="3C2A8986"/>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2B21049"/>
    <w:multiLevelType w:val="multilevel"/>
    <w:tmpl w:val="E4DC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F390C"/>
    <w:multiLevelType w:val="multilevel"/>
    <w:tmpl w:val="81762AD4"/>
    <w:lvl w:ilvl="0">
      <w:start w:val="1"/>
      <w:numFmt w:val="bullet"/>
      <w:lvlText w:val="•"/>
      <w:lvlJc w:val="left"/>
      <w:pPr>
        <w:ind w:left="1080" w:hanging="720"/>
      </w:pPr>
      <w:rPr>
        <w:rFonts w:ascii="Open Sans" w:eastAsia="Open Sans" w:hAnsi="Open Sans" w:cs="Open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D18641A"/>
    <w:multiLevelType w:val="multilevel"/>
    <w:tmpl w:val="7F42AF20"/>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E9F5FB4"/>
    <w:multiLevelType w:val="multilevel"/>
    <w:tmpl w:val="908A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3C4ED4"/>
    <w:multiLevelType w:val="multilevel"/>
    <w:tmpl w:val="A8ECF072"/>
    <w:lvl w:ilvl="0">
      <w:start w:val="1"/>
      <w:numFmt w:val="decimal"/>
      <w:lvlText w:val="%1."/>
      <w:lvlJc w:val="left"/>
      <w:pPr>
        <w:tabs>
          <w:tab w:val="num" w:pos="1440"/>
        </w:tabs>
        <w:ind w:left="1440" w:hanging="360"/>
      </w:pPr>
      <w:rPr>
        <w:rFonts w:hint="default"/>
        <w:b w:val="0"/>
        <w:bCs/>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 w15:restartNumberingAfterBreak="0">
    <w:nsid w:val="64BB22FA"/>
    <w:multiLevelType w:val="multilevel"/>
    <w:tmpl w:val="FC18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785EBE"/>
    <w:multiLevelType w:val="multilevel"/>
    <w:tmpl w:val="DBD0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321B6"/>
    <w:multiLevelType w:val="multilevel"/>
    <w:tmpl w:val="6492A63C"/>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6C955B2"/>
    <w:multiLevelType w:val="multilevel"/>
    <w:tmpl w:val="81762AD4"/>
    <w:lvl w:ilvl="0">
      <w:start w:val="1"/>
      <w:numFmt w:val="bullet"/>
      <w:lvlText w:val="•"/>
      <w:lvlJc w:val="left"/>
      <w:pPr>
        <w:ind w:left="1080" w:hanging="720"/>
      </w:pPr>
      <w:rPr>
        <w:rFonts w:ascii="Open Sans" w:eastAsia="Open Sans" w:hAnsi="Open Sans" w:cs="Open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8645ADF"/>
    <w:multiLevelType w:val="multilevel"/>
    <w:tmpl w:val="E62E1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10181E"/>
    <w:multiLevelType w:val="multilevel"/>
    <w:tmpl w:val="AAEE0AA0"/>
    <w:lvl w:ilvl="0">
      <w:start w:val="1"/>
      <w:numFmt w:val="decimal"/>
      <w:lvlText w:val="%1."/>
      <w:lvlJc w:val="left"/>
      <w:pPr>
        <w:tabs>
          <w:tab w:val="num" w:pos="720"/>
        </w:tabs>
        <w:ind w:left="720" w:hanging="360"/>
      </w:pPr>
      <w:rPr>
        <w:rFonts w:hint="default"/>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multiLevelType w:val="hybridMultilevel"/>
    <w:lvl w:ilvl="0">
      <w:start w:val="1"/>
      <w:numFmt w:val="bullet"/>
      <w:lvlText w:val="•"/>
      <w:lvlJc w:val="left"/>
      <w:pPr>
        <w:ind w:left="720" w:hanging="360"/>
      </w:pPr>
      <w:rPr>
        <w:rFonts w:ascii="Open Sans" w:hAnsi="Open Sans"/>
        <w:color w:val="A6192E"/>
      </w:rPr>
    </w:lvl>
  </w:abstractNum>
  <w:abstractNum w:abstractNumId="91">
    <w:multiLevelType w:val="hybridMultilevel"/>
    <w:lvl w:ilvl="0">
      <w:start w:val="1"/>
      <w:numFmt w:val="decimal"/>
      <w:lvlText w:val="%1."/>
      <w:lvlJc w:val="left"/>
      <w:pPr>
        <w:ind w:left="720" w:hanging="360"/>
      </w:pPr>
      <w:rPr>
        <w:rFonts w:ascii="Open Sans" w:hAnsi="Open Sans"/>
        <w:b/>
        <w:color w:val="A6192E"/>
      </w:rPr>
    </w:lvl>
  </w:abstractNum>
  <w:num w:numId="1" w16cid:durableId="660079970">
    <w:abstractNumId w:val="6"/>
  </w:num>
  <w:num w:numId="2" w16cid:durableId="1164204433">
    <w:abstractNumId w:val="10"/>
  </w:num>
  <w:num w:numId="3" w16cid:durableId="1465274836">
    <w:abstractNumId w:val="5"/>
  </w:num>
  <w:num w:numId="4" w16cid:durableId="2082559817">
    <w:abstractNumId w:val="11"/>
  </w:num>
  <w:num w:numId="5" w16cid:durableId="81142540">
    <w:abstractNumId w:val="8"/>
  </w:num>
  <w:num w:numId="6" w16cid:durableId="142822702">
    <w:abstractNumId w:val="12"/>
  </w:num>
  <w:num w:numId="7" w16cid:durableId="417870131">
    <w:abstractNumId w:val="4"/>
  </w:num>
  <w:num w:numId="8" w16cid:durableId="755902255">
    <w:abstractNumId w:val="13"/>
  </w:num>
  <w:num w:numId="9" w16cid:durableId="124549786">
    <w:abstractNumId w:val="7"/>
  </w:num>
  <w:num w:numId="10" w16cid:durableId="1849520520">
    <w:abstractNumId w:val="0"/>
  </w:num>
  <w:num w:numId="11" w16cid:durableId="1829251557">
    <w:abstractNumId w:val="1"/>
  </w:num>
  <w:num w:numId="12" w16cid:durableId="402221819">
    <w:abstractNumId w:val="14"/>
  </w:num>
  <w:num w:numId="13" w16cid:durableId="1922522473">
    <w:abstractNumId w:val="3"/>
  </w:num>
  <w:num w:numId="14" w16cid:durableId="494027917">
    <w:abstractNumId w:val="2"/>
  </w:num>
  <w:num w:numId="15" w16cid:durableId="1939949476">
    <w:abstractNumId w:val="15"/>
  </w:num>
  <w:num w:numId="16" w16cid:durableId="1614287921">
    <w:abstractNumId w:val="9"/>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QytjAzM7Q0Njc2N7NU0lEKTi0uzszPAykwrQUACRK0VSwAAAA="/>
  </w:docVars>
  <w:rsids>
    <w:rsidRoot w:val="002A6ADE"/>
    <w:rsid w:val="00004EB6"/>
    <w:rsid w:val="000162D5"/>
    <w:rsid w:val="00043024"/>
    <w:rsid w:val="00045ADE"/>
    <w:rsid w:val="00051366"/>
    <w:rsid w:val="000903A3"/>
    <w:rsid w:val="00090516"/>
    <w:rsid w:val="00090FB3"/>
    <w:rsid w:val="000B3D2B"/>
    <w:rsid w:val="000B781E"/>
    <w:rsid w:val="001209FC"/>
    <w:rsid w:val="0015089B"/>
    <w:rsid w:val="00185573"/>
    <w:rsid w:val="001A69AC"/>
    <w:rsid w:val="001D0B0F"/>
    <w:rsid w:val="001D0BE3"/>
    <w:rsid w:val="001E377E"/>
    <w:rsid w:val="001F03B9"/>
    <w:rsid w:val="00225649"/>
    <w:rsid w:val="00250FE7"/>
    <w:rsid w:val="0026493F"/>
    <w:rsid w:val="00293D4D"/>
    <w:rsid w:val="002A6ADE"/>
    <w:rsid w:val="002B543A"/>
    <w:rsid w:val="002E667F"/>
    <w:rsid w:val="002F529B"/>
    <w:rsid w:val="00323201"/>
    <w:rsid w:val="00331E53"/>
    <w:rsid w:val="00340C41"/>
    <w:rsid w:val="003505DD"/>
    <w:rsid w:val="0037385E"/>
    <w:rsid w:val="00377A82"/>
    <w:rsid w:val="0039308A"/>
    <w:rsid w:val="003A6675"/>
    <w:rsid w:val="003B2B25"/>
    <w:rsid w:val="004223C3"/>
    <w:rsid w:val="00430574"/>
    <w:rsid w:val="00474509"/>
    <w:rsid w:val="004967C3"/>
    <w:rsid w:val="004B0C10"/>
    <w:rsid w:val="004E4FFA"/>
    <w:rsid w:val="004F749B"/>
    <w:rsid w:val="00552AE7"/>
    <w:rsid w:val="005643C8"/>
    <w:rsid w:val="00566A97"/>
    <w:rsid w:val="005C7C37"/>
    <w:rsid w:val="005D151E"/>
    <w:rsid w:val="00627420"/>
    <w:rsid w:val="00633CB9"/>
    <w:rsid w:val="00634AE2"/>
    <w:rsid w:val="006423CD"/>
    <w:rsid w:val="00651717"/>
    <w:rsid w:val="006A0755"/>
    <w:rsid w:val="006C656E"/>
    <w:rsid w:val="006F4173"/>
    <w:rsid w:val="00713577"/>
    <w:rsid w:val="00724D85"/>
    <w:rsid w:val="007649FC"/>
    <w:rsid w:val="0078644D"/>
    <w:rsid w:val="0079662A"/>
    <w:rsid w:val="007B2614"/>
    <w:rsid w:val="007B7C1D"/>
    <w:rsid w:val="007F1578"/>
    <w:rsid w:val="007F3E2E"/>
    <w:rsid w:val="00800F8F"/>
    <w:rsid w:val="0087378C"/>
    <w:rsid w:val="008935A4"/>
    <w:rsid w:val="008D5E24"/>
    <w:rsid w:val="009030C0"/>
    <w:rsid w:val="00904EDB"/>
    <w:rsid w:val="009152B1"/>
    <w:rsid w:val="00943331"/>
    <w:rsid w:val="009C43E4"/>
    <w:rsid w:val="009D18E1"/>
    <w:rsid w:val="00A16C2E"/>
    <w:rsid w:val="00A33945"/>
    <w:rsid w:val="00A3783B"/>
    <w:rsid w:val="00A450DE"/>
    <w:rsid w:val="00A45940"/>
    <w:rsid w:val="00A507DD"/>
    <w:rsid w:val="00A76ACC"/>
    <w:rsid w:val="00A92CB2"/>
    <w:rsid w:val="00AD237A"/>
    <w:rsid w:val="00AE25B8"/>
    <w:rsid w:val="00B01B20"/>
    <w:rsid w:val="00B105FF"/>
    <w:rsid w:val="00B16FA1"/>
    <w:rsid w:val="00B26DDE"/>
    <w:rsid w:val="00B31659"/>
    <w:rsid w:val="00B35C01"/>
    <w:rsid w:val="00BA15DA"/>
    <w:rsid w:val="00BB48B6"/>
    <w:rsid w:val="00BB4FFD"/>
    <w:rsid w:val="00BD7A6F"/>
    <w:rsid w:val="00C21439"/>
    <w:rsid w:val="00C5237E"/>
    <w:rsid w:val="00C527B8"/>
    <w:rsid w:val="00C542BB"/>
    <w:rsid w:val="00C94456"/>
    <w:rsid w:val="00D526E7"/>
    <w:rsid w:val="00DA3421"/>
    <w:rsid w:val="00DC2553"/>
    <w:rsid w:val="00DC693B"/>
    <w:rsid w:val="00DC7025"/>
    <w:rsid w:val="00DE2E2E"/>
    <w:rsid w:val="00E30D18"/>
    <w:rsid w:val="00E32170"/>
    <w:rsid w:val="00E42E2A"/>
    <w:rsid w:val="00E54858"/>
    <w:rsid w:val="00E970E7"/>
    <w:rsid w:val="00EC3383"/>
    <w:rsid w:val="00F2715E"/>
    <w:rsid w:val="00F90D52"/>
    <w:rsid w:val="00FA2C51"/>
    <w:rsid w:val="00FA59CF"/>
    <w:rsid w:val="00FD3840"/>
    <w:rsid w:val="00FD7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BE263EE"/>
  <w15:docId w15:val="{565A3B00-BEA5-4542-8FDF-39CAA8F9B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b/>
        <w:sz w:val="22"/>
        <w:szCs w:val="22"/>
        <w:lang w:val="en-US" w:eastAsia="en-US" w:bidi="ar-SA"/>
      </w:rPr>
    </w:rPrDefault>
    <w:pPrDefault>
      <w:pPr>
        <w:spacing w:after="2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474"/>
    <w:rPr>
      <w:rFonts w:asciiTheme="minorHAnsi" w:hAnsiTheme="minorHAnsi"/>
    </w:rPr>
  </w:style>
  <w:style w:type="paragraph" w:styleId="Heading1">
    <w:name w:val="heading 1"/>
    <w:basedOn w:val="Normal"/>
    <w:next w:val="Normal"/>
    <w:link w:val="Heading1Char"/>
    <w:uiPriority w:val="9"/>
    <w:qFormat/>
    <w:rsid w:val="00464A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4A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64A81"/>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uiPriority w:val="9"/>
    <w:semiHidden/>
    <w:unhideWhenUsed/>
    <w:qFormat/>
    <w:pPr>
      <w:keepNext/>
      <w:keepLines/>
      <w:spacing w:before="240" w:after="40"/>
      <w:outlineLvl w:val="3"/>
    </w:pPr>
    <w:rPr>
      <w:sz w:val="24"/>
      <w:szCs w:val="24"/>
    </w:rPr>
  </w:style>
  <w:style w:type="paragraph" w:styleId="Heading5">
    <w:name w:val="heading 5"/>
    <w:basedOn w:val="Normal"/>
    <w:next w:val="Normal"/>
    <w:uiPriority w:val="9"/>
    <w:semiHidden/>
    <w:unhideWhenUsed/>
    <w:qFormat/>
    <w:pPr>
      <w:keepNext/>
      <w:keepLines/>
      <w:spacing w:before="220" w:after="40"/>
      <w:outlineLvl w:val="4"/>
    </w:pPr>
  </w:style>
  <w:style w:type="paragraph" w:styleId="Heading6">
    <w:name w:val="heading 6"/>
    <w:basedOn w:val="Normal"/>
    <w:next w:val="Normal"/>
    <w:uiPriority w:val="9"/>
    <w:semiHidden/>
    <w:unhideWhenUsed/>
    <w:qFormat/>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sz w:val="72"/>
      <w:szCs w:val="72"/>
    </w:rPr>
  </w:style>
  <w:style w:type="character" w:styleId="PlaceholderText">
    <w:name w:val="Placeholder Text"/>
    <w:basedOn w:val="DefaultParagraphFont"/>
    <w:uiPriority w:val="99"/>
    <w:semiHidden/>
    <w:rsid w:val="00D515B2"/>
    <w:rPr>
      <w:color w:val="808080"/>
    </w:rPr>
  </w:style>
  <w:style w:type="paragraph" w:styleId="ListParagraph">
    <w:name w:val="List Paragraph"/>
    <w:basedOn w:val="Normal"/>
    <w:uiPriority w:val="34"/>
    <w:qFormat/>
    <w:rsid w:val="002A2371"/>
    <w:pPr>
      <w:ind w:left="720"/>
      <w:contextualSpacing/>
    </w:pPr>
  </w:style>
  <w:style w:type="paragraph" w:styleId="Header">
    <w:name w:val="header"/>
    <w:basedOn w:val="Normal"/>
    <w:link w:val="HeaderChar"/>
    <w:uiPriority w:val="99"/>
    <w:unhideWhenUsed/>
    <w:rsid w:val="000A3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3E63"/>
  </w:style>
  <w:style w:type="paragraph" w:styleId="Footer">
    <w:name w:val="footer"/>
    <w:basedOn w:val="Normal"/>
    <w:link w:val="FooterChar"/>
    <w:uiPriority w:val="99"/>
    <w:unhideWhenUsed/>
    <w:rsid w:val="000A3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3E63"/>
  </w:style>
  <w:style w:type="paragraph" w:customStyle="1" w:styleId="CMU-H1">
    <w:name w:val="CMU-H1"/>
    <w:basedOn w:val="Normal"/>
    <w:qFormat/>
    <w:rsid w:val="00AD237A"/>
    <w:pPr>
      <w:keepNext/>
      <w:keepLines/>
      <w:pBdr>
        <w:top w:val="nil"/>
        <w:left w:val="nil"/>
        <w:bottom w:val="nil"/>
        <w:right w:val="nil"/>
        <w:between w:val="nil"/>
      </w:pBdr>
      <w:spacing w:after="240"/>
      <w:jc w:val="center"/>
    </w:pPr>
    <w:rPr>
      <w:rFonts w:ascii="Open Sans" w:eastAsia="Open Sans" w:hAnsi="Open Sans" w:cs="Open Sans"/>
      <w:color w:val="A6192E"/>
      <w:sz w:val="32"/>
      <w:szCs w:val="32"/>
    </w:rPr>
  </w:style>
  <w:style w:type="paragraph" w:customStyle="1" w:styleId="CMU-H2">
    <w:name w:val="CMU-H2"/>
    <w:basedOn w:val="Heading2"/>
    <w:autoRedefine/>
    <w:qFormat/>
    <w:rsid w:val="0031339F"/>
    <w:pPr>
      <w:spacing w:before="0" w:after="240"/>
      <w:jc w:val="center"/>
    </w:pPr>
    <w:rPr>
      <w:rFonts w:ascii="Open Sans" w:eastAsiaTheme="minorEastAsia" w:hAnsi="Open Sans"/>
      <w:color w:val="A6192E"/>
      <w:sz w:val="28"/>
    </w:rPr>
  </w:style>
  <w:style w:type="character" w:customStyle="1" w:styleId="Heading1Char">
    <w:name w:val="Heading 1 Char"/>
    <w:basedOn w:val="DefaultParagraphFont"/>
    <w:link w:val="Heading1"/>
    <w:uiPriority w:val="9"/>
    <w:rsid w:val="00464A81"/>
    <w:rPr>
      <w:rFonts w:asciiTheme="majorHAnsi" w:eastAsiaTheme="majorEastAsia" w:hAnsiTheme="majorHAnsi" w:cstheme="majorBidi"/>
      <w:color w:val="2F5496" w:themeColor="accent1" w:themeShade="BF"/>
      <w:sz w:val="32"/>
      <w:szCs w:val="32"/>
    </w:rPr>
  </w:style>
  <w:style w:type="paragraph" w:customStyle="1" w:styleId="CMU-H3">
    <w:name w:val="CMU-H3"/>
    <w:basedOn w:val="Normal"/>
    <w:next w:val="Heading3"/>
    <w:autoRedefine/>
    <w:qFormat/>
    <w:rsid w:val="00732A5E"/>
    <w:pPr>
      <w:ind w:left="1134" w:right="1418"/>
      <w:jc w:val="center"/>
    </w:pPr>
    <w:rPr>
      <w:rFonts w:ascii="Open Sans" w:hAnsi="Open Sans" w:cs="Open Sans"/>
      <w:color w:val="A6192E"/>
      <w:sz w:val="24"/>
    </w:rPr>
  </w:style>
  <w:style w:type="character" w:customStyle="1" w:styleId="Heading2Char">
    <w:name w:val="Heading 2 Char"/>
    <w:basedOn w:val="DefaultParagraphFont"/>
    <w:link w:val="Heading2"/>
    <w:uiPriority w:val="9"/>
    <w:semiHidden/>
    <w:rsid w:val="00464A81"/>
    <w:rPr>
      <w:rFonts w:asciiTheme="majorHAnsi" w:eastAsiaTheme="majorEastAsia" w:hAnsiTheme="majorHAnsi" w:cstheme="majorBidi"/>
      <w:color w:val="2F5496" w:themeColor="accent1" w:themeShade="BF"/>
      <w:sz w:val="26"/>
      <w:szCs w:val="26"/>
    </w:rPr>
  </w:style>
  <w:style w:type="paragraph" w:customStyle="1" w:styleId="CMU-Paragraph">
    <w:name w:val="CMU-Paragraph"/>
    <w:basedOn w:val="Normal"/>
    <w:next w:val="Normal"/>
    <w:qFormat/>
    <w:rsid w:val="00464A81"/>
    <w:pPr>
      <w:ind w:left="1134" w:right="1416"/>
    </w:pPr>
    <w:rPr>
      <w:rFonts w:ascii="Open Sans" w:hAnsi="Open Sans"/>
      <w:b w:val="0"/>
      <w:bCs/>
      <w:color w:val="000000" w:themeColor="text1"/>
    </w:rPr>
  </w:style>
  <w:style w:type="character" w:customStyle="1" w:styleId="Heading3Char">
    <w:name w:val="Heading 3 Char"/>
    <w:basedOn w:val="DefaultParagraphFont"/>
    <w:link w:val="Heading3"/>
    <w:uiPriority w:val="9"/>
    <w:semiHidden/>
    <w:rsid w:val="00464A81"/>
    <w:rPr>
      <w:rFonts w:asciiTheme="majorHAnsi" w:eastAsiaTheme="majorEastAsia" w:hAnsiTheme="majorHAnsi" w:cstheme="majorBidi"/>
      <w:color w:val="1F3763" w:themeColor="accent1" w:themeShade="7F"/>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250FE7"/>
    <w:pPr>
      <w:spacing w:before="100" w:beforeAutospacing="1" w:after="100" w:afterAutospacing="1" w:line="240" w:lineRule="auto"/>
    </w:pPr>
    <w:rPr>
      <w:rFonts w:ascii="Times New Roman" w:eastAsia="Times New Roman" w:hAnsi="Times New Roman" w:cs="Times New Roman"/>
      <w:b w:val="0"/>
      <w:sz w:val="24"/>
      <w:szCs w:val="24"/>
    </w:rPr>
  </w:style>
  <w:style w:type="paragraph" w:customStyle="1" w:styleId="Default">
    <w:name w:val="Default"/>
    <w:rsid w:val="006A0755"/>
    <w:pPr>
      <w:autoSpaceDE w:val="0"/>
      <w:autoSpaceDN w:val="0"/>
      <w:adjustRightInd w:val="0"/>
      <w:spacing w:after="0" w:line="240" w:lineRule="auto"/>
    </w:pPr>
    <w:rPr>
      <w:rFonts w:ascii="Open Sans" w:hAnsi="Open Sans" w:cs="Open Sans"/>
      <w:color w:val="000000"/>
      <w:sz w:val="24"/>
      <w:szCs w:val="24"/>
    </w:rPr>
  </w:style>
  <w:style w:type="table" w:styleId="TableGrid">
    <w:name w:val="Table Grid"/>
    <w:basedOn w:val="TableNormal"/>
    <w:uiPriority w:val="39"/>
    <w:rsid w:val="00627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EBF5CB0-F6B5-4829-A065-6282B13E343F}"/>
      </w:docPartPr>
      <w:docPartBody>
        <w:p w:rsidR="00A865A2" w:rsidRDefault="00A865A2">
          <w:r w:rsidRPr="00A95F0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5A2"/>
    <w:rsid w:val="008D5E24"/>
    <w:rsid w:val="00A86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65A2"/>
    <w:rPr>
      <w:color w:val="808080"/>
    </w:rPr>
  </w:style>
  <w:style w:type="paragraph" w:customStyle="1" w:styleId="B3DDD9911E16486897DE3F34D5A3F03C">
    <w:name w:val="B3DDD9911E16486897DE3F34D5A3F03C"/>
    <w:rsid w:val="00A865A2"/>
  </w:style>
  <w:style w:type="paragraph" w:customStyle="1" w:styleId="3CBB69AF570546BBA38D8162765904E5">
    <w:name w:val="3CBB69AF570546BBA38D8162765904E5"/>
    <w:rsid w:val="00A865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C67928A359D264F9EF1880C2E221F2D" ma:contentTypeVersion="11" ma:contentTypeDescription="Create a new document." ma:contentTypeScope="" ma:versionID="c3622a102496d83dcbf86952a1135697">
  <xsd:schema xmlns:xsd="http://www.w3.org/2001/XMLSchema" xmlns:xs="http://www.w3.org/2001/XMLSchema" xmlns:p="http://schemas.microsoft.com/office/2006/metadata/properties" xmlns:ns2="b950caa2-3060-400e-ac69-190ee22b5a3c" xmlns:ns3="aa9de4af-3fdf-4657-9a9d-58b7532d65ed" targetNamespace="http://schemas.microsoft.com/office/2006/metadata/properties" ma:root="true" ma:fieldsID="b97c1b2c168b90592a44eaed7a31b998" ns2:_="" ns3:_="">
    <xsd:import namespace="b950caa2-3060-400e-ac69-190ee22b5a3c"/>
    <xsd:import namespace="aa9de4af-3fdf-4657-9a9d-58b7532d65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50caa2-3060-400e-ac69-190ee22b5a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8679018-c8b5-43e9-adcd-8cca0014b20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9de4af-3fdf-4657-9a9d-58b7532d65e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3b5a0d7-2c3c-4730-bbe3-e1f74ef1c084}" ma:internalName="TaxCatchAll" ma:showField="CatchAllData" ma:web="aa9de4af-3fdf-4657-9a9d-58b7532d65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ipwmvtScRWrTBXm/U1U4IL8/yT+Q==">AMUW2mUo3hs247llBQCCeIDyw/o6c4OsjQII5teSoi43v/barLRmXDTC1CnGRzyBBJBKXLTUgrf3Q76HNtJ+zdOE8iULy8k79jUPrIuPxOm7e3PYoIxsqb0=</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b950caa2-3060-400e-ac69-190ee22b5a3c">
      <Terms xmlns="http://schemas.microsoft.com/office/infopath/2007/PartnerControls"/>
    </lcf76f155ced4ddcb4097134ff3c332f>
    <TaxCatchAll xmlns="aa9de4af-3fdf-4657-9a9d-58b7532d65ed" xsi:nil="true"/>
  </documentManagement>
</p:properties>
</file>

<file path=customXml/itemProps1.xml><?xml version="1.0" encoding="utf-8"?>
<ds:datastoreItem xmlns:ds="http://schemas.openxmlformats.org/officeDocument/2006/customXml" ds:itemID="{D2C18057-4B07-48E5-9C44-6590717A6C35}">
  <ds:schemaRefs>
    <ds:schemaRef ds:uri="http://schemas.microsoft.com/sharepoint/v3/contenttype/forms"/>
  </ds:schemaRefs>
</ds:datastoreItem>
</file>

<file path=customXml/itemProps2.xml><?xml version="1.0" encoding="utf-8"?>
<ds:datastoreItem xmlns:ds="http://schemas.openxmlformats.org/officeDocument/2006/customXml" ds:itemID="{077DB219-E873-4711-93A1-466AFC3AFFCD}">
  <ds:schemaRefs>
    <ds:schemaRef ds:uri="http://schemas.openxmlformats.org/officeDocument/2006/bibliography"/>
  </ds:schemaRefs>
</ds:datastoreItem>
</file>

<file path=customXml/itemProps3.xml><?xml version="1.0" encoding="utf-8"?>
<ds:datastoreItem xmlns:ds="http://schemas.openxmlformats.org/officeDocument/2006/customXml" ds:itemID="{A06FEAF8-D1E3-4DAA-A32C-64B3F18901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50caa2-3060-400e-ac69-190ee22b5a3c"/>
    <ds:schemaRef ds:uri="aa9de4af-3fdf-4657-9a9d-58b7532d65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60719B45-0898-4DEB-BD0F-162ECB033CEC}">
  <ds:schemaRefs>
    <ds:schemaRef ds:uri="http://purl.org/dc/terms/"/>
    <ds:schemaRef ds:uri="http://schemas.microsoft.com/office/infopath/2007/PartnerControls"/>
    <ds:schemaRef ds:uri="http://purl.org/dc/dcmitype/"/>
    <ds:schemaRef ds:uri="http://purl.org/dc/elements/1.1/"/>
    <ds:schemaRef ds:uri="http://schemas.microsoft.com/office/2006/documentManagement/types"/>
    <ds:schemaRef ds:uri="http://schemas.openxmlformats.org/package/2006/metadata/core-properties"/>
    <ds:schemaRef ds:uri="http://www.w3.org/XML/1998/namespace"/>
    <ds:schemaRef ds:uri="aa9de4af-3fdf-4657-9a9d-58b7532d65ed"/>
    <ds:schemaRef ds:uri="b950caa2-3060-400e-ac69-190ee22b5a3c"/>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399</Words>
  <Characters>2280</Characters>
  <Application>Microsoft Office Word</Application>
  <DocSecurity>0</DocSecurity>
  <Lines>19</Lines>
  <Paragraphs>5</Paragraphs>
  <ScaleCrop>false</ScaleCrop>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Mohit Sachdeva</dc:creator>
  <cp:lastModifiedBy>Hridhaya Benny</cp:lastModifiedBy>
  <cp:revision>2</cp:revision>
  <cp:lastPrinted>2026-04-29T16:54:00Z</cp:lastPrinted>
  <dcterms:created xsi:type="dcterms:W3CDTF">2026-04-29T17:33:00Z</dcterms:created>
  <dcterms:modified xsi:type="dcterms:W3CDTF">2026-04-29T17:33:00Z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0x010100BC67928A359D264F9EF1880C2E221F2D</vt:lpwstr>
  </property>
  <property fmtid="{D5CDD505-2E9C-101B-9397-08002B2CF9AE}" pid="3" name="GrammarlyDocumentId">
    <vt:lpwstr>0737f50c-8330-44ed-84e3-266e177d3930</vt:lpwstr>
  </property>
</Properties>
</file>