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D1FE" w14:textId="3327E045" w:rsidR="00A23AC3" w:rsidRPr="0084572F" w:rsidRDefault="00A23AC3" w:rsidP="0084572F">
      <w:pPr>
        <w:spacing w:before="200" w:after="200" w:line="276" w:lineRule="auto"/>
        <w:rPr>
          <w:rFonts w:asciiTheme="minorHAnsi" w:eastAsiaTheme="minorHAnsi" w:hAnsiTheme="minorHAnsi" w:cstheme="minorBidi"/>
          <w:b/>
          <w:bCs/>
          <w:lang w:val="en-US" w:eastAsia="en-US"/>
        </w:rPr>
      </w:pPr>
      <w:r w:rsidRPr="00A23AC3">
        <w:rPr>
          <w:b/>
          <w:bCs/>
          <w:sz w:val="28"/>
          <w:szCs w:val="28"/>
          <w:u w:val="single"/>
        </w:rPr>
        <w:t>REFERENCES</w:t>
      </w:r>
    </w:p>
    <w:p w14:paraId="1A536F04" w14:textId="0F1B1AB2" w:rsidR="00D517BC" w:rsidRDefault="00D517BC" w:rsidP="00D517BC">
      <w:pPr>
        <w:pStyle w:val="NormalWeb"/>
        <w:ind w:left="567" w:hanging="567"/>
      </w:pPr>
      <w:proofErr w:type="spellStart"/>
      <w:r>
        <w:t>Aquaplot</w:t>
      </w:r>
      <w:proofErr w:type="spellEnd"/>
      <w:r>
        <w:t xml:space="preserve">. (2022). </w:t>
      </w:r>
      <w:r>
        <w:rPr>
          <w:i/>
          <w:iCs/>
        </w:rPr>
        <w:t>Connecting Maritime</w:t>
      </w:r>
      <w:r>
        <w:t xml:space="preserve">. </w:t>
      </w:r>
      <w:proofErr w:type="spellStart"/>
      <w:r>
        <w:t>Aquaplot</w:t>
      </w:r>
      <w:proofErr w:type="spellEnd"/>
      <w:r>
        <w:t xml:space="preserve">. Retrieved from https://www.aquaplot.com/ </w:t>
      </w:r>
    </w:p>
    <w:p w14:paraId="01D1EC14" w14:textId="77EA4F5C" w:rsidR="002B054E" w:rsidRDefault="002B054E" w:rsidP="002B054E">
      <w:pPr>
        <w:pStyle w:val="NormalWeb"/>
        <w:ind w:left="567" w:hanging="567"/>
      </w:pPr>
      <w:r>
        <w:t xml:space="preserve">Amadeo, K. (2021). </w:t>
      </w:r>
      <w:r>
        <w:rPr>
          <w:i/>
          <w:iCs/>
        </w:rPr>
        <w:t>Oil Price Forecast 2021-2050</w:t>
      </w:r>
      <w:r>
        <w:t>. The Balance. Retrieved from https://www.thebalance.com/oil-price-forecast-3306219#toc-oil-price-forecast-2025-to-2050</w:t>
      </w:r>
      <w:r w:rsidR="00195329">
        <w:t>.</w:t>
      </w:r>
    </w:p>
    <w:p w14:paraId="702B884A" w14:textId="4D9035ED" w:rsidR="004A6883" w:rsidRDefault="004A6883" w:rsidP="004A6883">
      <w:pPr>
        <w:pStyle w:val="NormalWeb"/>
        <w:ind w:left="567" w:hanging="567"/>
      </w:pPr>
      <w:proofErr w:type="spellStart"/>
      <w:r>
        <w:t>Buhaug</w:t>
      </w:r>
      <w:proofErr w:type="spellEnd"/>
      <w:r>
        <w:t xml:space="preserve">, O., Corbett, J. J., </w:t>
      </w:r>
      <w:proofErr w:type="spellStart"/>
      <w:r>
        <w:t>Endresen</w:t>
      </w:r>
      <w:proofErr w:type="spellEnd"/>
      <w:r>
        <w:t xml:space="preserve">, O., Eyring, V., Faber, J., </w:t>
      </w:r>
      <w:proofErr w:type="spellStart"/>
      <w:r>
        <w:t>Hanayama</w:t>
      </w:r>
      <w:proofErr w:type="spellEnd"/>
      <w:r>
        <w:t xml:space="preserve">, S., Lee, D. S., Lee, D., </w:t>
      </w:r>
      <w:proofErr w:type="spellStart"/>
      <w:r>
        <w:t>Lindstad</w:t>
      </w:r>
      <w:proofErr w:type="spellEnd"/>
      <w:r>
        <w:t xml:space="preserve">, H., </w:t>
      </w:r>
      <w:proofErr w:type="spellStart"/>
      <w:r>
        <w:t>Markowska</w:t>
      </w:r>
      <w:proofErr w:type="spellEnd"/>
      <w:r>
        <w:t xml:space="preserve">, A. Z., </w:t>
      </w:r>
      <w:proofErr w:type="spellStart"/>
      <w:r>
        <w:t>Mjelde</w:t>
      </w:r>
      <w:proofErr w:type="spellEnd"/>
      <w:r>
        <w:t xml:space="preserve">, A., </w:t>
      </w:r>
      <w:proofErr w:type="spellStart"/>
      <w:r>
        <w:t>Nelissen</w:t>
      </w:r>
      <w:proofErr w:type="spellEnd"/>
      <w:r>
        <w:t xml:space="preserve">, D., Nilsen, J., </w:t>
      </w:r>
      <w:proofErr w:type="spellStart"/>
      <w:r>
        <w:t>Pålsson</w:t>
      </w:r>
      <w:proofErr w:type="spellEnd"/>
      <w:r>
        <w:t xml:space="preserve">, C., </w:t>
      </w:r>
      <w:proofErr w:type="spellStart"/>
      <w:r>
        <w:t>Winebrake</w:t>
      </w:r>
      <w:proofErr w:type="spellEnd"/>
      <w:r>
        <w:t xml:space="preserve">, J. J., Wu, W., &amp; Yoshida, K. (2009). (rep.). </w:t>
      </w:r>
      <w:r>
        <w:rPr>
          <w:i/>
          <w:iCs/>
        </w:rPr>
        <w:t>Second IMO GHG Study 2009</w:t>
      </w:r>
      <w:r>
        <w:t xml:space="preserve">. International Maritime Organization. Retrieved from https://wwwcdn.imo.org/localresources/en/OurWork/Environment/Documents/SecondIMOGHGStudy2009.pdf. </w:t>
      </w:r>
    </w:p>
    <w:p w14:paraId="307195DF" w14:textId="140B99BE" w:rsidR="00EA2994" w:rsidRDefault="00EA2994" w:rsidP="00EA2994">
      <w:pPr>
        <w:pStyle w:val="NormalWeb"/>
        <w:ind w:left="567" w:hanging="567"/>
      </w:pPr>
      <w:proofErr w:type="spellStart"/>
      <w:r>
        <w:t>Gleb</w:t>
      </w:r>
      <w:proofErr w:type="spellEnd"/>
      <w:r>
        <w:t xml:space="preserve">, S., &amp; </w:t>
      </w:r>
      <w:proofErr w:type="spellStart"/>
      <w:r>
        <w:t>Jin</w:t>
      </w:r>
      <w:proofErr w:type="spellEnd"/>
      <w:r>
        <w:t xml:space="preserve">, J. G. (2021). Evaluating the feasibility of combined use of the Northern Sea Route and the Suez Canal Route considering ice parameters. </w:t>
      </w:r>
      <w:r>
        <w:rPr>
          <w:i/>
          <w:iCs/>
        </w:rPr>
        <w:t>Transportation Research Part A</w:t>
      </w:r>
      <w:r>
        <w:t xml:space="preserve">, </w:t>
      </w:r>
      <w:r>
        <w:rPr>
          <w:i/>
          <w:iCs/>
        </w:rPr>
        <w:t>147</w:t>
      </w:r>
      <w:r>
        <w:t xml:space="preserve">, 350–369. https://doi.org/10.1016/j.tra.2021.03.024 </w:t>
      </w:r>
    </w:p>
    <w:p w14:paraId="281F93CA" w14:textId="5B32A6D4" w:rsidR="00D02BD9" w:rsidRDefault="00D02BD9" w:rsidP="00D02BD9">
      <w:pPr>
        <w:pStyle w:val="NormalWeb"/>
        <w:ind w:left="567" w:hanging="567"/>
      </w:pPr>
      <w:r>
        <w:t xml:space="preserve">Faber, J. (2020). (rep.). </w:t>
      </w:r>
      <w:r>
        <w:rPr>
          <w:i/>
          <w:iCs/>
        </w:rPr>
        <w:t>Fourth IMO GHG Study 2020</w:t>
      </w:r>
      <w:r>
        <w:t xml:space="preserve">. International Maritime Organization. Retrieved from https://wwwcdn.imo.org/localresources/en/OurWork/Environment/Documents/Fourth%20IMO%20GHG%20Study%202020%20-%20Full%20report%20and%20annexes.pdf. </w:t>
      </w:r>
    </w:p>
    <w:p w14:paraId="07FFB853" w14:textId="7B30CDC8" w:rsidR="0063413D" w:rsidRDefault="0063413D" w:rsidP="0063413D">
      <w:pPr>
        <w:pStyle w:val="NormalWeb"/>
        <w:ind w:left="567" w:hanging="567"/>
      </w:pPr>
      <w:proofErr w:type="spellStart"/>
      <w:r>
        <w:t>Eliseev</w:t>
      </w:r>
      <w:proofErr w:type="spellEnd"/>
      <w:r>
        <w:t xml:space="preserve">, D. O., &amp; Naumova, Y. V. (2020). Simulation of Transit Transportation along the Northern Sea Route under Climate Change. </w:t>
      </w:r>
      <w:r>
        <w:rPr>
          <w:i/>
          <w:iCs/>
        </w:rPr>
        <w:t>Studies on Russian Economic Development</w:t>
      </w:r>
      <w:r>
        <w:t xml:space="preserve">, </w:t>
      </w:r>
      <w:r>
        <w:rPr>
          <w:i/>
          <w:iCs/>
        </w:rPr>
        <w:t>32</w:t>
      </w:r>
      <w:r>
        <w:t xml:space="preserve">(2), 160–168. https://doi.org/10.1134/S1075700721020040 </w:t>
      </w:r>
    </w:p>
    <w:p w14:paraId="0BC37BDD" w14:textId="2ABFCB02" w:rsidR="00E6298F" w:rsidRDefault="00E6298F" w:rsidP="00E6298F">
      <w:pPr>
        <w:pStyle w:val="NormalWeb"/>
        <w:ind w:left="567" w:hanging="567"/>
      </w:pPr>
      <w:proofErr w:type="spellStart"/>
      <w:r>
        <w:t>Furuichi</w:t>
      </w:r>
      <w:proofErr w:type="spellEnd"/>
      <w:r>
        <w:t xml:space="preserve">, M., &amp; Otsuka, N. (2018). Examining quick delivery at an affordable cost by the NSR/SCR-combined shipping in the age of Mega-ships. </w:t>
      </w:r>
      <w:r>
        <w:rPr>
          <w:i/>
          <w:iCs/>
        </w:rPr>
        <w:t>Maritime Policy &amp; Management</w:t>
      </w:r>
      <w:r>
        <w:t xml:space="preserve">, </w:t>
      </w:r>
      <w:r>
        <w:rPr>
          <w:i/>
          <w:iCs/>
        </w:rPr>
        <w:t>45</w:t>
      </w:r>
      <w:r>
        <w:t xml:space="preserve">(8), 1057–1077. https://doi.org/10.1080/03088839.2018.1473656 </w:t>
      </w:r>
    </w:p>
    <w:p w14:paraId="1ADBDE4D" w14:textId="6F3FFC50" w:rsidR="003E1C28" w:rsidRDefault="003E1C28" w:rsidP="003E1C28">
      <w:pPr>
        <w:pStyle w:val="NormalWeb"/>
        <w:ind w:left="567" w:hanging="567"/>
      </w:pPr>
      <w:proofErr w:type="spellStart"/>
      <w:r>
        <w:t>Furuichi</w:t>
      </w:r>
      <w:proofErr w:type="spellEnd"/>
      <w:r>
        <w:t xml:space="preserve">, M., &amp; Otsuka, N. (2014). Cost Analysis of the Northern Sea Route (NSR) and the Conventional Route Shipping. In </w:t>
      </w:r>
      <w:r>
        <w:rPr>
          <w:i/>
          <w:iCs/>
        </w:rPr>
        <w:t>Proceedings of the IAME 2013 Conference</w:t>
      </w:r>
      <w:r>
        <w:t xml:space="preserve">. Marseille; Research Gate. </w:t>
      </w:r>
    </w:p>
    <w:p w14:paraId="04BF7F14" w14:textId="6BB91458" w:rsidR="00650661" w:rsidRDefault="00650661" w:rsidP="00650661">
      <w:pPr>
        <w:pStyle w:val="NormalWeb"/>
        <w:ind w:left="567" w:hanging="567"/>
      </w:pPr>
      <w:proofErr w:type="spellStart"/>
      <w:r>
        <w:t>Furuichi</w:t>
      </w:r>
      <w:proofErr w:type="spellEnd"/>
      <w:r>
        <w:t xml:space="preserve">, M., &amp; Otsuka, N. (2014). Proposing a common platform of shipping cost analysis of the Northern Sea Route and the Suez Canal Route. </w:t>
      </w:r>
      <w:r>
        <w:rPr>
          <w:i/>
          <w:iCs/>
        </w:rPr>
        <w:t>Maritime Economics &amp; Logistics</w:t>
      </w:r>
      <w:r>
        <w:t xml:space="preserve">, </w:t>
      </w:r>
      <w:r>
        <w:rPr>
          <w:i/>
          <w:iCs/>
        </w:rPr>
        <w:t>14</w:t>
      </w:r>
      <w:r>
        <w:t xml:space="preserve">, 9–31. https://doi.org/10.1057/mel.2014.29 </w:t>
      </w:r>
    </w:p>
    <w:p w14:paraId="5E169C08" w14:textId="6DB63D32" w:rsidR="00062D27" w:rsidRDefault="00062D27" w:rsidP="00062D27">
      <w:pPr>
        <w:pStyle w:val="NormalWeb"/>
        <w:ind w:left="567" w:hanging="567"/>
      </w:pPr>
      <w:r>
        <w:t xml:space="preserve">Hansen, C. O., </w:t>
      </w:r>
      <w:proofErr w:type="spellStart"/>
      <w:r>
        <w:t>Gronsedt</w:t>
      </w:r>
      <w:proofErr w:type="spellEnd"/>
      <w:r>
        <w:t xml:space="preserve">, P., </w:t>
      </w:r>
      <w:proofErr w:type="spellStart"/>
      <w:r>
        <w:t>Graversen</w:t>
      </w:r>
      <w:proofErr w:type="spellEnd"/>
      <w:r>
        <w:t xml:space="preserve">, C. L., &amp; Hendriksen, C. (2016).(rep.). </w:t>
      </w:r>
      <w:r w:rsidRPr="00062D27">
        <w:rPr>
          <w:i/>
          <w:iCs/>
        </w:rPr>
        <w:t>Arctic Shipping - Commercial Opportunities and Challenges</w:t>
      </w:r>
      <w:r>
        <w:t xml:space="preserve">. CBS Maritime. Retrieved from https://services-webdav.cbs.dk/doc/CBS.dk/Arctic%20Shipping%20-%20Commercial%20Opportunities%20and%20Challenges.pdf. </w:t>
      </w:r>
    </w:p>
    <w:p w14:paraId="035697EF" w14:textId="1F1D25E4" w:rsidR="00D02BD9" w:rsidRDefault="00D02BD9" w:rsidP="00D02BD9">
      <w:pPr>
        <w:pStyle w:val="NormalWeb"/>
        <w:ind w:left="567" w:hanging="567"/>
      </w:pPr>
      <w:r>
        <w:t xml:space="preserve">Hapag-Lloyd. (2015). </w:t>
      </w:r>
      <w:r>
        <w:rPr>
          <w:i/>
          <w:iCs/>
        </w:rPr>
        <w:t>Vessels</w:t>
      </w:r>
      <w:r>
        <w:t xml:space="preserve">. Hapag-Lloyd. Retrieved from </w:t>
      </w:r>
      <w:hyperlink r:id="rId6" w:history="1">
        <w:r w:rsidR="005611C6" w:rsidRPr="00095E73">
          <w:rPr>
            <w:rStyle w:val="Hyperlink"/>
          </w:rPr>
          <w:t>https://www.hapag-lloyd.com/en/services-information/cargo-fleet/vessels/vessel.html</w:t>
        </w:r>
      </w:hyperlink>
      <w:r>
        <w:t xml:space="preserve"> </w:t>
      </w:r>
    </w:p>
    <w:p w14:paraId="11322A60" w14:textId="1E6AE4FD" w:rsidR="005611C6" w:rsidRDefault="005611C6" w:rsidP="005611C6">
      <w:pPr>
        <w:pStyle w:val="NormalWeb"/>
        <w:ind w:left="567" w:hanging="567"/>
      </w:pPr>
      <w:r>
        <w:lastRenderedPageBreak/>
        <w:t xml:space="preserve">Peters, G. P., </w:t>
      </w:r>
      <w:proofErr w:type="spellStart"/>
      <w:r>
        <w:t>Nilssen</w:t>
      </w:r>
      <w:proofErr w:type="spellEnd"/>
      <w:r>
        <w:t xml:space="preserve">, T. B., </w:t>
      </w:r>
      <w:proofErr w:type="spellStart"/>
      <w:r>
        <w:t>Lindholt</w:t>
      </w:r>
      <w:proofErr w:type="spellEnd"/>
      <w:r>
        <w:t xml:space="preserve">, L., Eide, M. S., </w:t>
      </w:r>
      <w:proofErr w:type="spellStart"/>
      <w:r>
        <w:t>Glomsrød</w:t>
      </w:r>
      <w:proofErr w:type="spellEnd"/>
      <w:r>
        <w:t xml:space="preserve">, S., Eide, L. I., &amp; </w:t>
      </w:r>
      <w:proofErr w:type="spellStart"/>
      <w:r>
        <w:t>Fuglestvedt</w:t>
      </w:r>
      <w:proofErr w:type="spellEnd"/>
      <w:r>
        <w:t xml:space="preserve">, J. S. (2011). Future emissions from shipping and petroleum activities in the Arctic. </w:t>
      </w:r>
      <w:r>
        <w:rPr>
          <w:i/>
          <w:iCs/>
        </w:rPr>
        <w:t>Atmospheric Chemistry and Physics</w:t>
      </w:r>
      <w:r>
        <w:t xml:space="preserve">, </w:t>
      </w:r>
      <w:r>
        <w:rPr>
          <w:i/>
          <w:iCs/>
        </w:rPr>
        <w:t>11</w:t>
      </w:r>
      <w:r>
        <w:t xml:space="preserve">, 5305–5320. https://doi.org/:10.5194/acp-11-5305-2011 </w:t>
      </w:r>
    </w:p>
    <w:p w14:paraId="05DF8A6A" w14:textId="79AB6958" w:rsidR="004A0CB8" w:rsidRDefault="004A0CB8" w:rsidP="00A23AC3">
      <w:pPr>
        <w:pStyle w:val="NormalWeb"/>
        <w:ind w:left="567" w:hanging="567"/>
      </w:pPr>
      <w:r>
        <w:t xml:space="preserve">Wang, D., Ding, R., Gong, Y., Wang, R., Wang, J., &amp; Huang, X. (2020). Feasibility of the Northern Sea Route for oil shipping from the economic and environmental perspective and its influence on China’s oil imports. </w:t>
      </w:r>
      <w:r>
        <w:rPr>
          <w:i/>
          <w:iCs/>
        </w:rPr>
        <w:t>Marine Policy</w:t>
      </w:r>
      <w:r>
        <w:t xml:space="preserve">, </w:t>
      </w:r>
      <w:r>
        <w:rPr>
          <w:i/>
          <w:iCs/>
        </w:rPr>
        <w:t>118,</w:t>
      </w:r>
      <w:r w:rsidR="00BE0160">
        <w:rPr>
          <w:i/>
          <w:iCs/>
        </w:rPr>
        <w:t xml:space="preserve"> </w:t>
      </w:r>
      <w:r w:rsidR="00BE0160" w:rsidRPr="00BE0160">
        <w:t>1-11</w:t>
      </w:r>
      <w:r>
        <w:t xml:space="preserve">. Retrieved from https://doi.org/10.1016/j.marpol.2020.104006. </w:t>
      </w:r>
    </w:p>
    <w:p w14:paraId="3FF5443D" w14:textId="34C6F2D1" w:rsidR="00771736" w:rsidRDefault="00771736" w:rsidP="00771736">
      <w:pPr>
        <w:spacing w:before="100" w:beforeAutospacing="1" w:after="100" w:afterAutospacing="1"/>
        <w:ind w:left="567" w:hanging="567"/>
      </w:pPr>
      <w:r w:rsidRPr="00771736">
        <w:t xml:space="preserve">Wharf, C. (2021, July). </w:t>
      </w:r>
      <w:r w:rsidRPr="00771736">
        <w:rPr>
          <w:i/>
          <w:iCs/>
        </w:rPr>
        <w:t>Piracy and armed robbery against ships</w:t>
      </w:r>
      <w:r w:rsidRPr="00771736">
        <w:t xml:space="preserve">. International Maritime Bureau. Retrieved from https://www.icc-ccs.org/reports/2021_Q1_IMB_Piracy_Report.pdf </w:t>
      </w:r>
    </w:p>
    <w:p w14:paraId="00A164DC" w14:textId="34CF2660" w:rsidR="00DC077C" w:rsidRDefault="00DC077C" w:rsidP="00DC077C">
      <w:pPr>
        <w:pStyle w:val="NormalWeb"/>
        <w:ind w:left="567" w:hanging="567"/>
      </w:pPr>
      <w:r>
        <w:t xml:space="preserve">Zhang, Y., Meng, Q., &amp; Ng, S. H. (2016). Shipping efficiency comparison between Northern Sea Route and the conventional Asia-Europe shipping route via Suez Canal. </w:t>
      </w:r>
      <w:r>
        <w:rPr>
          <w:i/>
          <w:iCs/>
        </w:rPr>
        <w:t>Journal of Transport Geography</w:t>
      </w:r>
      <w:r>
        <w:t xml:space="preserve">, </w:t>
      </w:r>
      <w:r>
        <w:rPr>
          <w:i/>
          <w:iCs/>
        </w:rPr>
        <w:t>57</w:t>
      </w:r>
      <w:r>
        <w:t>(1), 241–249.</w:t>
      </w:r>
      <w:r w:rsidR="00E6298F">
        <w:t xml:space="preserve"> </w:t>
      </w:r>
      <w:hyperlink r:id="rId7" w:history="1">
        <w:r w:rsidR="0025084D" w:rsidRPr="00095E73">
          <w:rPr>
            <w:rStyle w:val="Hyperlink"/>
          </w:rPr>
          <w:t>https://dx.doi.org/10.1016/j.jtrangeo.2016.09.008</w:t>
        </w:r>
      </w:hyperlink>
      <w:r>
        <w:t xml:space="preserve"> </w:t>
      </w:r>
    </w:p>
    <w:p w14:paraId="35596F1A" w14:textId="28FE498B" w:rsidR="0025084D" w:rsidRDefault="0025084D" w:rsidP="0025084D">
      <w:pPr>
        <w:pStyle w:val="NormalWeb"/>
        <w:ind w:left="567" w:hanging="567"/>
      </w:pPr>
      <w:r>
        <w:t xml:space="preserve">Zhu, S., Fu, X., Ng, A. K., Luo, M., &amp; Ge, Y. E. (2018). The environmental costs and economic implications of container shipping on the Northern Sea Route. </w:t>
      </w:r>
      <w:r>
        <w:rPr>
          <w:i/>
          <w:iCs/>
        </w:rPr>
        <w:t>Maritime Policy &amp; Management</w:t>
      </w:r>
      <w:r>
        <w:t xml:space="preserve">, </w:t>
      </w:r>
      <w:r>
        <w:rPr>
          <w:i/>
          <w:iCs/>
        </w:rPr>
        <w:t>45</w:t>
      </w:r>
      <w:r>
        <w:t xml:space="preserve">(4), 456–477. https://doi.org/10.1080/03088839.2018.1443228 </w:t>
      </w:r>
    </w:p>
    <w:p w14:paraId="3E581630" w14:textId="54580E39" w:rsidR="000658D2" w:rsidRDefault="000658D2" w:rsidP="0025084D">
      <w:pPr>
        <w:pStyle w:val="NormalWeb"/>
        <w:ind w:left="567" w:hanging="567"/>
      </w:pPr>
      <w:r>
        <w:tab/>
      </w:r>
    </w:p>
    <w:p w14:paraId="6B22D549" w14:textId="77777777" w:rsidR="0025084D" w:rsidRDefault="0025084D" w:rsidP="00DC077C">
      <w:pPr>
        <w:pStyle w:val="NormalWeb"/>
        <w:ind w:left="567" w:hanging="567"/>
      </w:pPr>
    </w:p>
    <w:p w14:paraId="68FD60DA" w14:textId="77777777" w:rsidR="00DC077C" w:rsidRDefault="00DC077C" w:rsidP="0063413D">
      <w:pPr>
        <w:pStyle w:val="NormalWeb"/>
        <w:ind w:left="567" w:hanging="567"/>
      </w:pPr>
    </w:p>
    <w:p w14:paraId="6B3A89A6" w14:textId="77777777" w:rsidR="0063413D" w:rsidRDefault="0063413D" w:rsidP="000D4D66">
      <w:pPr>
        <w:pStyle w:val="ListParagraph"/>
        <w:rPr>
          <w:b/>
          <w:bCs/>
          <w:sz w:val="24"/>
          <w:szCs w:val="24"/>
          <w:lang w:val="en-US"/>
        </w:rPr>
      </w:pPr>
    </w:p>
    <w:p w14:paraId="7DE19076" w14:textId="77777777" w:rsidR="000D4D66" w:rsidRDefault="000D4D66" w:rsidP="000D4D66">
      <w:pPr>
        <w:pStyle w:val="ListParagraph"/>
        <w:rPr>
          <w:b/>
          <w:bCs/>
          <w:sz w:val="24"/>
          <w:szCs w:val="24"/>
          <w:lang w:val="en-US"/>
        </w:rPr>
      </w:pPr>
    </w:p>
    <w:p w14:paraId="0DEE9E85" w14:textId="6BEE08BC" w:rsidR="000D4D66" w:rsidRPr="000D4D66" w:rsidRDefault="000D4D66" w:rsidP="000D4D66">
      <w:pPr>
        <w:pStyle w:val="ListParagraph"/>
        <w:rPr>
          <w:b/>
          <w:bCs/>
          <w:sz w:val="24"/>
          <w:szCs w:val="24"/>
          <w:lang w:val="en-US"/>
        </w:rPr>
      </w:pPr>
    </w:p>
    <w:p w14:paraId="22A68C89" w14:textId="33945E66" w:rsidR="000D4D66" w:rsidRPr="000D4D66" w:rsidRDefault="000D4D66" w:rsidP="000D4D66">
      <w:pPr>
        <w:rPr>
          <w:b/>
          <w:bCs/>
          <w:lang w:val="en-US"/>
        </w:rPr>
      </w:pPr>
    </w:p>
    <w:sectPr w:rsidR="000D4D66" w:rsidRPr="000D4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8161D"/>
    <w:multiLevelType w:val="hybridMultilevel"/>
    <w:tmpl w:val="84566D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9C3"/>
    <w:rsid w:val="00062D27"/>
    <w:rsid w:val="000658D2"/>
    <w:rsid w:val="000D4D66"/>
    <w:rsid w:val="00195329"/>
    <w:rsid w:val="0025084D"/>
    <w:rsid w:val="002B054E"/>
    <w:rsid w:val="002C51B4"/>
    <w:rsid w:val="003162DF"/>
    <w:rsid w:val="003E1C28"/>
    <w:rsid w:val="004A0CB8"/>
    <w:rsid w:val="004A6883"/>
    <w:rsid w:val="005611C6"/>
    <w:rsid w:val="0063413D"/>
    <w:rsid w:val="00650661"/>
    <w:rsid w:val="00771736"/>
    <w:rsid w:val="007E79C3"/>
    <w:rsid w:val="0084572F"/>
    <w:rsid w:val="008C4BE0"/>
    <w:rsid w:val="00A16206"/>
    <w:rsid w:val="00A16822"/>
    <w:rsid w:val="00A23AC3"/>
    <w:rsid w:val="00A434C1"/>
    <w:rsid w:val="00B016E3"/>
    <w:rsid w:val="00B54F85"/>
    <w:rsid w:val="00BD319D"/>
    <w:rsid w:val="00BE0160"/>
    <w:rsid w:val="00BF229C"/>
    <w:rsid w:val="00D02BD9"/>
    <w:rsid w:val="00D517BC"/>
    <w:rsid w:val="00DC077C"/>
    <w:rsid w:val="00E6298F"/>
    <w:rsid w:val="00EA2994"/>
    <w:rsid w:val="00F0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74E576"/>
  <w15:chartTrackingRefBased/>
  <w15:docId w15:val="{ACCF5887-A8BD-E34E-96E4-60DF92326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4C1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BE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200" w:line="276" w:lineRule="auto"/>
      <w:outlineLvl w:val="0"/>
    </w:pPr>
    <w:rPr>
      <w:rFonts w:asciiTheme="minorHAnsi" w:eastAsiaTheme="minorHAnsi" w:hAnsiTheme="minorHAnsi" w:cstheme="minorBidi"/>
      <w:b/>
      <w:bCs/>
      <w:caps/>
      <w:color w:val="FFFFFF" w:themeColor="background1"/>
      <w:spacing w:val="15"/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BE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200" w:line="276" w:lineRule="auto"/>
      <w:outlineLvl w:val="1"/>
    </w:pPr>
    <w:rPr>
      <w:rFonts w:asciiTheme="minorHAnsi" w:eastAsiaTheme="minorHAnsi" w:hAnsiTheme="minorHAnsi" w:cstheme="minorBidi"/>
      <w:caps/>
      <w:spacing w:val="15"/>
      <w:sz w:val="22"/>
      <w:szCs w:val="2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BE0"/>
    <w:pPr>
      <w:pBdr>
        <w:top w:val="single" w:sz="6" w:space="2" w:color="4472C4" w:themeColor="accent1"/>
        <w:left w:val="single" w:sz="6" w:space="2" w:color="4472C4" w:themeColor="accent1"/>
      </w:pBdr>
      <w:spacing w:before="300" w:line="276" w:lineRule="auto"/>
      <w:outlineLvl w:val="2"/>
    </w:pPr>
    <w:rPr>
      <w:rFonts w:asciiTheme="minorHAnsi" w:eastAsiaTheme="minorHAnsi" w:hAnsiTheme="minorHAnsi" w:cstheme="minorBidi"/>
      <w:caps/>
      <w:color w:val="1F3763" w:themeColor="accent1" w:themeShade="7F"/>
      <w:spacing w:val="15"/>
      <w:sz w:val="22"/>
      <w:szCs w:val="22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BE0"/>
    <w:pPr>
      <w:pBdr>
        <w:top w:val="dotted" w:sz="6" w:space="2" w:color="4472C4" w:themeColor="accent1"/>
        <w:left w:val="dotted" w:sz="6" w:space="2" w:color="4472C4" w:themeColor="accent1"/>
      </w:pBdr>
      <w:spacing w:before="300" w:line="276" w:lineRule="auto"/>
      <w:outlineLvl w:val="3"/>
    </w:pPr>
    <w:rPr>
      <w:rFonts w:asciiTheme="minorHAnsi" w:eastAsiaTheme="minorHAnsi" w:hAnsiTheme="minorHAnsi" w:cstheme="minorBidi"/>
      <w:caps/>
      <w:color w:val="2F5496" w:themeColor="accent1" w:themeShade="BF"/>
      <w:spacing w:val="10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BE0"/>
    <w:pPr>
      <w:pBdr>
        <w:bottom w:val="single" w:sz="6" w:space="1" w:color="4472C4" w:themeColor="accent1"/>
      </w:pBdr>
      <w:spacing w:before="300" w:line="276" w:lineRule="auto"/>
      <w:outlineLvl w:val="4"/>
    </w:pPr>
    <w:rPr>
      <w:rFonts w:asciiTheme="minorHAnsi" w:eastAsiaTheme="minorHAnsi" w:hAnsiTheme="minorHAnsi" w:cstheme="minorBidi"/>
      <w:caps/>
      <w:color w:val="2F5496" w:themeColor="accent1" w:themeShade="BF"/>
      <w:spacing w:val="10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BE0"/>
    <w:pPr>
      <w:pBdr>
        <w:bottom w:val="dotted" w:sz="6" w:space="1" w:color="4472C4" w:themeColor="accent1"/>
      </w:pBdr>
      <w:spacing w:before="300" w:line="276" w:lineRule="auto"/>
      <w:outlineLvl w:val="5"/>
    </w:pPr>
    <w:rPr>
      <w:rFonts w:asciiTheme="minorHAnsi" w:eastAsiaTheme="minorHAnsi" w:hAnsiTheme="minorHAnsi" w:cstheme="minorBidi"/>
      <w:caps/>
      <w:color w:val="2F5496" w:themeColor="accent1" w:themeShade="BF"/>
      <w:spacing w:val="10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BE0"/>
    <w:pPr>
      <w:spacing w:before="300" w:line="276" w:lineRule="auto"/>
      <w:outlineLvl w:val="6"/>
    </w:pPr>
    <w:rPr>
      <w:rFonts w:asciiTheme="minorHAnsi" w:eastAsiaTheme="minorHAnsi" w:hAnsiTheme="minorHAnsi" w:cstheme="minorBidi"/>
      <w:caps/>
      <w:color w:val="2F5496" w:themeColor="accent1" w:themeShade="BF"/>
      <w:spacing w:val="10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BE0"/>
    <w:pPr>
      <w:spacing w:before="300" w:line="276" w:lineRule="auto"/>
      <w:outlineLvl w:val="7"/>
    </w:pPr>
    <w:rPr>
      <w:rFonts w:asciiTheme="minorHAnsi" w:eastAsiaTheme="minorHAnsi" w:hAnsiTheme="minorHAnsi" w:cstheme="minorBidi"/>
      <w:caps/>
      <w:spacing w:val="10"/>
      <w:sz w:val="18"/>
      <w:szCs w:val="18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BE0"/>
    <w:pPr>
      <w:spacing w:before="300" w:line="276" w:lineRule="auto"/>
      <w:outlineLvl w:val="8"/>
    </w:pPr>
    <w:rPr>
      <w:rFonts w:asciiTheme="minorHAnsi" w:eastAsiaTheme="minorHAnsi" w:hAnsiTheme="minorHAnsi" w:cstheme="minorBidi"/>
      <w:i/>
      <w:caps/>
      <w:spacing w:val="10"/>
      <w:sz w:val="18"/>
      <w:szCs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BE0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BE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BE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BE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BE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BE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BE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BE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BE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4BE0"/>
    <w:pPr>
      <w:spacing w:before="200" w:after="200" w:line="276" w:lineRule="auto"/>
    </w:pPr>
    <w:rPr>
      <w:rFonts w:asciiTheme="minorHAnsi" w:eastAsiaTheme="minorHAnsi" w:hAnsiTheme="minorHAnsi" w:cstheme="minorBidi"/>
      <w:b/>
      <w:bCs/>
      <w:color w:val="2F5496" w:themeColor="accent1" w:themeShade="BF"/>
      <w:sz w:val="16"/>
      <w:szCs w:val="16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8C4BE0"/>
    <w:pPr>
      <w:spacing w:before="720" w:after="200" w:line="276" w:lineRule="auto"/>
    </w:pPr>
    <w:rPr>
      <w:rFonts w:asciiTheme="minorHAnsi" w:eastAsiaTheme="minorHAnsi" w:hAnsiTheme="minorHAnsi" w:cstheme="minorBidi"/>
      <w:caps/>
      <w:color w:val="4472C4" w:themeColor="accent1"/>
      <w:spacing w:val="10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8C4BE0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BE0"/>
    <w:pPr>
      <w:spacing w:before="200" w:after="1000"/>
    </w:pPr>
    <w:rPr>
      <w:rFonts w:asciiTheme="minorHAnsi" w:eastAsiaTheme="minorHAnsi" w:hAnsiTheme="minorHAnsi" w:cstheme="minorBidi"/>
      <w:caps/>
      <w:color w:val="595959" w:themeColor="text1" w:themeTint="A6"/>
      <w:spacing w:val="10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8C4BE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C4BE0"/>
    <w:rPr>
      <w:b/>
      <w:bCs/>
    </w:rPr>
  </w:style>
  <w:style w:type="character" w:styleId="Emphasis">
    <w:name w:val="Emphasis"/>
    <w:uiPriority w:val="20"/>
    <w:qFormat/>
    <w:rsid w:val="008C4BE0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C4BE0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C4BE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C4BE0"/>
    <w:pPr>
      <w:spacing w:before="200" w:after="200" w:line="276" w:lineRule="auto"/>
      <w:ind w:left="720"/>
      <w:contextualSpacing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8C4BE0"/>
    <w:pPr>
      <w:spacing w:before="200" w:after="200" w:line="276" w:lineRule="auto"/>
    </w:pPr>
    <w:rPr>
      <w:rFonts w:asciiTheme="minorHAnsi" w:eastAsiaTheme="minorHAnsi" w:hAnsiTheme="minorHAnsi" w:cstheme="minorBidi"/>
      <w:i/>
      <w:iCs/>
      <w:sz w:val="20"/>
      <w:szCs w:val="20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8C4BE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BE0"/>
    <w:pPr>
      <w:pBdr>
        <w:top w:val="single" w:sz="4" w:space="10" w:color="4472C4" w:themeColor="accent1"/>
        <w:left w:val="single" w:sz="4" w:space="10" w:color="4472C4" w:themeColor="accent1"/>
      </w:pBdr>
      <w:spacing w:before="200" w:line="276" w:lineRule="auto"/>
      <w:ind w:left="1296" w:right="1152"/>
      <w:jc w:val="both"/>
    </w:pPr>
    <w:rPr>
      <w:rFonts w:asciiTheme="minorHAnsi" w:eastAsiaTheme="minorHAnsi" w:hAnsiTheme="minorHAnsi" w:cstheme="minorBidi"/>
      <w:i/>
      <w:iCs/>
      <w:color w:val="4472C4" w:themeColor="accent1"/>
      <w:sz w:val="20"/>
      <w:szCs w:val="20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BE0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8C4BE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C4BE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C4BE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C4BE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C4BE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8C4BE0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E79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9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34C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3413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x.doi.org/10.1016/j.jtrangeo.2016.09.00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hapag-lloyd.com/en/services-information/cargo-fleet/vessels/vessel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8D429EA-5338-7041-8F43-40D723794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Rajendra Gangar</dc:creator>
  <cp:keywords/>
  <dc:description/>
  <cp:lastModifiedBy>Siddhi Rajendra Gangar</cp:lastModifiedBy>
  <cp:revision>39</cp:revision>
  <dcterms:created xsi:type="dcterms:W3CDTF">2022-01-02T11:46:00Z</dcterms:created>
  <dcterms:modified xsi:type="dcterms:W3CDTF">2022-01-17T22:57:00Z</dcterms:modified>
</cp:coreProperties>
</file>