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FC6619" w14:paraId="097ACA00" w14:textId="77777777" w:rsidTr="00502C47">
        <w:trPr>
          <w:trHeight w:val="771"/>
        </w:trPr>
        <w:tc>
          <w:tcPr>
            <w:tcW w:w="11038" w:type="dxa"/>
            <w:gridSpan w:val="2"/>
            <w:shd w:val="clear" w:color="auto" w:fill="7B2952"/>
          </w:tcPr>
          <w:p w14:paraId="7D9FE43E" w14:textId="77777777" w:rsidR="00FC6619" w:rsidRDefault="00F97A3F" w:rsidP="00502C47">
            <w:pPr>
              <w:jc w:val="center"/>
              <w:rPr>
                <w:b/>
                <w:color w:val="FFFFFF" w:themeColor="background1"/>
                <w:sz w:val="32"/>
              </w:rPr>
            </w:pPr>
            <w:r>
              <w:rPr>
                <w:b/>
                <w:color w:val="FFFFFF" w:themeColor="background1"/>
                <w:sz w:val="32"/>
              </w:rPr>
              <w:t>Executive Summary</w:t>
            </w:r>
          </w:p>
          <w:p w14:paraId="7A0413DC" w14:textId="77777777" w:rsidR="007F7F47" w:rsidRPr="00280B12" w:rsidRDefault="007F7F47" w:rsidP="00502C47">
            <w:pPr>
              <w:jc w:val="center"/>
              <w:rPr>
                <w:color w:val="FFFFFF" w:themeColor="background1"/>
              </w:rPr>
            </w:pPr>
            <w:r w:rsidRPr="003C74DB">
              <w:rPr>
                <w:b/>
                <w:color w:val="FFFFFF" w:themeColor="background1"/>
                <w:szCs w:val="22"/>
              </w:rPr>
              <w:t>(As of 2026_06_18)</w:t>
            </w:r>
          </w:p>
        </w:tc>
      </w:tr>
      <w:tr w:rsidR="00FC6619" w14:paraId="38FAEB24" w14:textId="77777777" w:rsidTr="00003CD1">
        <w:trPr>
          <w:trHeight w:val="4881"/>
        </w:trPr>
        <w:tc>
          <w:tcPr>
            <w:tcW w:w="11038" w:type="dxa"/>
            <w:gridSpan w:val="2"/>
          </w:tcPr>
          <w:p w14:paraId="46A404D7" w14:textId="77777777" w:rsidR="00FC6619" w:rsidRDefault="00FC6619" w:rsidP="00003CD1">
            <w:pPr>
              <w:spacing w:after="40"/>
              <w:rPr>
                <w:color w:val="000000"/>
                <w:sz w:val="20"/>
                <w:szCs w:val="20"/>
              </w:rPr>
            </w:pPr>
            <w:r>
              <w:rPr>
                <w:b/>
                <w:color w:val="7B2952"/>
              </w:rPr>
              <w:t>Status</w:t>
            </w:r>
            <w:r w:rsidR="00003CD1">
              <w:rPr>
                <w:b/>
                <w:color w:val="7B2952"/>
              </w:rPr>
              <w:t xml:space="preserve"> Dashboard:</w:t>
            </w:r>
            <w:r w:rsidRPr="00F521CB">
              <w:rPr>
                <w:color w:val="000000"/>
                <w:sz w:val="20"/>
                <w:szCs w:val="20"/>
              </w:rPr>
              <w:t xml:space="preserve"> </w:t>
            </w:r>
          </w:p>
          <w:tbl>
            <w:tblPr>
              <w:tblpPr w:leftFromText="180" w:rightFromText="180" w:vertAnchor="text" w:horzAnchor="margin" w:tblpY="-22"/>
              <w:tblOverlap w:val="never"/>
              <w:tblW w:w="0" w:type="auto"/>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Look w:val="04A0" w:firstRow="1" w:lastRow="0" w:firstColumn="1" w:lastColumn="0" w:noHBand="0" w:noVBand="1"/>
            </w:tblPr>
            <w:tblGrid>
              <w:gridCol w:w="2903"/>
              <w:gridCol w:w="1601"/>
              <w:gridCol w:w="6508"/>
            </w:tblGrid>
            <w:tr w:rsidR="00003CD1" w14:paraId="6DB32961" w14:textId="77777777" w:rsidTr="00003CD1">
              <w:tc>
                <w:tcPr>
                  <w:tcW w:w="2903" w:type="dxa"/>
                  <w:shd w:val="clear" w:color="auto" w:fill="7B2952"/>
                </w:tcPr>
                <w:p w14:paraId="1D5A97B4" w14:textId="77777777" w:rsidR="00003CD1" w:rsidRDefault="00003CD1" w:rsidP="00003CD1">
                  <w:pPr>
                    <w:spacing w:after="0"/>
                  </w:pPr>
                  <w:r>
                    <w:rPr>
                      <w:b/>
                      <w:color w:val="FFFFFF"/>
                      <w:sz w:val="19"/>
                    </w:rPr>
                    <w:t>Theme</w:t>
                  </w:r>
                </w:p>
              </w:tc>
              <w:tc>
                <w:tcPr>
                  <w:tcW w:w="1601" w:type="dxa"/>
                  <w:shd w:val="clear" w:color="auto" w:fill="7B2952"/>
                </w:tcPr>
                <w:p w14:paraId="377AA7F0" w14:textId="77777777" w:rsidR="00003CD1" w:rsidRDefault="00003CD1" w:rsidP="00003CD1">
                  <w:pPr>
                    <w:spacing w:after="0"/>
                  </w:pPr>
                  <w:r>
                    <w:rPr>
                      <w:b/>
                      <w:color w:val="FFFFFF"/>
                      <w:sz w:val="19"/>
                    </w:rPr>
                    <w:t>Status</w:t>
                  </w:r>
                </w:p>
              </w:tc>
              <w:tc>
                <w:tcPr>
                  <w:tcW w:w="6508" w:type="dxa"/>
                  <w:shd w:val="clear" w:color="auto" w:fill="7B2952"/>
                </w:tcPr>
                <w:p w14:paraId="778969F7" w14:textId="77777777" w:rsidR="00003CD1" w:rsidRDefault="00003CD1" w:rsidP="00003CD1">
                  <w:pPr>
                    <w:spacing w:after="0"/>
                  </w:pPr>
                  <w:r>
                    <w:rPr>
                      <w:b/>
                      <w:color w:val="FFFFFF"/>
                      <w:sz w:val="19"/>
                    </w:rPr>
                    <w:t>One-line development</w:t>
                  </w:r>
                </w:p>
              </w:tc>
            </w:tr>
            <w:tr w:rsidR="00003CD1" w14:paraId="3C0D1747" w14:textId="77777777" w:rsidTr="00DF41EB">
              <w:tc>
                <w:tcPr>
                  <w:tcW w:w="2903" w:type="dxa"/>
                </w:tcPr>
                <w:p w14:paraId="0D4769CC" w14:textId="77777777" w:rsidR="00003CD1" w:rsidRPr="00042A6F" w:rsidRDefault="00003CD1" w:rsidP="00003CD1">
                  <w:pPr>
                    <w:spacing w:after="0"/>
                    <w:rPr>
                      <w:szCs w:val="22"/>
                    </w:rPr>
                  </w:pPr>
                  <w:r w:rsidRPr="00042A6F">
                    <w:rPr>
                      <w:szCs w:val="22"/>
                    </w:rPr>
                    <w:t>1. Fiscal Expansion and Deregulation</w:t>
                  </w:r>
                </w:p>
              </w:tc>
              <w:tc>
                <w:tcPr>
                  <w:tcW w:w="1601" w:type="dxa"/>
                  <w:vAlign w:val="center"/>
                </w:tcPr>
                <w:p w14:paraId="07B27ED2" w14:textId="77777777" w:rsidR="00003CD1" w:rsidRDefault="002D275B" w:rsidP="00DF41EB">
                  <w:pPr>
                    <w:spacing w:after="0"/>
                    <w:jc w:val="center"/>
                  </w:pPr>
                  <w:r>
                    <w:rPr>
                      <w:noProof/>
                    </w:rPr>
                    <mc:AlternateContent>
                      <mc:Choice Requires="wps">
                        <w:drawing>
                          <wp:inline distT="0" distB="0" distL="0" distR="0" wp14:anchorId="09ECA41D" wp14:editId="5660B54A">
                            <wp:extent cx="146649" cy="154880"/>
                            <wp:effectExtent l="0" t="0" r="6350" b="0"/>
                            <wp:docPr id="91000000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5109CFEC"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t>Intact ▸ no change</w:t>
                  </w:r>
                </w:p>
              </w:tc>
              <w:tc>
                <w:tcPr>
                  <w:tcW w:w="6508" w:type="dxa"/>
                </w:tcPr>
                <w:p w14:paraId="65B7EB3E" w14:textId="77777777" w:rsidR="00003CD1" w:rsidRDefault="00003CD1" w:rsidP="00003CD1">
                  <w:pPr>
                    <w:spacing w:after="0"/>
                  </w:pPr>
                  <w:r>
                    <w:rPr>
                      <w:color w:val="000000"/>
                    </w:rPr>
                    <w:t>G7 Évian backs faster air-defence deliveries; German/Canadian deployment items carried from last week.</w:t>
                  </w:r>
                </w:p>
                <w:p w14:paraId="5BC8A920" w14:textId="77777777" w:rsidR="00003CD1" w:rsidRDefault="00003CD1" w:rsidP="00003CD1">
                  <w:pPr>
                    <w:spacing w:after="0"/>
                  </w:pPr>
                </w:p>
              </w:tc>
            </w:tr>
            <w:tr w:rsidR="00003CD1" w14:paraId="394EBA2D" w14:textId="77777777" w:rsidTr="00DF41EB">
              <w:tc>
                <w:tcPr>
                  <w:tcW w:w="2903" w:type="dxa"/>
                </w:tcPr>
                <w:p w14:paraId="5D42D2C9" w14:textId="77777777" w:rsidR="00003CD1" w:rsidRPr="00042A6F" w:rsidRDefault="00003CD1" w:rsidP="00003CD1">
                  <w:pPr>
                    <w:spacing w:after="0"/>
                    <w:rPr>
                      <w:szCs w:val="22"/>
                    </w:rPr>
                  </w:pPr>
                  <w:r w:rsidRPr="00042A6F">
                    <w:rPr>
                      <w:szCs w:val="22"/>
                    </w:rPr>
                    <w:t>2. Currency Debasement</w:t>
                  </w:r>
                </w:p>
              </w:tc>
              <w:tc>
                <w:tcPr>
                  <w:tcW w:w="1601" w:type="dxa"/>
                  <w:vAlign w:val="center"/>
                </w:tcPr>
                <w:p w14:paraId="679D5A9C" w14:textId="77777777" w:rsidR="00003CD1" w:rsidRDefault="002D275B" w:rsidP="00DF41EB">
                  <w:pPr>
                    <w:spacing w:after="0"/>
                    <w:jc w:val="center"/>
                  </w:pPr>
                  <w:r>
                    <w:rPr>
                      <w:noProof/>
                    </w:rPr>
                    <mc:AlternateContent>
                      <mc:Choice Requires="wps">
                        <w:drawing>
                          <wp:inline distT="0" distB="0" distL="0" distR="0" wp14:anchorId="5717C008" wp14:editId="452EDF2D">
                            <wp:extent cx="146649" cy="154880"/>
                            <wp:effectExtent l="0" t="0" r="6350" b="0"/>
                            <wp:docPr id="910000002" name="Status Ball 2"/>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3C025B65" id="Status Ball 2"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rsidR="00DF41EB">
                    <w:t xml:space="preserve"> </w:t>
                  </w:r>
                  <w:r>
                    <w:t>Intact ▸ no change</w:t>
                  </w:r>
                </w:p>
              </w:tc>
              <w:tc>
                <w:tcPr>
                  <w:tcW w:w="6508" w:type="dxa"/>
                </w:tcPr>
                <w:p w14:paraId="1AA9FA9A" w14:textId="77777777" w:rsidR="00003CD1" w:rsidRDefault="00003CD1" w:rsidP="00003CD1">
                  <w:pPr>
                    <w:spacing w:after="0"/>
                  </w:pPr>
                  <w:r>
                    <w:rPr>
                      <w:color w:val="000000"/>
                    </w:rPr>
                    <w:t>Null week; April TIC released 18 Jun (post-cutoff); COFER Q1 not yet out.</w:t>
                  </w:r>
                </w:p>
                <w:p w14:paraId="05FF96F4" w14:textId="77777777" w:rsidR="00003CD1" w:rsidRDefault="00003CD1" w:rsidP="00003CD1">
                  <w:pPr>
                    <w:spacing w:after="0"/>
                  </w:pPr>
                </w:p>
              </w:tc>
            </w:tr>
            <w:tr w:rsidR="00003CD1" w14:paraId="55DFFEB2" w14:textId="77777777" w:rsidTr="00DF41EB">
              <w:tc>
                <w:tcPr>
                  <w:tcW w:w="2903" w:type="dxa"/>
                </w:tcPr>
                <w:p w14:paraId="1C491848" w14:textId="77777777" w:rsidR="00003CD1" w:rsidRPr="00042A6F" w:rsidRDefault="00003CD1" w:rsidP="00003CD1">
                  <w:pPr>
                    <w:spacing w:after="0"/>
                    <w:rPr>
                      <w:szCs w:val="22"/>
                    </w:rPr>
                  </w:pPr>
                  <w:r w:rsidRPr="00042A6F">
                    <w:rPr>
                      <w:szCs w:val="22"/>
                    </w:rPr>
                    <w:t>3. Energy and the Energy Transition</w:t>
                  </w:r>
                </w:p>
              </w:tc>
              <w:tc>
                <w:tcPr>
                  <w:tcW w:w="1601" w:type="dxa"/>
                  <w:vAlign w:val="center"/>
                </w:tcPr>
                <w:p w14:paraId="3B354405" w14:textId="77777777" w:rsidR="00003CD1" w:rsidRDefault="002D275B" w:rsidP="00DF41EB">
                  <w:pPr>
                    <w:spacing w:after="0"/>
                    <w:jc w:val="center"/>
                  </w:pPr>
                  <w:r>
                    <w:rPr>
                      <w:noProof/>
                    </w:rPr>
                    <mc:AlternateContent>
                      <mc:Choice Requires="wps">
                        <w:drawing>
                          <wp:inline distT="0" distB="0" distL="0" distR="0" wp14:anchorId="3234AD3F" wp14:editId="29E712F2">
                            <wp:extent cx="146649" cy="154880"/>
                            <wp:effectExtent l="0" t="0" r="6350" b="0"/>
                            <wp:docPr id="91000000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5B742F52"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t>Intact ▸ no change</w:t>
                  </w:r>
                </w:p>
              </w:tc>
              <w:tc>
                <w:tcPr>
                  <w:tcW w:w="6508" w:type="dxa"/>
                </w:tcPr>
                <w:p w14:paraId="057F40B2" w14:textId="77777777" w:rsidR="00003CD1" w:rsidRDefault="00003CD1" w:rsidP="00003CD1">
                  <w:pPr>
                    <w:spacing w:after="0"/>
                  </w:pPr>
                  <w:r>
                    <w:rPr>
                      <w:color w:val="000000"/>
                    </w:rPr>
                    <w:t>Quiet; FERC large-load interconnection guidance due end-June.</w:t>
                  </w:r>
                </w:p>
                <w:p w14:paraId="7DE1AE13" w14:textId="77777777" w:rsidR="00003CD1" w:rsidRDefault="00003CD1" w:rsidP="00003CD1">
                  <w:pPr>
                    <w:spacing w:after="0"/>
                  </w:pPr>
                </w:p>
              </w:tc>
            </w:tr>
            <w:tr w:rsidR="00003CD1" w14:paraId="18C0887E" w14:textId="77777777" w:rsidTr="00DF41EB">
              <w:tc>
                <w:tcPr>
                  <w:tcW w:w="2903" w:type="dxa"/>
                </w:tcPr>
                <w:p w14:paraId="0D3ACCCE" w14:textId="77777777" w:rsidR="00003CD1" w:rsidRPr="00042A6F" w:rsidRDefault="00003CD1" w:rsidP="00003CD1">
                  <w:pPr>
                    <w:spacing w:after="0"/>
                    <w:rPr>
                      <w:szCs w:val="22"/>
                    </w:rPr>
                  </w:pPr>
                  <w:r w:rsidRPr="00042A6F">
                    <w:rPr>
                      <w:szCs w:val="22"/>
                    </w:rPr>
                    <w:t>4. Artificial Intelligence</w:t>
                  </w:r>
                </w:p>
              </w:tc>
              <w:tc>
                <w:tcPr>
                  <w:tcW w:w="1601" w:type="dxa"/>
                  <w:vAlign w:val="center"/>
                </w:tcPr>
                <w:p w14:paraId="23CFC205" w14:textId="77777777" w:rsidR="00003CD1" w:rsidRDefault="002D275B" w:rsidP="00DF41EB">
                  <w:pPr>
                    <w:spacing w:after="0"/>
                    <w:jc w:val="center"/>
                  </w:pPr>
                  <w:r>
                    <w:rPr>
                      <w:noProof/>
                    </w:rPr>
                    <mc:AlternateContent>
                      <mc:Choice Requires="wps">
                        <w:drawing>
                          <wp:inline distT="0" distB="0" distL="0" distR="0" wp14:anchorId="20CE8537" wp14:editId="2DD94468">
                            <wp:extent cx="146649" cy="154880"/>
                            <wp:effectExtent l="0" t="0" r="6350" b="0"/>
                            <wp:docPr id="910000004" name="Status Ball 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2D956136" id="Status Ball 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t>Intact ▸ no change</w:t>
                  </w:r>
                </w:p>
              </w:tc>
              <w:tc>
                <w:tcPr>
                  <w:tcW w:w="6508" w:type="dxa"/>
                </w:tcPr>
                <w:p w14:paraId="745302B8" w14:textId="77777777" w:rsidR="00003CD1" w:rsidRDefault="00003CD1" w:rsidP="00003CD1">
                  <w:pPr>
                    <w:spacing w:after="0"/>
                  </w:pPr>
                  <w:r>
                    <w:rPr>
                      <w:color w:val="000000"/>
                    </w:rPr>
                    <w:t>CoreWeave's €2bn + $1.25bn bond priced oversubscribed — first euro AI-infra junk bond.</w:t>
                  </w:r>
                </w:p>
                <w:p w14:paraId="2F9C42EF" w14:textId="77777777" w:rsidR="00003CD1" w:rsidRDefault="00003CD1" w:rsidP="00003CD1">
                  <w:pPr>
                    <w:spacing w:after="0"/>
                  </w:pPr>
                </w:p>
              </w:tc>
            </w:tr>
            <w:tr w:rsidR="00003CD1" w14:paraId="7FFAF990" w14:textId="77777777" w:rsidTr="00DF41EB">
              <w:tc>
                <w:tcPr>
                  <w:tcW w:w="2903" w:type="dxa"/>
                </w:tcPr>
                <w:p w14:paraId="2D41100F" w14:textId="77777777" w:rsidR="00003CD1" w:rsidRPr="00042A6F" w:rsidRDefault="00003CD1" w:rsidP="00003CD1">
                  <w:pPr>
                    <w:spacing w:after="0"/>
                    <w:rPr>
                      <w:szCs w:val="22"/>
                    </w:rPr>
                  </w:pPr>
                  <w:r w:rsidRPr="00042A6F">
                    <w:rPr>
                      <w:szCs w:val="22"/>
                    </w:rPr>
                    <w:t>5. Geopolitics and Trade</w:t>
                  </w:r>
                </w:p>
              </w:tc>
              <w:tc>
                <w:tcPr>
                  <w:tcW w:w="1601" w:type="dxa"/>
                  <w:vAlign w:val="center"/>
                </w:tcPr>
                <w:p w14:paraId="3411D176" w14:textId="77777777" w:rsidR="00003CD1" w:rsidRDefault="002D275B" w:rsidP="00DF41EB">
                  <w:pPr>
                    <w:spacing w:after="0"/>
                    <w:jc w:val="center"/>
                  </w:pPr>
                  <w:r>
                    <w:rPr>
                      <w:noProof/>
                    </w:rPr>
                    <mc:AlternateContent>
                      <mc:Choice Requires="wps">
                        <w:drawing>
                          <wp:inline distT="0" distB="0" distL="0" distR="0" wp14:anchorId="032210D1" wp14:editId="4CEBDCE5">
                            <wp:extent cx="146649" cy="154880"/>
                            <wp:effectExtent l="0" t="0" r="6350" b="0"/>
                            <wp:docPr id="91000000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480DA9EE"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t>Intact ▸ no change (confirmed)</w:t>
                  </w:r>
                </w:p>
              </w:tc>
              <w:tc>
                <w:tcPr>
                  <w:tcW w:w="6508" w:type="dxa"/>
                </w:tcPr>
                <w:p w14:paraId="2A9D76AF" w14:textId="77777777" w:rsidR="00003CD1" w:rsidRDefault="00003CD1" w:rsidP="00003CD1">
                  <w:pPr>
                    <w:spacing w:after="0"/>
                  </w:pPr>
                  <w:r>
                    <w:rPr>
                      <w:color w:val="000000"/>
                    </w:rPr>
                    <w:t>US–Iran MOU to end conflict (17 Jun); Strait reopening; Brent &lt;$78; CUSMA demands harden.</w:t>
                  </w:r>
                </w:p>
                <w:p w14:paraId="75DED0BE" w14:textId="77777777" w:rsidR="00003CD1" w:rsidRDefault="00003CD1" w:rsidP="00003CD1">
                  <w:pPr>
                    <w:spacing w:after="0"/>
                  </w:pPr>
                </w:p>
              </w:tc>
            </w:tr>
            <w:tr w:rsidR="00003CD1" w14:paraId="1AC5C876" w14:textId="77777777" w:rsidTr="00DF41EB">
              <w:tc>
                <w:tcPr>
                  <w:tcW w:w="2903" w:type="dxa"/>
                </w:tcPr>
                <w:p w14:paraId="5A4502C5" w14:textId="77777777" w:rsidR="00003CD1" w:rsidRPr="00042A6F" w:rsidRDefault="00003CD1" w:rsidP="00003CD1">
                  <w:pPr>
                    <w:spacing w:after="0"/>
                    <w:rPr>
                      <w:szCs w:val="22"/>
                    </w:rPr>
                  </w:pPr>
                  <w:r w:rsidRPr="00042A6F">
                    <w:rPr>
                      <w:szCs w:val="22"/>
                    </w:rPr>
                    <w:t>6. Domestic Investing Pressures</w:t>
                  </w:r>
                </w:p>
              </w:tc>
              <w:tc>
                <w:tcPr>
                  <w:tcW w:w="1601" w:type="dxa"/>
                  <w:vAlign w:val="center"/>
                </w:tcPr>
                <w:p w14:paraId="24882A57" w14:textId="77777777" w:rsidR="00003CD1" w:rsidRDefault="002D275B" w:rsidP="00DF41EB">
                  <w:pPr>
                    <w:spacing w:after="0"/>
                    <w:jc w:val="center"/>
                  </w:pPr>
                  <w:r>
                    <w:rPr>
                      <w:noProof/>
                    </w:rPr>
                    <mc:AlternateContent>
                      <mc:Choice Requires="wps">
                        <w:drawing>
                          <wp:inline distT="0" distB="0" distL="0" distR="0" wp14:anchorId="0F86152A" wp14:editId="25E699D1">
                            <wp:extent cx="146649" cy="154880"/>
                            <wp:effectExtent l="0" t="0" r="6350" b="0"/>
                            <wp:docPr id="91000000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71FDA2B1"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t>Intact ▸ no change</w:t>
                  </w:r>
                </w:p>
              </w:tc>
              <w:tc>
                <w:tcPr>
                  <w:tcW w:w="6508" w:type="dxa"/>
                </w:tcPr>
                <w:p w14:paraId="16CD1F3A" w14:textId="77777777" w:rsidR="00003CD1" w:rsidRDefault="00003CD1" w:rsidP="00003CD1">
                  <w:pPr>
                    <w:spacing w:after="0"/>
                  </w:pPr>
                  <w:r>
                    <w:rPr>
                      <w:color w:val="000000"/>
                    </w:rPr>
                    <w:t>Design/staffing phase continues; no Canada Strong Fund deployment.</w:t>
                  </w:r>
                </w:p>
                <w:p w14:paraId="5633C2D2" w14:textId="77777777" w:rsidR="00003CD1" w:rsidRDefault="00003CD1" w:rsidP="00003CD1">
                  <w:pPr>
                    <w:spacing w:after="0"/>
                  </w:pPr>
                </w:p>
              </w:tc>
            </w:tr>
          </w:tbl>
          <w:p w14:paraId="30A80600" w14:textId="77777777" w:rsidR="00003CD1" w:rsidRPr="00F521CB" w:rsidRDefault="00003CD1" w:rsidP="00502C47">
            <w:pPr>
              <w:spacing w:after="120"/>
              <w:jc w:val="both"/>
              <w:rPr>
                <w:sz w:val="20"/>
                <w:szCs w:val="20"/>
              </w:rPr>
            </w:pPr>
          </w:p>
        </w:tc>
      </w:tr>
      <w:tr w:rsidR="00831451" w14:paraId="43728DAF" w14:textId="77777777" w:rsidTr="00F905BE">
        <w:trPr>
          <w:trHeight w:val="6988"/>
        </w:trPr>
        <w:tc>
          <w:tcPr>
            <w:tcW w:w="5519" w:type="dxa"/>
          </w:tcPr>
          <w:p w14:paraId="0D1BA650" w14:textId="77777777" w:rsidR="00831451" w:rsidRDefault="00831451" w:rsidP="00831451">
            <w:pPr>
              <w:spacing w:before="80" w:after="40"/>
            </w:pPr>
            <w:r>
              <w:rPr>
                <w:b/>
                <w:color w:val="7B2952"/>
                <w:sz w:val="25"/>
              </w:rPr>
              <w:lastRenderedPageBreak/>
              <w:t>Cross-theme takeaways</w:t>
            </w:r>
          </w:p>
          <w:p w14:paraId="78C8038E" w14:textId="77777777" w:rsidR="00831451" w:rsidRDefault="00831451">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The week's defining event — a US–Iran MOU to end the conflict, signed 17 June at the G7 (Évian), with the Strait of Hormuz reopening — validates the AIP's central assumption that the conflict ends mid-2026; Brent fell below $78 (≈−38% from the April peak) and fertilizer eased, relieving the two-sided pressure on Theme 5 and the inflation outlook.</w:t>
            </w:r>
          </w:p>
          <w:p w14:paraId="2C3D5D24" w14:textId="77777777" w:rsidR="00831451" w:rsidRDefault="00831451">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Monetary policy repriced hawkish even as oil fell: the Fed held but lifted its dot plot to 3.8% and dropped its easing bias (Warsh's first meeting), the ECB delivered its first hike since 2023, and the BoJ reached a 31-year-high 1.00% — all citing war-driven inflation. May CPI at 4.2% y/y confirms passthrough is still peaking, not yet receding.</w:t>
            </w:r>
          </w:p>
          <w:p w14:paraId="492AFFF9" w14:textId="77777777" w:rsidR="00831451" w:rsidRDefault="00831451">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AI financing kept broadening: CoreWeave's oversubscribed euro/dollar bond (first euro-denominated junk issue by a US AI-infra company) prices the same compute demand the AIP describes while pushing the speculative-grade perimeter into Europe and onto the financing-stress watchlist.</w:t>
            </w:r>
          </w:p>
          <w:p w14:paraId="11AAE1C1" w14:textId="67E9E8AF" w:rsidR="00831451" w:rsidRDefault="00831451">
            <w:pPr>
              <w:pStyle w:val="ListParagraph"/>
              <w:numPr>
                <w:ilvl w:val="0"/>
                <w:numId w:val="2"/>
              </w:numPr>
              <w:spacing w:after="160" w:line="279" w:lineRule="auto"/>
              <w:jc w:val="both"/>
              <w:rPr>
                <w:rFonts w:cstheme="minorBidi"/>
                <w:kern w:val="2"/>
                <w:lang w:eastAsia="en-CA"/>
                <w14:ligatures w14:val="standardContextual"/>
              </w:rPr>
            </w:pPr>
            <w:r>
              <w:rPr>
                <w:rFonts w:cstheme="minorBidi"/>
                <w:color w:val="000000"/>
              </w:rPr>
              <w:t>Trade fragmentation hardened against the de-escalation backdrop: USTR Greer's CUSMA 'fix list' (dairy supply management, Online Streaming/News Acts, provincial alcohol, rules of origin) keeps serial annual reviews — not a 16-year renewal — the base case into the 1 July review.</w:t>
            </w:r>
            <w:r w:rsidR="00D049B7">
              <w:rPr>
                <w:rFonts w:cstheme="minorBidi"/>
                <w:color w:val="000000"/>
              </w:rPr>
              <w:t xml:space="preserve"> Period</w:t>
            </w:r>
            <w:r w:rsidR="00B2736D">
              <w:rPr>
                <w:rFonts w:cstheme="minorBidi"/>
                <w:color w:val="000000"/>
              </w:rPr>
              <w:t xml:space="preserve"> </w:t>
            </w:r>
          </w:p>
          <w:p w14:paraId="63A36AF9" w14:textId="77777777" w:rsidR="00831451" w:rsidRDefault="00831451" w:rsidP="00502C47">
            <w:pPr>
              <w:spacing w:after="80"/>
              <w:jc w:val="both"/>
            </w:pPr>
          </w:p>
        </w:tc>
        <w:tc>
          <w:tcPr>
            <w:tcW w:w="5519" w:type="dxa"/>
          </w:tcPr>
          <w:p w14:paraId="0F4BC5B3" w14:textId="77777777" w:rsidR="00831451" w:rsidRDefault="00831451" w:rsidP="00831451">
            <w:pPr>
              <w:spacing w:before="120" w:after="40"/>
            </w:pPr>
            <w:r>
              <w:rPr>
                <w:b/>
                <w:color w:val="7B2952"/>
                <w:sz w:val="25"/>
              </w:rPr>
              <w:t>Key Risks register — weekly delta</w:t>
            </w:r>
          </w:p>
          <w:p w14:paraId="68EC2570"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Geopolitical escalation — De-escalated: US–Iran MOU to end the conflict signed 17 Jun at the G7; Iran declared the Strait reopened and the US blockade is lifting; vessels resumed transit. (Implementation is a 60-day path; demining/transit-fee issues remain.)</w:t>
            </w:r>
          </w:p>
          <w:p w14:paraId="4665297B"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Sustained energy prices — De-escalated: Brent &lt;$78 on 17 Jun (vs $94.25 on 8 Jun), ≈−38% from the April peak; urea eased to ~$360/t from an $857 April high; OPEC+ positioned to add on reopening. (May CPI energy +3.9% m/m: lagged passthrough still feeding through.)</w:t>
            </w:r>
          </w:p>
          <w:p w14:paraId="31F52DD3"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AI demand / monetization stall — Held: in-window financing demand strong (CoreWeave euro tranche &gt;€7bn orders, 11 Jun); no stall signal.</w:t>
            </w:r>
          </w:p>
          <w:p w14:paraId="25EBBED6"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Autarkic protectionism — Escalated: USTR Greer published a CUSMA 'fix list' of conditions for Canada and signalled tariffs stay; Canada not yet in formal talks ahead of the 1 Jul review.</w:t>
            </w:r>
          </w:p>
          <w:p w14:paraId="6004E0A5"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US fiscal recklessness — Held — no in-window evidence: no new CBO or quarterly-refunding print in window.</w:t>
            </w:r>
          </w:p>
          <w:p w14:paraId="362B1008" w14:textId="77777777" w:rsidR="00831451" w:rsidRDefault="00831451">
            <w:pPr>
              <w:pStyle w:val="ListParagraph"/>
              <w:numPr>
                <w:ilvl w:val="0"/>
                <w:numId w:val="1"/>
              </w:numPr>
              <w:spacing w:after="160" w:line="279" w:lineRule="auto"/>
              <w:jc w:val="both"/>
              <w:rPr>
                <w:rFonts w:cstheme="minorBidi"/>
                <w:kern w:val="2"/>
                <w:lang w:eastAsia="en-CA"/>
                <w14:ligatures w14:val="standardContextual"/>
              </w:rPr>
            </w:pPr>
            <w:r>
              <w:rPr>
                <w:rFonts w:cstheme="minorBidi"/>
                <w:color w:val="000000"/>
              </w:rPr>
              <w:t>Inefficient domestic investment — Held — no in-window evidence: Canada Strong Fund still pre-deployment; no allocation decisions.</w:t>
            </w:r>
          </w:p>
          <w:p w14:paraId="2D12C093" w14:textId="77777777" w:rsidR="00831451" w:rsidRDefault="00831451" w:rsidP="00003CD1">
            <w:pPr>
              <w:pStyle w:val="ListParagraph"/>
              <w:spacing w:after="80"/>
              <w:ind w:left="360"/>
              <w:jc w:val="both"/>
            </w:pPr>
          </w:p>
        </w:tc>
      </w:tr>
    </w:tbl>
    <w:p w14:paraId="1CB25AF4" w14:textId="77777777" w:rsidR="000717CC" w:rsidRDefault="000717CC">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E706AF" w14:paraId="248E5103" w14:textId="77777777" w:rsidTr="00502C47">
        <w:trPr>
          <w:trHeight w:val="771"/>
        </w:trPr>
        <w:tc>
          <w:tcPr>
            <w:tcW w:w="11038" w:type="dxa"/>
            <w:gridSpan w:val="2"/>
            <w:shd w:val="clear" w:color="auto" w:fill="7B2952"/>
          </w:tcPr>
          <w:p w14:paraId="0157F718" w14:textId="77777777" w:rsidR="00E706AF" w:rsidRDefault="00E706AF" w:rsidP="00502C47">
            <w:pPr>
              <w:jc w:val="center"/>
              <w:rPr>
                <w:b/>
                <w:color w:val="FFFFFF" w:themeColor="background1"/>
                <w:sz w:val="32"/>
              </w:rPr>
            </w:pPr>
            <w:r w:rsidRPr="00280B12">
              <w:rPr>
                <w:b/>
                <w:color w:val="FFFFFF" w:themeColor="background1"/>
                <w:sz w:val="32"/>
              </w:rPr>
              <w:t>Theme 1 — Fiscal Expansion and Deregulation</w:t>
            </w:r>
          </w:p>
          <w:p w14:paraId="26AF0CE4" w14:textId="77777777" w:rsidR="003C74DB" w:rsidRPr="00280B12" w:rsidRDefault="003C74DB" w:rsidP="00502C47">
            <w:pPr>
              <w:jc w:val="center"/>
              <w:rPr>
                <w:color w:val="FFFFFF" w:themeColor="background1"/>
              </w:rPr>
            </w:pPr>
            <w:r w:rsidRPr="003C74DB">
              <w:rPr>
                <w:b/>
                <w:color w:val="FFFFFF" w:themeColor="background1"/>
                <w:szCs w:val="22"/>
              </w:rPr>
              <w:t>(As of 2026_06_18)</w:t>
            </w:r>
          </w:p>
        </w:tc>
      </w:tr>
      <w:tr w:rsidR="00E706AF" w14:paraId="6756BAC7" w14:textId="77777777" w:rsidTr="00502C47">
        <w:trPr>
          <w:trHeight w:val="771"/>
        </w:trPr>
        <w:tc>
          <w:tcPr>
            <w:tcW w:w="11038" w:type="dxa"/>
            <w:gridSpan w:val="2"/>
          </w:tcPr>
          <w:p w14:paraId="02C69854" w14:textId="77777777" w:rsidR="00E706AF" w:rsidRDefault="00E706AF" w:rsidP="00502C47">
            <w:pPr>
              <w:spacing w:after="40"/>
            </w:pPr>
            <w:r>
              <w:rPr>
                <w:b/>
                <w:color w:val="7B2952"/>
              </w:rPr>
              <w:t>Status:</w:t>
            </w:r>
          </w:p>
          <w:p w14:paraId="17CE7B23" w14:textId="77777777" w:rsidR="00E706AF" w:rsidRPr="00F521CB" w:rsidRDefault="00E706AF" w:rsidP="00502C47">
            <w:pPr>
              <w:spacing w:after="120"/>
              <w:jc w:val="both"/>
              <w:rPr>
                <w:sz w:val="20"/>
                <w:szCs w:val="20"/>
              </w:rPr>
            </w:pPr>
            <w:r w:rsidRPr="00F521CB">
              <w:rPr>
                <w:color w:val="000000"/>
                <w:sz w:val="20"/>
                <w:szCs w:val="20"/>
              </w:rPr>
              <w:t>Intact ▸ no change. Defence-buildout momentum reaffirmed at the G7; the German and Canadian deployment items that moved last week did not re-print this week.</w:t>
            </w:r>
          </w:p>
        </w:tc>
      </w:tr>
      <w:tr w:rsidR="00E706AF" w14:paraId="00A2B039" w14:textId="77777777" w:rsidTr="00502C47">
        <w:trPr>
          <w:trHeight w:val="2753"/>
        </w:trPr>
        <w:tc>
          <w:tcPr>
            <w:tcW w:w="5519" w:type="dxa"/>
          </w:tcPr>
          <w:p w14:paraId="05486151" w14:textId="77777777" w:rsidR="00E706AF" w:rsidRDefault="00E706AF" w:rsidP="00502C47">
            <w:pPr>
              <w:spacing w:after="80"/>
              <w:jc w:val="both"/>
            </w:pPr>
          </w:p>
          <w:p w14:paraId="44CA0358" w14:textId="77777777" w:rsidR="0009034C" w:rsidRDefault="0009034C" w:rsidP="00502C47">
            <w:pPr>
              <w:spacing w:after="80"/>
              <w:jc w:val="both"/>
            </w:pPr>
          </w:p>
          <w:p w14:paraId="14EF132C" w14:textId="77777777" w:rsidR="0009034C" w:rsidRDefault="0009034C" w:rsidP="00502C47">
            <w:pPr>
              <w:spacing w:after="80"/>
              <w:jc w:val="both"/>
            </w:pPr>
            <w:r>
              <w:t>Insert fiscal_chart_1</w:t>
            </w:r>
          </w:p>
        </w:tc>
        <w:tc>
          <w:tcPr>
            <w:tcW w:w="5519" w:type="dxa"/>
            <w:vMerge w:val="restart"/>
          </w:tcPr>
          <w:p w14:paraId="32BF4E69" w14:textId="77777777" w:rsidR="00E706AF" w:rsidRDefault="00E706AF" w:rsidP="00502C47">
            <w:pPr>
              <w:spacing w:before="120" w:after="40"/>
              <w:jc w:val="center"/>
            </w:pPr>
            <w:r>
              <w:rPr>
                <w:b/>
                <w:color w:val="7B2952"/>
              </w:rPr>
              <w:t>What changed this week</w:t>
            </w:r>
          </w:p>
          <w:p w14:paraId="702FDA4C" w14:textId="77777777" w:rsidR="00E706AF" w:rsidRPr="00590348" w:rsidRDefault="00E706AF">
            <w:pPr>
              <w:pStyle w:val="ListParagraph"/>
              <w:numPr>
                <w:ilvl w:val="1"/>
                <w:numId w:val="3"/>
              </w:numPr>
              <w:spacing w:after="80"/>
              <w:jc w:val="both"/>
              <w:rPr>
                <w:sz w:val="20"/>
                <w:szCs w:val="20"/>
              </w:rPr>
            </w:pPr>
            <w:r w:rsidRPr="00590348">
              <w:rPr>
                <w:color w:val="000000"/>
                <w:sz w:val="20"/>
                <w:szCs w:val="20"/>
              </w:rPr>
              <w:t>At the G7 summit in Évian (15–17 Jun), the leaders' statement on geopolitical issues committed to increase deliveries of air-defence capacity, additional systems and interceptors, and long-range capabilities, with France's presidency framing 'reducing global imbalances' as its priority — reinforcing the defence-spending driver (driver 1). (Élysée / Council of the EU, 17 Jun.)</w:t>
            </w:r>
          </w:p>
          <w:p w14:paraId="76D692BD" w14:textId="77777777" w:rsidR="00E706AF" w:rsidRPr="00590348" w:rsidRDefault="00E706AF">
            <w:pPr>
              <w:pStyle w:val="ListParagraph"/>
              <w:numPr>
                <w:ilvl w:val="1"/>
                <w:numId w:val="3"/>
              </w:numPr>
              <w:spacing w:after="80"/>
              <w:jc w:val="both"/>
              <w:rPr>
                <w:sz w:val="20"/>
                <w:szCs w:val="20"/>
              </w:rPr>
            </w:pPr>
            <w:r w:rsidRPr="00590348">
              <w:rPr>
                <w:color w:val="000000"/>
                <w:sz w:val="20"/>
                <w:szCs w:val="20"/>
              </w:rPr>
              <w:t>NATO Secretary General Rutte reiterated that members must bring credible national plans toward the 5% target (3.5% core + 1.5% related) to the July Ankara summit; national roadmaps remain the key dated test (driver 1). (CBC, mid-Jun.)</w:t>
            </w:r>
          </w:p>
          <w:p w14:paraId="20C8438A" w14:textId="77777777" w:rsidR="00E706AF" w:rsidRPr="00590348" w:rsidRDefault="00E706AF">
            <w:pPr>
              <w:pStyle w:val="ListParagraph"/>
              <w:numPr>
                <w:ilvl w:val="1"/>
                <w:numId w:val="3"/>
              </w:numPr>
              <w:spacing w:after="80"/>
              <w:jc w:val="both"/>
              <w:rPr>
                <w:sz w:val="20"/>
                <w:szCs w:val="20"/>
              </w:rPr>
            </w:pPr>
            <w:r w:rsidRPr="00590348">
              <w:rPr>
                <w:color w:val="000000"/>
                <w:sz w:val="20"/>
                <w:szCs w:val="20"/>
              </w:rPr>
              <w:t>No new in-window prints on German SVIK disbursement, Canada Strong/BCSF deployment, US deficit/refunding, or deregulation; those items carry from the 9 June report (checked-null).</w:t>
            </w:r>
          </w:p>
          <w:p w14:paraId="3DD3C7BF" w14:textId="77777777" w:rsidR="00E706AF" w:rsidRDefault="00E706AF" w:rsidP="00502C47">
            <w:pPr>
              <w:spacing w:after="80"/>
              <w:jc w:val="both"/>
            </w:pPr>
          </w:p>
        </w:tc>
      </w:tr>
      <w:tr w:rsidR="00E706AF" w14:paraId="4E63E49C" w14:textId="77777777" w:rsidTr="00502C47">
        <w:trPr>
          <w:trHeight w:val="2836"/>
        </w:trPr>
        <w:tc>
          <w:tcPr>
            <w:tcW w:w="5519" w:type="dxa"/>
          </w:tcPr>
          <w:p w14:paraId="7C4F3945" w14:textId="77777777" w:rsidR="00E706AF" w:rsidRDefault="00E706AF" w:rsidP="00502C47">
            <w:pPr>
              <w:spacing w:after="80"/>
              <w:jc w:val="both"/>
            </w:pPr>
          </w:p>
          <w:p w14:paraId="0654FF9C" w14:textId="77777777" w:rsidR="0009034C" w:rsidRDefault="0009034C" w:rsidP="00502C47">
            <w:pPr>
              <w:spacing w:after="80"/>
              <w:jc w:val="both"/>
            </w:pPr>
            <w:r>
              <w:t>Insert fiscal_chart_2</w:t>
            </w:r>
          </w:p>
        </w:tc>
        <w:tc>
          <w:tcPr>
            <w:tcW w:w="5519" w:type="dxa"/>
            <w:vMerge/>
          </w:tcPr>
          <w:p w14:paraId="05DEC623" w14:textId="77777777" w:rsidR="00E706AF" w:rsidRDefault="00E706AF" w:rsidP="00502C47">
            <w:pPr>
              <w:spacing w:after="80"/>
              <w:jc w:val="both"/>
            </w:pPr>
          </w:p>
        </w:tc>
      </w:tr>
      <w:tr w:rsidR="00E706AF" w14:paraId="0CC3B07A" w14:textId="77777777" w:rsidTr="00502C47">
        <w:trPr>
          <w:trHeight w:val="2753"/>
        </w:trPr>
        <w:tc>
          <w:tcPr>
            <w:tcW w:w="11038" w:type="dxa"/>
            <w:gridSpan w:val="2"/>
          </w:tcPr>
          <w:p w14:paraId="694621D7" w14:textId="77777777" w:rsidR="00E706AF" w:rsidRPr="00483440" w:rsidRDefault="00E706AF" w:rsidP="00502C47">
            <w:pPr>
              <w:jc w:val="center"/>
              <w:rPr>
                <w:b/>
                <w:bCs/>
                <w:color w:val="7B2952"/>
              </w:rPr>
            </w:pPr>
            <w:r w:rsidRPr="00483440">
              <w:rPr>
                <w:b/>
                <w:bCs/>
                <w:color w:val="7B2952"/>
              </w:rPr>
              <w:t>Material Data U</w:t>
            </w:r>
            <w:r w:rsidRPr="002E3AD5">
              <w:rPr>
                <w:b/>
                <w:bCs/>
                <w:color w:val="7B2952"/>
              </w:rPr>
              <w:t>p</w:t>
            </w:r>
            <w:r w:rsidRPr="00483440">
              <w:rPr>
                <w:b/>
                <w:bCs/>
                <w:color w:val="7B2952"/>
              </w:rPr>
              <w:t>date:</w:t>
            </w:r>
          </w:p>
          <w:p w14:paraId="428D27E5" w14:textId="77777777" w:rsidR="000717CC" w:rsidRDefault="00F62204">
            <w:pPr>
              <w:spacing w:before="40" w:after="80"/>
              <w:jc w:val="both"/>
            </w:pPr>
            <w:r>
              <w:rPr>
                <w:color w:val="000000"/>
                <w:sz w:val="20"/>
                <w:szCs w:val="20"/>
              </w:rPr>
              <w:t>No indicator moved on a like-for-like basis in-window; prior anchors carry — US FY2026 deficit $1.9T and net interest ~$1.2T (CBO); SVIK €11.2B / 28% disbursed through 30 Apr.</w:t>
            </w:r>
          </w:p>
          <w:p w14:paraId="3C406085" w14:textId="77777777" w:rsidR="00E706AF" w:rsidRDefault="00E706AF" w:rsidP="00502C47">
            <w:pPr>
              <w:spacing w:after="80"/>
              <w:jc w:val="both"/>
            </w:pPr>
          </w:p>
        </w:tc>
      </w:tr>
      <w:tr w:rsidR="00E706AF" w14:paraId="576F5307" w14:textId="77777777" w:rsidTr="00502C47">
        <w:trPr>
          <w:trHeight w:val="2753"/>
        </w:trPr>
        <w:tc>
          <w:tcPr>
            <w:tcW w:w="5519" w:type="dxa"/>
          </w:tcPr>
          <w:p w14:paraId="4A55E9D9" w14:textId="77777777" w:rsidR="00E706AF" w:rsidRDefault="00E706AF" w:rsidP="00502C47">
            <w:pPr>
              <w:spacing w:before="40" w:after="40"/>
            </w:pPr>
            <w:r>
              <w:rPr>
                <w:b/>
                <w:color w:val="7B2952"/>
              </w:rPr>
              <w:t>Implication for the theme</w:t>
            </w:r>
          </w:p>
          <w:p w14:paraId="5CF90624" w14:textId="77777777" w:rsidR="00E706AF" w:rsidRPr="00F521CB" w:rsidRDefault="00E706AF" w:rsidP="00502C47">
            <w:pPr>
              <w:spacing w:after="120"/>
              <w:jc w:val="both"/>
              <w:rPr>
                <w:sz w:val="20"/>
                <w:szCs w:val="20"/>
              </w:rPr>
            </w:pPr>
            <w:r w:rsidRPr="00F521CB">
              <w:rPr>
                <w:color w:val="000000"/>
                <w:sz w:val="20"/>
                <w:szCs w:val="20"/>
              </w:rPr>
              <w:t>The thesis is intact and its defence leg firmed at the margin: a G7 commitment to accelerate air-defence and long-range deliveries supports the medium-term defence-capex case the AIP favours, while the German continental catalyst still depends on the SVIK disbursement pace flagged last week. Near-term positioning stays selective.</w:t>
            </w:r>
          </w:p>
          <w:p w14:paraId="586D8AE3" w14:textId="77777777" w:rsidR="00E706AF" w:rsidRDefault="00E706AF" w:rsidP="00502C47">
            <w:pPr>
              <w:spacing w:after="80"/>
              <w:jc w:val="both"/>
            </w:pPr>
          </w:p>
        </w:tc>
        <w:tc>
          <w:tcPr>
            <w:tcW w:w="5519" w:type="dxa"/>
          </w:tcPr>
          <w:p w14:paraId="7D76114F" w14:textId="77777777" w:rsidR="00E706AF" w:rsidRDefault="00E706AF" w:rsidP="00502C47">
            <w:pPr>
              <w:spacing w:before="120" w:after="40"/>
            </w:pPr>
            <w:r>
              <w:rPr>
                <w:b/>
                <w:color w:val="7B2952"/>
              </w:rPr>
              <w:t>Watch next week</w:t>
            </w:r>
          </w:p>
          <w:p w14:paraId="358304A7" w14:textId="77777777" w:rsidR="00E706AF" w:rsidRPr="00F521CB" w:rsidRDefault="00E706AF">
            <w:pPr>
              <w:pStyle w:val="ListParagraph"/>
              <w:numPr>
                <w:ilvl w:val="0"/>
                <w:numId w:val="5"/>
              </w:numPr>
              <w:spacing w:after="80"/>
              <w:jc w:val="both"/>
              <w:rPr>
                <w:sz w:val="20"/>
                <w:szCs w:val="20"/>
              </w:rPr>
            </w:pPr>
            <w:r w:rsidRPr="00F521CB">
              <w:rPr>
                <w:color w:val="000000"/>
                <w:sz w:val="20"/>
                <w:szCs w:val="20"/>
              </w:rPr>
              <w:t>NATO July Ankara summit — national 5% roadmaps (dated, falsifiable).</w:t>
            </w:r>
          </w:p>
          <w:p w14:paraId="7E56455E" w14:textId="77777777" w:rsidR="00E706AF" w:rsidRPr="00F521CB" w:rsidRDefault="00E706AF">
            <w:pPr>
              <w:pStyle w:val="ListParagraph"/>
              <w:numPr>
                <w:ilvl w:val="0"/>
                <w:numId w:val="5"/>
              </w:numPr>
              <w:spacing w:after="80"/>
              <w:jc w:val="both"/>
              <w:rPr>
                <w:sz w:val="20"/>
                <w:szCs w:val="20"/>
              </w:rPr>
            </w:pPr>
            <w:r w:rsidRPr="00F521CB">
              <w:rPr>
                <w:color w:val="000000"/>
                <w:sz w:val="20"/>
                <w:szCs w:val="20"/>
              </w:rPr>
              <w:t>Next German SVIK monitoring data; Canada Strong Fund first deployments.</w:t>
            </w:r>
          </w:p>
          <w:p w14:paraId="4EB02B06" w14:textId="77777777" w:rsidR="00E706AF" w:rsidRDefault="00E706AF" w:rsidP="00502C47">
            <w:pPr>
              <w:spacing w:after="80"/>
              <w:jc w:val="both"/>
            </w:pPr>
          </w:p>
        </w:tc>
      </w:tr>
    </w:tbl>
    <w:p w14:paraId="64D1292E" w14:textId="77777777" w:rsidR="000717CC" w:rsidRDefault="000717CC">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3C74DB" w14:paraId="081549BF" w14:textId="77777777" w:rsidTr="00502C47">
        <w:trPr>
          <w:trHeight w:val="771"/>
        </w:trPr>
        <w:tc>
          <w:tcPr>
            <w:tcW w:w="11038" w:type="dxa"/>
            <w:gridSpan w:val="2"/>
            <w:shd w:val="clear" w:color="auto" w:fill="7B2952"/>
          </w:tcPr>
          <w:p w14:paraId="4725AA4B" w14:textId="77777777" w:rsidR="003C74DB" w:rsidRDefault="003C74DB" w:rsidP="00502C47">
            <w:pPr>
              <w:jc w:val="center"/>
              <w:rPr>
                <w:b/>
                <w:color w:val="FFFFFF" w:themeColor="background1"/>
                <w:sz w:val="32"/>
              </w:rPr>
            </w:pPr>
            <w:r w:rsidRPr="00280B12">
              <w:rPr>
                <w:b/>
                <w:color w:val="FFFFFF" w:themeColor="background1"/>
                <w:sz w:val="32"/>
              </w:rPr>
              <w:t xml:space="preserve">Theme </w:t>
            </w:r>
            <w:r w:rsidR="003B6356">
              <w:rPr>
                <w:b/>
                <w:color w:val="FFFFFF" w:themeColor="background1"/>
                <w:sz w:val="32"/>
              </w:rPr>
              <w:t>1 (Appendix)</w:t>
            </w:r>
            <w:r w:rsidRPr="00280B12">
              <w:rPr>
                <w:b/>
                <w:color w:val="FFFFFF" w:themeColor="background1"/>
                <w:sz w:val="32"/>
              </w:rPr>
              <w:t xml:space="preserve"> — </w:t>
            </w:r>
            <w:r>
              <w:rPr>
                <w:b/>
                <w:color w:val="FFFFFF" w:themeColor="background1"/>
                <w:sz w:val="32"/>
              </w:rPr>
              <w:t>Monetary Policy Tracker</w:t>
            </w:r>
          </w:p>
          <w:p w14:paraId="0B02DE42" w14:textId="77777777" w:rsidR="003C74DB" w:rsidRPr="00280B12" w:rsidRDefault="003C74DB" w:rsidP="00502C47">
            <w:pPr>
              <w:jc w:val="center"/>
              <w:rPr>
                <w:color w:val="FFFFFF" w:themeColor="background1"/>
              </w:rPr>
            </w:pPr>
            <w:r w:rsidRPr="003C74DB">
              <w:rPr>
                <w:b/>
                <w:color w:val="FFFFFF" w:themeColor="background1"/>
                <w:szCs w:val="22"/>
              </w:rPr>
              <w:t>(As of 2026_06_18)</w:t>
            </w:r>
          </w:p>
        </w:tc>
      </w:tr>
      <w:tr w:rsidR="003C74DB" w14:paraId="4A19701F" w14:textId="77777777" w:rsidTr="00502C47">
        <w:trPr>
          <w:trHeight w:val="771"/>
        </w:trPr>
        <w:tc>
          <w:tcPr>
            <w:tcW w:w="11038" w:type="dxa"/>
            <w:gridSpan w:val="2"/>
          </w:tcPr>
          <w:p w14:paraId="33BAC79B" w14:textId="77777777" w:rsidR="003C74DB" w:rsidRDefault="003C74DB" w:rsidP="00502C47">
            <w:pPr>
              <w:spacing w:after="40"/>
            </w:pPr>
            <w:r>
              <w:rPr>
                <w:b/>
                <w:color w:val="7B2952"/>
              </w:rPr>
              <w:lastRenderedPageBreak/>
              <w:t>Status:</w:t>
            </w:r>
          </w:p>
          <w:p w14:paraId="1F884706" w14:textId="77777777" w:rsidR="003C74DB" w:rsidRPr="00F521CB" w:rsidRDefault="003C74DB" w:rsidP="00502C47">
            <w:pPr>
              <w:spacing w:after="120"/>
              <w:jc w:val="both"/>
              <w:rPr>
                <w:sz w:val="20"/>
                <w:szCs w:val="20"/>
              </w:rPr>
            </w:pPr>
            <w:r w:rsidRPr="00F521CB">
              <w:rPr>
                <w:color w:val="000000"/>
                <w:sz w:val="20"/>
                <w:szCs w:val="20"/>
              </w:rPr>
              <w:t>Intact ▸ no change. The carried-forward stances were tested by the densest central-bank week of the year and broadly validated, with a hawkish repricing at the Fed; the framework is intact.</w:t>
            </w:r>
          </w:p>
        </w:tc>
      </w:tr>
      <w:tr w:rsidR="003C74DB" w14:paraId="3D974B73" w14:textId="77777777" w:rsidTr="00502C47">
        <w:trPr>
          <w:trHeight w:val="2753"/>
        </w:trPr>
        <w:tc>
          <w:tcPr>
            <w:tcW w:w="5519" w:type="dxa"/>
          </w:tcPr>
          <w:p w14:paraId="4CEF1EEA" w14:textId="77777777" w:rsidR="003C74DB" w:rsidRDefault="003C74DB" w:rsidP="00502C47">
            <w:pPr>
              <w:spacing w:after="80"/>
              <w:jc w:val="both"/>
            </w:pPr>
          </w:p>
          <w:p w14:paraId="0C81E60E" w14:textId="77777777" w:rsidR="0009034C" w:rsidRDefault="0009034C" w:rsidP="00502C47">
            <w:pPr>
              <w:spacing w:after="80"/>
              <w:jc w:val="both"/>
            </w:pPr>
          </w:p>
          <w:p w14:paraId="6E6361E7" w14:textId="77777777" w:rsidR="0009034C" w:rsidRDefault="00582691" w:rsidP="00502C47">
            <w:pPr>
              <w:spacing w:after="80"/>
              <w:jc w:val="both"/>
            </w:pPr>
            <w:r>
              <w:t>I</w:t>
            </w:r>
            <w:r w:rsidR="0009034C">
              <w:t>nser</w:t>
            </w:r>
            <w:r>
              <w:t>t monetary_1</w:t>
            </w:r>
          </w:p>
        </w:tc>
        <w:tc>
          <w:tcPr>
            <w:tcW w:w="5519" w:type="dxa"/>
            <w:vMerge w:val="restart"/>
          </w:tcPr>
          <w:p w14:paraId="75AFCB4F" w14:textId="77777777" w:rsidR="003C74DB" w:rsidRDefault="003C74DB" w:rsidP="00502C47">
            <w:pPr>
              <w:spacing w:before="120" w:after="40"/>
              <w:jc w:val="center"/>
            </w:pPr>
            <w:r>
              <w:rPr>
                <w:b/>
                <w:color w:val="7B2952"/>
              </w:rPr>
              <w:t>What changed this week</w:t>
            </w:r>
          </w:p>
          <w:p w14:paraId="74178138"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US (Fed) — Held at 3.50–3.75% (17 Jun) but the median end-2026 dot rose to 3.8% from 3.4% (9 of 18 now see ≥1 hike), 2026 inflation projections were lifted to 3.6% headline / 3.3% core, and Chair Warsh's first statement dropped the easing bias: the carried 'no cuts until year-end' stance shifts hawkish. (Federal Reserve; CNBC, 17 Jun.)</w:t>
            </w:r>
          </w:p>
          <w:p w14:paraId="44C5345C"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Canada (BoC) — Held at 2.25% (10 Jun), a fifth consecutive hold; Q1 GDP −0.1%; 'looking through' the war's near-term inflation while watching for persistence; next decision 15 Jul. (Bank of Canada.)</w:t>
            </w:r>
          </w:p>
          <w:p w14:paraId="5C76805E"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Europe (ECB) — Raised the three key rates 25bp (deposit 2.25%, eff 17 Jun), the first hike since 2023, citing war-driven inflation; projections 3.0% (2026) → 2.0% (2028). Realizes the 'end of cutting cycle, hikes expected' stance. (ECB, 11 Jun.)</w:t>
            </w:r>
          </w:p>
          <w:p w14:paraId="492772E9"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Japan (BoJ) — Raised to 1.00% (16 Jun, 7–1), a 31-year high, citing yen weakness and energy costs; signalled further hikes. Realizes the 'hiking' stance. (Bank of Japan, 16 Jun.)</w:t>
            </w:r>
          </w:p>
          <w:p w14:paraId="0970298B" w14:textId="77777777" w:rsidR="003C74DB" w:rsidRPr="00590348" w:rsidRDefault="003C74DB">
            <w:pPr>
              <w:pStyle w:val="ListParagraph"/>
              <w:numPr>
                <w:ilvl w:val="1"/>
                <w:numId w:val="3"/>
              </w:numPr>
              <w:spacing w:after="80"/>
              <w:jc w:val="both"/>
              <w:rPr>
                <w:sz w:val="20"/>
                <w:szCs w:val="20"/>
              </w:rPr>
            </w:pPr>
            <w:r w:rsidRPr="00590348">
              <w:rPr>
                <w:color w:val="000000"/>
                <w:sz w:val="20"/>
                <w:szCs w:val="20"/>
              </w:rPr>
              <w:t>Context — BoE held 3.75% (18 Jun; not in the tracked set). US May CPI 4.2% y/y / energy +3.9% m/m (10 Jun) is the passthrough check; US PCE for May releases 25 Jun (post-cutoff). China (PBoC, easing, 1Y LPR 3.0%) and India (RBI, hold 5.25%) stances carry — no in-window decisions.</w:t>
            </w:r>
          </w:p>
          <w:p w14:paraId="2EF66541" w14:textId="77777777" w:rsidR="003C74DB" w:rsidRDefault="003C74DB" w:rsidP="00502C47">
            <w:pPr>
              <w:spacing w:after="80"/>
              <w:jc w:val="both"/>
            </w:pPr>
          </w:p>
        </w:tc>
      </w:tr>
      <w:tr w:rsidR="003C74DB" w14:paraId="6644CE0D" w14:textId="77777777" w:rsidTr="00502C47">
        <w:trPr>
          <w:trHeight w:val="2836"/>
        </w:trPr>
        <w:tc>
          <w:tcPr>
            <w:tcW w:w="5519" w:type="dxa"/>
          </w:tcPr>
          <w:p w14:paraId="703656A3" w14:textId="77777777" w:rsidR="003C74DB" w:rsidRDefault="00805A18" w:rsidP="00502C47">
            <w:pPr>
              <w:spacing w:after="80"/>
              <w:jc w:val="both"/>
            </w:pPr>
            <w:r>
              <w:t>Insert monetary_1</w:t>
            </w:r>
          </w:p>
        </w:tc>
        <w:tc>
          <w:tcPr>
            <w:tcW w:w="5519" w:type="dxa"/>
            <w:vMerge/>
          </w:tcPr>
          <w:p w14:paraId="6FA69F93" w14:textId="77777777" w:rsidR="003C74DB" w:rsidRDefault="003C74DB" w:rsidP="00502C47">
            <w:pPr>
              <w:spacing w:after="80"/>
              <w:jc w:val="both"/>
            </w:pPr>
          </w:p>
        </w:tc>
      </w:tr>
      <w:tr w:rsidR="003C74DB" w14:paraId="4F1DA775" w14:textId="77777777" w:rsidTr="00502C47">
        <w:trPr>
          <w:trHeight w:val="2753"/>
        </w:trPr>
        <w:tc>
          <w:tcPr>
            <w:tcW w:w="11038" w:type="dxa"/>
            <w:gridSpan w:val="2"/>
          </w:tcPr>
          <w:p w14:paraId="78A1A81A" w14:textId="77777777" w:rsidR="003C74DB" w:rsidRPr="00483440" w:rsidRDefault="003C74DB" w:rsidP="00502C47">
            <w:pPr>
              <w:jc w:val="center"/>
              <w:rPr>
                <w:b/>
                <w:bCs/>
                <w:color w:val="7B2952"/>
              </w:rPr>
            </w:pPr>
            <w:r w:rsidRPr="00483440">
              <w:rPr>
                <w:b/>
                <w:bCs/>
                <w:color w:val="7B2952"/>
              </w:rPr>
              <w:t>Material Data U</w:t>
            </w:r>
            <w:r w:rsidRPr="002E3AD5">
              <w:rPr>
                <w:b/>
                <w:bCs/>
                <w:color w:val="7B2952"/>
              </w:rPr>
              <w:t>p</w:t>
            </w:r>
            <w:r w:rsidRPr="00483440">
              <w:rPr>
                <w:b/>
                <w:bCs/>
                <w:color w:val="7B2952"/>
              </w:rPr>
              <w:t>date:</w:t>
            </w:r>
          </w:p>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1740"/>
              <w:gridCol w:w="1719"/>
              <w:gridCol w:w="1508"/>
              <w:gridCol w:w="4000"/>
              <w:gridCol w:w="2002"/>
            </w:tblGrid>
            <w:tr w:rsidR="003C74DB" w14:paraId="13CCC3F2" w14:textId="77777777" w:rsidTr="00502C47">
              <w:trPr>
                <w:trHeight w:val="292"/>
              </w:trPr>
              <w:tc>
                <w:tcPr>
                  <w:tcW w:w="1740" w:type="dxa"/>
                  <w:shd w:val="clear" w:color="auto" w:fill="7B2952"/>
                </w:tcPr>
                <w:p w14:paraId="6CBAF669" w14:textId="77777777" w:rsidR="003C74DB" w:rsidRDefault="003C74DB" w:rsidP="001E042A">
                  <w:pPr>
                    <w:spacing w:after="0"/>
                  </w:pPr>
                  <w:r>
                    <w:rPr>
                      <w:b/>
                      <w:color w:val="FFFFFF"/>
                      <w:sz w:val="16"/>
                    </w:rPr>
                    <w:t>Indicator</w:t>
                  </w:r>
                </w:p>
              </w:tc>
              <w:tc>
                <w:tcPr>
                  <w:tcW w:w="1719" w:type="dxa"/>
                  <w:shd w:val="clear" w:color="auto" w:fill="7B2952"/>
                </w:tcPr>
                <w:p w14:paraId="5B8C1BD8" w14:textId="77777777" w:rsidR="003C74DB" w:rsidRDefault="003C74DB" w:rsidP="001E042A">
                  <w:pPr>
                    <w:spacing w:after="0"/>
                  </w:pPr>
                  <w:r>
                    <w:rPr>
                      <w:b/>
                      <w:color w:val="FFFFFF"/>
                      <w:sz w:val="16"/>
                    </w:rPr>
                    <w:t>Prior anchor</w:t>
                  </w:r>
                </w:p>
              </w:tc>
              <w:tc>
                <w:tcPr>
                  <w:tcW w:w="1508" w:type="dxa"/>
                  <w:shd w:val="clear" w:color="auto" w:fill="7B2952"/>
                </w:tcPr>
                <w:p w14:paraId="2915177E" w14:textId="77777777" w:rsidR="003C74DB" w:rsidRDefault="003C74DB" w:rsidP="001E042A">
                  <w:pPr>
                    <w:spacing w:after="0"/>
                  </w:pPr>
                  <w:r>
                    <w:rPr>
                      <w:b/>
                      <w:color w:val="FFFFFF"/>
                      <w:sz w:val="16"/>
                    </w:rPr>
                    <w:t>New value</w:t>
                  </w:r>
                </w:p>
              </w:tc>
              <w:tc>
                <w:tcPr>
                  <w:tcW w:w="4000" w:type="dxa"/>
                  <w:shd w:val="clear" w:color="auto" w:fill="7B2952"/>
                </w:tcPr>
                <w:p w14:paraId="29331770" w14:textId="77777777" w:rsidR="003C74DB" w:rsidRDefault="003C74DB" w:rsidP="001E042A">
                  <w:pPr>
                    <w:spacing w:after="0"/>
                  </w:pPr>
                  <w:r>
                    <w:rPr>
                      <w:b/>
                      <w:color w:val="FFFFFF"/>
                      <w:sz w:val="16"/>
                    </w:rPr>
                    <w:t>Why it matters</w:t>
                  </w:r>
                </w:p>
              </w:tc>
              <w:tc>
                <w:tcPr>
                  <w:tcW w:w="2002" w:type="dxa"/>
                  <w:shd w:val="clear" w:color="auto" w:fill="7B2952"/>
                </w:tcPr>
                <w:p w14:paraId="2816F549" w14:textId="77777777" w:rsidR="003C74DB" w:rsidRDefault="003C74DB" w:rsidP="001E042A">
                  <w:pPr>
                    <w:spacing w:after="0"/>
                  </w:pPr>
                  <w:r>
                    <w:rPr>
                      <w:b/>
                      <w:color w:val="FFFFFF"/>
                      <w:sz w:val="16"/>
                    </w:rPr>
                    <w:t>Source</w:t>
                  </w:r>
                </w:p>
              </w:tc>
            </w:tr>
            <w:tr w:rsidR="003C74DB" w14:paraId="4C19BED4" w14:textId="77777777" w:rsidTr="00502C47">
              <w:trPr>
                <w:trHeight w:val="381"/>
              </w:trPr>
              <w:tc>
                <w:tcPr>
                  <w:tcW w:w="1740" w:type="dxa"/>
                </w:tcPr>
                <w:p w14:paraId="3185C6E6" w14:textId="77777777" w:rsidR="003C74DB" w:rsidRPr="00F521CB" w:rsidRDefault="003C74DB" w:rsidP="001E042A">
                  <w:pPr>
                    <w:spacing w:after="0"/>
                  </w:pPr>
                  <w:r w:rsidRPr="00F521CB">
                    <w:rPr>
                      <w:sz w:val="16"/>
                    </w:rPr>
                    <w:t>US fed funds target</w:t>
                  </w:r>
                </w:p>
              </w:tc>
              <w:tc>
                <w:tcPr>
                  <w:tcW w:w="1719" w:type="dxa"/>
                </w:tcPr>
                <w:p w14:paraId="742C30EE" w14:textId="77777777" w:rsidR="003C74DB" w:rsidRPr="00F521CB" w:rsidRDefault="003C74DB" w:rsidP="001E042A">
                  <w:pPr>
                    <w:spacing w:after="0"/>
                  </w:pPr>
                  <w:r w:rsidRPr="00F521CB">
                    <w:rPr>
                      <w:sz w:val="16"/>
                    </w:rPr>
                    <w:t>3.50–3.75% (carried)</w:t>
                  </w:r>
                </w:p>
              </w:tc>
              <w:tc>
                <w:tcPr>
                  <w:tcW w:w="1508" w:type="dxa"/>
                </w:tcPr>
                <w:p w14:paraId="5E5E1052" w14:textId="77777777" w:rsidR="003C74DB" w:rsidRPr="00F521CB" w:rsidRDefault="003C74DB" w:rsidP="001E042A">
                  <w:pPr>
                    <w:spacing w:after="0"/>
                  </w:pPr>
                  <w:r w:rsidRPr="00F521CB">
                    <w:rPr>
                      <w:sz w:val="16"/>
                    </w:rPr>
                    <w:t>3.50–3.75% (hold, 17 Jun); dot median end-26 3.8% (+0.4pp vs 3.4% Mar)</w:t>
                  </w:r>
                </w:p>
              </w:tc>
              <w:tc>
                <w:tcPr>
                  <w:tcW w:w="4000" w:type="dxa"/>
                </w:tcPr>
                <w:p w14:paraId="59A50F5A" w14:textId="77777777" w:rsidR="003C74DB" w:rsidRPr="00F521CB" w:rsidRDefault="003C74DB" w:rsidP="001E042A">
                  <w:pPr>
                    <w:spacing w:after="0"/>
                  </w:pPr>
                  <w:r w:rsidRPr="00F521CB">
                    <w:rPr>
                      <w:sz w:val="16"/>
                    </w:rPr>
                    <w:t>Easing bias removed; hike now in play</w:t>
                  </w:r>
                </w:p>
              </w:tc>
              <w:tc>
                <w:tcPr>
                  <w:tcW w:w="2002" w:type="dxa"/>
                </w:tcPr>
                <w:p w14:paraId="2C4AC950" w14:textId="77777777" w:rsidR="003C74DB" w:rsidRPr="00F521CB" w:rsidRDefault="003C74DB" w:rsidP="001E042A">
                  <w:pPr>
                    <w:spacing w:after="0"/>
                  </w:pPr>
                  <w:r w:rsidRPr="00F521CB">
                    <w:rPr>
                      <w:sz w:val="16"/>
                    </w:rPr>
                    <w:t>Fed, 17 Jun</w:t>
                  </w:r>
                </w:p>
              </w:tc>
            </w:tr>
            <w:tr w:rsidR="003C74DB" w14:paraId="6494F5DF" w14:textId="77777777" w:rsidTr="00502C47">
              <w:trPr>
                <w:trHeight w:val="381"/>
              </w:trPr>
              <w:tc>
                <w:tcPr>
                  <w:tcW w:w="1740" w:type="dxa"/>
                </w:tcPr>
                <w:p w14:paraId="12BAB0C5" w14:textId="77777777" w:rsidR="003C74DB" w:rsidRPr="00F521CB" w:rsidRDefault="003C74DB" w:rsidP="001E042A">
                  <w:pPr>
                    <w:spacing w:after="0"/>
                  </w:pPr>
                  <w:r w:rsidRPr="00F521CB">
                    <w:rPr>
                      <w:sz w:val="16"/>
                    </w:rPr>
                    <w:t>ECB deposit rate</w:t>
                  </w:r>
                </w:p>
              </w:tc>
              <w:tc>
                <w:tcPr>
                  <w:tcW w:w="1719" w:type="dxa"/>
                </w:tcPr>
                <w:p w14:paraId="1F1C42AC" w14:textId="77777777" w:rsidR="003C74DB" w:rsidRPr="00F521CB" w:rsidRDefault="003C74DB" w:rsidP="001E042A">
                  <w:pPr>
                    <w:spacing w:after="0"/>
                  </w:pPr>
                  <w:r w:rsidRPr="00F521CB">
                    <w:rPr>
                      <w:sz w:val="16"/>
                    </w:rPr>
                    <w:t>Cuts paused (carried)</w:t>
                  </w:r>
                </w:p>
              </w:tc>
              <w:tc>
                <w:tcPr>
                  <w:tcW w:w="1508" w:type="dxa"/>
                </w:tcPr>
                <w:p w14:paraId="1A367071" w14:textId="77777777" w:rsidR="003C74DB" w:rsidRPr="00F521CB" w:rsidRDefault="003C74DB" w:rsidP="001E042A">
                  <w:pPr>
                    <w:spacing w:after="0"/>
                  </w:pPr>
                  <w:r w:rsidRPr="00F521CB">
                    <w:rPr>
                      <w:sz w:val="16"/>
                    </w:rPr>
                    <w:t>2.25% (+25bp, eff 17 Jun)</w:t>
                  </w:r>
                </w:p>
              </w:tc>
              <w:tc>
                <w:tcPr>
                  <w:tcW w:w="4000" w:type="dxa"/>
                </w:tcPr>
                <w:p w14:paraId="35845C1E" w14:textId="77777777" w:rsidR="003C74DB" w:rsidRPr="00F521CB" w:rsidRDefault="003C74DB" w:rsidP="001E042A">
                  <w:pPr>
                    <w:spacing w:after="0"/>
                  </w:pPr>
                  <w:r w:rsidRPr="00F521CB">
                    <w:rPr>
                      <w:sz w:val="16"/>
                    </w:rPr>
                    <w:t>First ECB hike since 2023</w:t>
                  </w:r>
                </w:p>
              </w:tc>
              <w:tc>
                <w:tcPr>
                  <w:tcW w:w="2002" w:type="dxa"/>
                </w:tcPr>
                <w:p w14:paraId="31CEC62A" w14:textId="77777777" w:rsidR="003C74DB" w:rsidRPr="00F521CB" w:rsidRDefault="003C74DB" w:rsidP="001E042A">
                  <w:pPr>
                    <w:spacing w:after="0"/>
                  </w:pPr>
                  <w:r w:rsidRPr="00F521CB">
                    <w:rPr>
                      <w:sz w:val="16"/>
                    </w:rPr>
                    <w:t>ECB, 11 Jun</w:t>
                  </w:r>
                </w:p>
              </w:tc>
            </w:tr>
            <w:tr w:rsidR="003C74DB" w14:paraId="74467972" w14:textId="77777777" w:rsidTr="00502C47">
              <w:trPr>
                <w:trHeight w:val="381"/>
              </w:trPr>
              <w:tc>
                <w:tcPr>
                  <w:tcW w:w="1740" w:type="dxa"/>
                </w:tcPr>
                <w:p w14:paraId="41A96A31" w14:textId="77777777" w:rsidR="003C74DB" w:rsidRPr="00F521CB" w:rsidRDefault="003C74DB" w:rsidP="001E042A">
                  <w:pPr>
                    <w:spacing w:after="0"/>
                  </w:pPr>
                  <w:r w:rsidRPr="00F521CB">
                    <w:rPr>
                      <w:sz w:val="16"/>
                    </w:rPr>
                    <w:t>BoJ policy rate</w:t>
                  </w:r>
                </w:p>
              </w:tc>
              <w:tc>
                <w:tcPr>
                  <w:tcW w:w="1719" w:type="dxa"/>
                </w:tcPr>
                <w:p w14:paraId="1B5BAF26" w14:textId="77777777" w:rsidR="003C74DB" w:rsidRPr="00F521CB" w:rsidRDefault="003C74DB" w:rsidP="001E042A">
                  <w:pPr>
                    <w:spacing w:after="0"/>
                  </w:pPr>
                  <w:r w:rsidRPr="00F521CB">
                    <w:rPr>
                      <w:sz w:val="16"/>
                    </w:rPr>
                    <w:t>Hiking (carried)</w:t>
                  </w:r>
                </w:p>
              </w:tc>
              <w:tc>
                <w:tcPr>
                  <w:tcW w:w="1508" w:type="dxa"/>
                </w:tcPr>
                <w:p w14:paraId="275AF403" w14:textId="77777777" w:rsidR="003C74DB" w:rsidRPr="00F521CB" w:rsidRDefault="003C74DB" w:rsidP="001E042A">
                  <w:pPr>
                    <w:spacing w:after="0"/>
                  </w:pPr>
                  <w:r w:rsidRPr="00F521CB">
                    <w:rPr>
                      <w:sz w:val="16"/>
                    </w:rPr>
                    <w:t>1.00% (+25bp)</w:t>
                  </w:r>
                </w:p>
              </w:tc>
              <w:tc>
                <w:tcPr>
                  <w:tcW w:w="4000" w:type="dxa"/>
                </w:tcPr>
                <w:p w14:paraId="674FDB33" w14:textId="77777777" w:rsidR="003C74DB" w:rsidRPr="00F521CB" w:rsidRDefault="003C74DB" w:rsidP="001E042A">
                  <w:pPr>
                    <w:spacing w:after="0"/>
                  </w:pPr>
                  <w:r w:rsidRPr="00F521CB">
                    <w:rPr>
                      <w:sz w:val="16"/>
                    </w:rPr>
                    <w:t>31-year high</w:t>
                  </w:r>
                </w:p>
              </w:tc>
              <w:tc>
                <w:tcPr>
                  <w:tcW w:w="2002" w:type="dxa"/>
                </w:tcPr>
                <w:p w14:paraId="7D9911A2" w14:textId="77777777" w:rsidR="003C74DB" w:rsidRPr="00F521CB" w:rsidRDefault="003C74DB" w:rsidP="001E042A">
                  <w:pPr>
                    <w:spacing w:after="0"/>
                  </w:pPr>
                  <w:r w:rsidRPr="00F521CB">
                    <w:rPr>
                      <w:sz w:val="16"/>
                    </w:rPr>
                    <w:t>BoJ, 16 Jun</w:t>
                  </w:r>
                </w:p>
              </w:tc>
            </w:tr>
            <w:tr w:rsidR="003C74DB" w14:paraId="2522E303" w14:textId="77777777" w:rsidTr="00502C47">
              <w:trPr>
                <w:trHeight w:val="381"/>
              </w:trPr>
              <w:tc>
                <w:tcPr>
                  <w:tcW w:w="1740" w:type="dxa"/>
                </w:tcPr>
                <w:p w14:paraId="4EAE0585" w14:textId="77777777" w:rsidR="003C74DB" w:rsidRPr="00F521CB" w:rsidRDefault="003C74DB" w:rsidP="001E042A">
                  <w:pPr>
                    <w:spacing w:after="0"/>
                  </w:pPr>
                  <w:r w:rsidRPr="00F521CB">
                    <w:rPr>
                      <w:sz w:val="16"/>
                    </w:rPr>
                    <w:t>BoC overnight rate</w:t>
                  </w:r>
                </w:p>
              </w:tc>
              <w:tc>
                <w:tcPr>
                  <w:tcW w:w="1719" w:type="dxa"/>
                </w:tcPr>
                <w:p w14:paraId="0516A9F1" w14:textId="77777777" w:rsidR="003C74DB" w:rsidRPr="00F521CB" w:rsidRDefault="003C74DB" w:rsidP="001E042A">
                  <w:pPr>
                    <w:spacing w:after="0"/>
                  </w:pPr>
                  <w:r w:rsidRPr="00F521CB">
                    <w:rPr>
                      <w:sz w:val="16"/>
                    </w:rPr>
                    <w:t>2.25–3.25% neutral (carried)</w:t>
                  </w:r>
                </w:p>
              </w:tc>
              <w:tc>
                <w:tcPr>
                  <w:tcW w:w="1508" w:type="dxa"/>
                </w:tcPr>
                <w:p w14:paraId="5182483C" w14:textId="77777777" w:rsidR="003C74DB" w:rsidRPr="00F521CB" w:rsidRDefault="003C74DB" w:rsidP="001E042A">
                  <w:pPr>
                    <w:spacing w:after="0"/>
                  </w:pPr>
                  <w:r w:rsidRPr="00F521CB">
                    <w:rPr>
                      <w:sz w:val="16"/>
                    </w:rPr>
                    <w:t>2.25% (fifth hold)</w:t>
                  </w:r>
                </w:p>
              </w:tc>
              <w:tc>
                <w:tcPr>
                  <w:tcW w:w="4000" w:type="dxa"/>
                </w:tcPr>
                <w:p w14:paraId="0E19FCCB" w14:textId="77777777" w:rsidR="003C74DB" w:rsidRPr="00F521CB" w:rsidRDefault="003C74DB" w:rsidP="001E042A">
                  <w:pPr>
                    <w:spacing w:after="0"/>
                  </w:pPr>
                  <w:r w:rsidRPr="00F521CB">
                    <w:rPr>
                      <w:sz w:val="16"/>
                    </w:rPr>
                    <w:t>Looking through war inflation</w:t>
                  </w:r>
                </w:p>
              </w:tc>
              <w:tc>
                <w:tcPr>
                  <w:tcW w:w="2002" w:type="dxa"/>
                </w:tcPr>
                <w:p w14:paraId="1603A6CE" w14:textId="77777777" w:rsidR="003C74DB" w:rsidRPr="00F521CB" w:rsidRDefault="003C74DB" w:rsidP="001E042A">
                  <w:pPr>
                    <w:spacing w:after="0"/>
                  </w:pPr>
                  <w:r w:rsidRPr="00F521CB">
                    <w:rPr>
                      <w:sz w:val="16"/>
                    </w:rPr>
                    <w:t>BoC, 10 Jun</w:t>
                  </w:r>
                </w:p>
              </w:tc>
            </w:tr>
            <w:tr w:rsidR="003C74DB" w14:paraId="3AF6F59F" w14:textId="77777777" w:rsidTr="00502C47">
              <w:trPr>
                <w:trHeight w:val="381"/>
              </w:trPr>
              <w:tc>
                <w:tcPr>
                  <w:tcW w:w="1740" w:type="dxa"/>
                </w:tcPr>
                <w:p w14:paraId="466BAA14" w14:textId="77777777" w:rsidR="003C74DB" w:rsidRPr="00F521CB" w:rsidRDefault="003C74DB" w:rsidP="001E042A">
                  <w:pPr>
                    <w:spacing w:after="0"/>
                  </w:pPr>
                  <w:r w:rsidRPr="00F521CB">
                    <w:rPr>
                      <w:sz w:val="16"/>
                    </w:rPr>
                    <w:t>US CPI (y/y)</w:t>
                  </w:r>
                </w:p>
              </w:tc>
              <w:tc>
                <w:tcPr>
                  <w:tcW w:w="1719" w:type="dxa"/>
                </w:tcPr>
                <w:p w14:paraId="2B689FC0" w14:textId="77777777" w:rsidR="003C74DB" w:rsidRPr="00F521CB" w:rsidRDefault="003C74DB" w:rsidP="001E042A">
                  <w:pPr>
                    <w:spacing w:after="0"/>
                  </w:pPr>
                  <w:r w:rsidRPr="00F521CB">
                    <w:rPr>
                      <w:sz w:val="16"/>
                    </w:rPr>
                    <w:t>3.8% (Apr)</w:t>
                  </w:r>
                </w:p>
              </w:tc>
              <w:tc>
                <w:tcPr>
                  <w:tcW w:w="1508" w:type="dxa"/>
                </w:tcPr>
                <w:p w14:paraId="67C56476" w14:textId="77777777" w:rsidR="003C74DB" w:rsidRPr="00F521CB" w:rsidRDefault="003C74DB" w:rsidP="001E042A">
                  <w:pPr>
                    <w:spacing w:after="0"/>
                  </w:pPr>
                  <w:r w:rsidRPr="00F521CB">
                    <w:rPr>
                      <w:sz w:val="16"/>
                    </w:rPr>
                    <w:t>4.2% (May; +0.5% m/m; energy +3.9% m/m)</w:t>
                  </w:r>
                </w:p>
              </w:tc>
              <w:tc>
                <w:tcPr>
                  <w:tcW w:w="4000" w:type="dxa"/>
                </w:tcPr>
                <w:p w14:paraId="1AABE94C" w14:textId="77777777" w:rsidR="003C74DB" w:rsidRPr="00F521CB" w:rsidRDefault="003C74DB" w:rsidP="001E042A">
                  <w:pPr>
                    <w:spacing w:after="0"/>
                  </w:pPr>
                  <w:r w:rsidRPr="00F521CB">
                    <w:rPr>
                      <w:sz w:val="16"/>
                    </w:rPr>
                    <w:t>Passthrough still peaking</w:t>
                  </w:r>
                </w:p>
              </w:tc>
              <w:tc>
                <w:tcPr>
                  <w:tcW w:w="2002" w:type="dxa"/>
                </w:tcPr>
                <w:p w14:paraId="5021C7B3" w14:textId="77777777" w:rsidR="003C74DB" w:rsidRPr="00F521CB" w:rsidRDefault="003C74DB" w:rsidP="001E042A">
                  <w:pPr>
                    <w:spacing w:after="0"/>
                  </w:pPr>
                  <w:r w:rsidRPr="00F521CB">
                    <w:rPr>
                      <w:sz w:val="16"/>
                    </w:rPr>
                    <w:t>BLS, 10 Jun</w:t>
                  </w:r>
                </w:p>
              </w:tc>
            </w:tr>
          </w:tbl>
          <w:p w14:paraId="2F399534" w14:textId="77777777" w:rsidR="003C74DB" w:rsidRDefault="003C74DB" w:rsidP="00502C47">
            <w:pPr>
              <w:spacing w:after="80"/>
              <w:jc w:val="both"/>
            </w:pPr>
          </w:p>
        </w:tc>
      </w:tr>
      <w:tr w:rsidR="003C74DB" w14:paraId="3F0240B5" w14:textId="77777777" w:rsidTr="00502C47">
        <w:trPr>
          <w:trHeight w:val="2753"/>
        </w:trPr>
        <w:tc>
          <w:tcPr>
            <w:tcW w:w="5519" w:type="dxa"/>
          </w:tcPr>
          <w:p w14:paraId="3FAE1CDA" w14:textId="77777777" w:rsidR="003C74DB" w:rsidRDefault="003C74DB" w:rsidP="00502C47">
            <w:pPr>
              <w:spacing w:before="40" w:after="40"/>
            </w:pPr>
            <w:r>
              <w:rPr>
                <w:b/>
                <w:color w:val="7B2952"/>
              </w:rPr>
              <w:lastRenderedPageBreak/>
              <w:t>Implication for the theme</w:t>
            </w:r>
          </w:p>
          <w:p w14:paraId="1595BFE0" w14:textId="77777777" w:rsidR="003C74DB" w:rsidRPr="00F521CB" w:rsidRDefault="003C74DB" w:rsidP="00502C47">
            <w:pPr>
              <w:spacing w:after="120"/>
              <w:jc w:val="both"/>
              <w:rPr>
                <w:sz w:val="20"/>
                <w:szCs w:val="20"/>
              </w:rPr>
            </w:pPr>
            <w:r w:rsidRPr="00F521CB">
              <w:rPr>
                <w:color w:val="000000"/>
                <w:sz w:val="20"/>
                <w:szCs w:val="20"/>
              </w:rPr>
              <w:t>A synchronized hawkish tilt — Fed dots up, ECB and BoJ hiking — alongside a hot CPI confirms the AIP's 'slightly elevated inflation' call and pushes the policy debate toward passthrough, not growth. Oil's sharp in-window fall has not yet shown in the inflation data, so the easing impulse is a Q3 story; rates stay higher-for-longer in the interim — a headwind for duration and a support for the 'stagflation unlikely' pillar given firm labour.</w:t>
            </w:r>
          </w:p>
          <w:p w14:paraId="2CEE9E56" w14:textId="77777777" w:rsidR="003C74DB" w:rsidRDefault="003C74DB" w:rsidP="00502C47">
            <w:pPr>
              <w:spacing w:after="80"/>
              <w:jc w:val="both"/>
            </w:pPr>
          </w:p>
        </w:tc>
        <w:tc>
          <w:tcPr>
            <w:tcW w:w="5519" w:type="dxa"/>
          </w:tcPr>
          <w:p w14:paraId="593D184A" w14:textId="77777777" w:rsidR="003C74DB" w:rsidRDefault="003C74DB" w:rsidP="00502C47">
            <w:pPr>
              <w:spacing w:before="120" w:after="40"/>
            </w:pPr>
            <w:r>
              <w:rPr>
                <w:b/>
                <w:color w:val="7B2952"/>
              </w:rPr>
              <w:t>Watch next week</w:t>
            </w:r>
          </w:p>
          <w:p w14:paraId="17D9C0ED" w14:textId="77777777" w:rsidR="003C74DB" w:rsidRPr="00F521CB" w:rsidRDefault="003C74DB">
            <w:pPr>
              <w:pStyle w:val="ListParagraph"/>
              <w:numPr>
                <w:ilvl w:val="0"/>
                <w:numId w:val="5"/>
              </w:numPr>
              <w:spacing w:after="80"/>
              <w:jc w:val="both"/>
              <w:rPr>
                <w:sz w:val="20"/>
                <w:szCs w:val="20"/>
              </w:rPr>
            </w:pPr>
            <w:r w:rsidRPr="00F521CB">
              <w:rPr>
                <w:color w:val="000000"/>
                <w:sz w:val="20"/>
                <w:szCs w:val="20"/>
              </w:rPr>
              <w:t>US PCE (25 Jun) vs April's 3.8% / 3.3%.</w:t>
            </w:r>
          </w:p>
          <w:p w14:paraId="17CB091C" w14:textId="77777777" w:rsidR="003C74DB" w:rsidRPr="00F521CB" w:rsidRDefault="003C74DB">
            <w:pPr>
              <w:pStyle w:val="ListParagraph"/>
              <w:numPr>
                <w:ilvl w:val="0"/>
                <w:numId w:val="5"/>
              </w:numPr>
              <w:spacing w:after="80"/>
              <w:jc w:val="both"/>
              <w:rPr>
                <w:sz w:val="20"/>
                <w:szCs w:val="20"/>
              </w:rPr>
            </w:pPr>
            <w:r w:rsidRPr="00F521CB">
              <w:rPr>
                <w:color w:val="000000"/>
                <w:sz w:val="20"/>
                <w:szCs w:val="20"/>
              </w:rPr>
              <w:t>BoC 15 Jul; any Fed commentary calibrating the new hike bias.</w:t>
            </w:r>
          </w:p>
          <w:p w14:paraId="632935CF" w14:textId="77777777" w:rsidR="003C74DB" w:rsidRDefault="003C74DB" w:rsidP="00502C47">
            <w:pPr>
              <w:spacing w:after="80"/>
              <w:jc w:val="both"/>
            </w:pPr>
          </w:p>
        </w:tc>
      </w:tr>
    </w:tbl>
    <w:p w14:paraId="547938EB" w14:textId="77777777" w:rsidR="000717CC" w:rsidRDefault="000717CC">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280B12" w14:paraId="2C2349BF" w14:textId="77777777" w:rsidTr="00925849">
        <w:trPr>
          <w:trHeight w:val="771"/>
        </w:trPr>
        <w:tc>
          <w:tcPr>
            <w:tcW w:w="11038" w:type="dxa"/>
            <w:gridSpan w:val="2"/>
            <w:shd w:val="clear" w:color="auto" w:fill="7B2952"/>
          </w:tcPr>
          <w:p w14:paraId="49896F0E" w14:textId="77777777" w:rsidR="00280B12" w:rsidRDefault="00280B12" w:rsidP="00E72E8A">
            <w:pPr>
              <w:jc w:val="center"/>
              <w:rPr>
                <w:b/>
                <w:color w:val="FFFFFF" w:themeColor="background1"/>
                <w:sz w:val="32"/>
              </w:rPr>
            </w:pPr>
            <w:r w:rsidRPr="00280B12">
              <w:rPr>
                <w:b/>
                <w:color w:val="FFFFFF" w:themeColor="background1"/>
                <w:sz w:val="32"/>
              </w:rPr>
              <w:t xml:space="preserve">Theme </w:t>
            </w:r>
            <w:r w:rsidR="003C74DB">
              <w:rPr>
                <w:b/>
                <w:color w:val="FFFFFF" w:themeColor="background1"/>
                <w:sz w:val="32"/>
              </w:rPr>
              <w:t>2</w:t>
            </w:r>
            <w:r w:rsidRPr="00280B12">
              <w:rPr>
                <w:b/>
                <w:color w:val="FFFFFF" w:themeColor="background1"/>
                <w:sz w:val="32"/>
              </w:rPr>
              <w:t xml:space="preserve"> </w:t>
            </w:r>
            <w:r w:rsidR="007A5D4E">
              <w:rPr>
                <w:b/>
                <w:color w:val="FFFFFF" w:themeColor="background1"/>
                <w:sz w:val="32"/>
              </w:rPr>
              <w:t xml:space="preserve">- </w:t>
            </w:r>
            <w:r w:rsidR="00B1267E">
              <w:rPr>
                <w:b/>
                <w:color w:val="FFFFFF" w:themeColor="background1"/>
                <w:sz w:val="32"/>
              </w:rPr>
              <w:t>Currency Debasement</w:t>
            </w:r>
          </w:p>
          <w:p w14:paraId="38764434" w14:textId="77777777" w:rsidR="003C74DB" w:rsidRPr="003C74DB" w:rsidRDefault="003C74DB" w:rsidP="00E72E8A">
            <w:pPr>
              <w:jc w:val="center"/>
              <w:rPr>
                <w:color w:val="FFFFFF" w:themeColor="background1"/>
                <w:szCs w:val="22"/>
              </w:rPr>
            </w:pPr>
            <w:r w:rsidRPr="003C74DB">
              <w:rPr>
                <w:b/>
                <w:color w:val="FFFFFF" w:themeColor="background1"/>
                <w:szCs w:val="22"/>
              </w:rPr>
              <w:t>(As of 2026_06_18)</w:t>
            </w:r>
          </w:p>
        </w:tc>
      </w:tr>
      <w:tr w:rsidR="00E72E8A" w14:paraId="22B266B4" w14:textId="77777777" w:rsidTr="00F521CB">
        <w:trPr>
          <w:trHeight w:val="771"/>
        </w:trPr>
        <w:tc>
          <w:tcPr>
            <w:tcW w:w="11038" w:type="dxa"/>
            <w:gridSpan w:val="2"/>
          </w:tcPr>
          <w:p w14:paraId="60D0E978" w14:textId="77777777" w:rsidR="00E72E8A" w:rsidRDefault="00E72E8A" w:rsidP="00E72E8A">
            <w:pPr>
              <w:spacing w:after="40"/>
            </w:pPr>
            <w:r>
              <w:rPr>
                <w:b/>
                <w:color w:val="7B2952"/>
              </w:rPr>
              <w:t>Status:</w:t>
            </w:r>
          </w:p>
          <w:p w14:paraId="49998C91" w14:textId="77777777" w:rsidR="00E72E8A" w:rsidRPr="00F521CB" w:rsidRDefault="00E72E8A" w:rsidP="00E72E8A">
            <w:pPr>
              <w:spacing w:after="120"/>
              <w:jc w:val="both"/>
              <w:rPr>
                <w:sz w:val="20"/>
                <w:szCs w:val="20"/>
              </w:rPr>
            </w:pPr>
            <w:r w:rsidRPr="00F521CB">
              <w:rPr>
                <w:color w:val="000000"/>
                <w:sz w:val="20"/>
                <w:szCs w:val="20"/>
              </w:rPr>
              <w:t>Intact ▸ no change. A second consecutive null week: no Tier 1 evidence moved the gradual-diversification thesis, and the one scheduled catalyst lands after cutoff.</w:t>
            </w:r>
          </w:p>
        </w:tc>
      </w:tr>
      <w:tr w:rsidR="00CD3760" w14:paraId="718D4FEC" w14:textId="77777777" w:rsidTr="00925849">
        <w:trPr>
          <w:trHeight w:val="2753"/>
        </w:trPr>
        <w:tc>
          <w:tcPr>
            <w:tcW w:w="5519" w:type="dxa"/>
          </w:tcPr>
          <w:p w14:paraId="311ABA91" w14:textId="77777777" w:rsidR="00B1267E" w:rsidRDefault="00B1267E" w:rsidP="00B1267E">
            <w:pPr>
              <w:spacing w:before="120" w:after="40"/>
              <w:jc w:val="center"/>
            </w:pPr>
            <w:r>
              <w:rPr>
                <w:b/>
                <w:color w:val="7B2952"/>
              </w:rPr>
              <w:t>What changed this week</w:t>
            </w:r>
          </w:p>
          <w:p w14:paraId="697428D6" w14:textId="77777777" w:rsidR="00B1267E" w:rsidRPr="00590348" w:rsidRDefault="00B1267E">
            <w:pPr>
              <w:pStyle w:val="ListParagraph"/>
              <w:numPr>
                <w:ilvl w:val="1"/>
                <w:numId w:val="3"/>
              </w:numPr>
              <w:spacing w:after="80"/>
              <w:jc w:val="both"/>
              <w:rPr>
                <w:sz w:val="20"/>
                <w:szCs w:val="20"/>
              </w:rPr>
            </w:pPr>
            <w:r w:rsidRPr="00590348">
              <w:rPr>
                <w:color w:val="000000"/>
                <w:sz w:val="20"/>
                <w:szCs w:val="20"/>
              </w:rPr>
              <w:t>No material developments this week; thesis intact.</w:t>
            </w:r>
          </w:p>
          <w:p w14:paraId="284F839E" w14:textId="77777777" w:rsidR="00B1267E" w:rsidRPr="00590348" w:rsidRDefault="00B1267E">
            <w:pPr>
              <w:pStyle w:val="ListParagraph"/>
              <w:numPr>
                <w:ilvl w:val="1"/>
                <w:numId w:val="3"/>
              </w:numPr>
              <w:spacing w:after="80"/>
              <w:jc w:val="both"/>
              <w:rPr>
                <w:sz w:val="20"/>
                <w:szCs w:val="20"/>
              </w:rPr>
            </w:pPr>
            <w:r w:rsidRPr="00590348">
              <w:rPr>
                <w:color w:val="000000"/>
                <w:sz w:val="20"/>
                <w:szCs w:val="20"/>
              </w:rPr>
              <w:t>(Scout and challenge queries on COFER reserve shares, central-bank gold, Treasury auctions, BRICS settlement and CIPS returned no in-window Tier 1/2 developments; Q1-2026 COFER is not yet released. The April TIC release — the key dated test — published 18 Jun at 4:00 p.m. ET, after this report's cutoff; China/Japan holdings vs the $652.3B / $1.1T baselines are next week's first read.)</w:t>
            </w:r>
          </w:p>
          <w:p w14:paraId="0D791121" w14:textId="77777777" w:rsidR="00CD3760" w:rsidRDefault="00CD3760" w:rsidP="00E72E8A">
            <w:pPr>
              <w:spacing w:after="80"/>
              <w:jc w:val="both"/>
            </w:pPr>
          </w:p>
        </w:tc>
        <w:tc>
          <w:tcPr>
            <w:tcW w:w="5519" w:type="dxa"/>
          </w:tcPr>
          <w:p w14:paraId="7892D276" w14:textId="77777777" w:rsidR="00CD3760" w:rsidRDefault="00CD3760" w:rsidP="00B1267E">
            <w:pPr>
              <w:pStyle w:val="ListParagraph"/>
              <w:spacing w:after="80"/>
              <w:ind w:left="360"/>
              <w:jc w:val="both"/>
            </w:pPr>
          </w:p>
          <w:p w14:paraId="33A0F0E7" w14:textId="77777777" w:rsidR="00B1267E" w:rsidRDefault="00B1267E" w:rsidP="00B1267E">
            <w:pPr>
              <w:pStyle w:val="ListParagraph"/>
              <w:spacing w:after="80"/>
              <w:ind w:left="360"/>
              <w:jc w:val="both"/>
            </w:pPr>
          </w:p>
          <w:p w14:paraId="4046A74F" w14:textId="77777777" w:rsidR="00B1267E" w:rsidRDefault="00B1267E" w:rsidP="00B1267E">
            <w:pPr>
              <w:spacing w:after="80"/>
              <w:jc w:val="both"/>
            </w:pPr>
            <w:r>
              <w:t>Insert currency_1</w:t>
            </w:r>
            <w:r w:rsidR="00992947">
              <w:t>.png</w:t>
            </w:r>
          </w:p>
        </w:tc>
      </w:tr>
      <w:tr w:rsidR="00CD3760" w14:paraId="7EB0D58C" w14:textId="77777777" w:rsidTr="00925849">
        <w:trPr>
          <w:trHeight w:val="2836"/>
        </w:trPr>
        <w:tc>
          <w:tcPr>
            <w:tcW w:w="5519" w:type="dxa"/>
          </w:tcPr>
          <w:p w14:paraId="554002D9" w14:textId="77777777" w:rsidR="00CD3760" w:rsidRDefault="00CD3760" w:rsidP="00E72E8A">
            <w:pPr>
              <w:spacing w:after="80"/>
              <w:jc w:val="both"/>
            </w:pPr>
          </w:p>
          <w:p w14:paraId="13BA3140" w14:textId="77777777" w:rsidR="00992947" w:rsidRDefault="00992947" w:rsidP="00E72E8A">
            <w:pPr>
              <w:spacing w:after="80"/>
              <w:jc w:val="both"/>
            </w:pPr>
          </w:p>
          <w:p w14:paraId="690025BC" w14:textId="77777777" w:rsidR="00992947" w:rsidRDefault="00992947" w:rsidP="00E72E8A">
            <w:pPr>
              <w:spacing w:after="80"/>
              <w:jc w:val="both"/>
            </w:pPr>
            <w:r>
              <w:t>Insert currency_2.png</w:t>
            </w:r>
          </w:p>
        </w:tc>
        <w:tc>
          <w:tcPr>
            <w:tcW w:w="5519" w:type="dxa"/>
          </w:tcPr>
          <w:p w14:paraId="45B4940F" w14:textId="77777777" w:rsidR="00CD3760" w:rsidRDefault="00CD3760" w:rsidP="00E72E8A">
            <w:pPr>
              <w:spacing w:after="80"/>
              <w:jc w:val="both"/>
            </w:pPr>
          </w:p>
          <w:p w14:paraId="3BA0D978" w14:textId="77777777" w:rsidR="00992947" w:rsidRDefault="00992947" w:rsidP="00E72E8A">
            <w:pPr>
              <w:spacing w:after="80"/>
              <w:jc w:val="both"/>
            </w:pPr>
          </w:p>
          <w:p w14:paraId="24C39827" w14:textId="77777777" w:rsidR="00992947" w:rsidRDefault="00992947" w:rsidP="00E72E8A">
            <w:pPr>
              <w:spacing w:after="80"/>
              <w:jc w:val="both"/>
            </w:pPr>
            <w:r>
              <w:t>Insert currency_3.png</w:t>
            </w:r>
          </w:p>
        </w:tc>
      </w:tr>
      <w:tr w:rsidR="003863A7" w14:paraId="0AEAE67D" w14:textId="77777777" w:rsidTr="00925849">
        <w:trPr>
          <w:trHeight w:val="2753"/>
        </w:trPr>
        <w:tc>
          <w:tcPr>
            <w:tcW w:w="11038" w:type="dxa"/>
            <w:gridSpan w:val="2"/>
          </w:tcPr>
          <w:p w14:paraId="60FD63B4" w14:textId="77777777" w:rsidR="00483440" w:rsidRPr="00483440" w:rsidRDefault="00483440" w:rsidP="00483440">
            <w:pPr>
              <w:jc w:val="center"/>
              <w:rPr>
                <w:b/>
                <w:bCs/>
                <w:color w:val="7B2952"/>
              </w:rPr>
            </w:pPr>
            <w:r w:rsidRPr="00483440">
              <w:rPr>
                <w:b/>
                <w:bCs/>
                <w:color w:val="7B2952"/>
              </w:rPr>
              <w:lastRenderedPageBreak/>
              <w:t>Material Data U</w:t>
            </w:r>
            <w:r w:rsidRPr="002E3AD5">
              <w:rPr>
                <w:b/>
                <w:bCs/>
                <w:color w:val="7B2952"/>
              </w:rPr>
              <w:t>p</w:t>
            </w:r>
            <w:r w:rsidRPr="00483440">
              <w:rPr>
                <w:b/>
                <w:bCs/>
                <w:color w:val="7B2952"/>
              </w:rPr>
              <w:t>date:</w:t>
            </w:r>
          </w:p>
          <w:p w14:paraId="73E6D65D" w14:textId="77777777" w:rsidR="000717CC" w:rsidRDefault="00F62204">
            <w:pPr>
              <w:spacing w:before="40" w:after="80"/>
              <w:jc w:val="both"/>
            </w:pPr>
            <w:r>
              <w:rPr>
                <w:color w:val="000000"/>
                <w:sz w:val="20"/>
                <w:szCs w:val="20"/>
              </w:rPr>
              <w:t>No like-for-like update in window; anchors carry — USD allocated-reserve share 56.77% (Q4-25); China Treasuries $652.3B; Japan $1.1T.</w:t>
            </w:r>
          </w:p>
          <w:p w14:paraId="79BAB627" w14:textId="77777777" w:rsidR="003863A7" w:rsidRDefault="003863A7" w:rsidP="00E72E8A">
            <w:pPr>
              <w:spacing w:after="80"/>
              <w:jc w:val="both"/>
            </w:pPr>
          </w:p>
        </w:tc>
      </w:tr>
      <w:tr w:rsidR="006945C6" w14:paraId="401EA7D8" w14:textId="77777777" w:rsidTr="00925849">
        <w:trPr>
          <w:trHeight w:val="2753"/>
        </w:trPr>
        <w:tc>
          <w:tcPr>
            <w:tcW w:w="5519" w:type="dxa"/>
          </w:tcPr>
          <w:p w14:paraId="709907AC" w14:textId="77777777" w:rsidR="00925849" w:rsidRDefault="00925849" w:rsidP="00925849">
            <w:pPr>
              <w:spacing w:before="40" w:after="40"/>
            </w:pPr>
            <w:r>
              <w:rPr>
                <w:b/>
                <w:color w:val="7B2952"/>
              </w:rPr>
              <w:t>Implication for the theme</w:t>
            </w:r>
          </w:p>
          <w:p w14:paraId="39C84F84" w14:textId="77777777" w:rsidR="00925849" w:rsidRPr="00F521CB" w:rsidRDefault="00925849" w:rsidP="00925849">
            <w:pPr>
              <w:spacing w:after="120"/>
              <w:jc w:val="both"/>
              <w:rPr>
                <w:sz w:val="20"/>
                <w:szCs w:val="20"/>
              </w:rPr>
            </w:pPr>
            <w:r w:rsidRPr="00F521CB">
              <w:rPr>
                <w:color w:val="000000"/>
                <w:sz w:val="20"/>
                <w:szCs w:val="20"/>
              </w:rPr>
              <w:t>The diversification thesis remains untested and intact; notably, no liquidation signal emerged even as the dollar's haven role was in play through the conflict's most acute phase and its resolution. April TIC (released 18 Jun) and the next COFER print are the next falsifiable tests.</w:t>
            </w:r>
          </w:p>
          <w:p w14:paraId="549F425C" w14:textId="77777777" w:rsidR="006945C6" w:rsidRDefault="006945C6" w:rsidP="00E72E8A">
            <w:pPr>
              <w:spacing w:after="80"/>
              <w:jc w:val="both"/>
            </w:pPr>
          </w:p>
        </w:tc>
        <w:tc>
          <w:tcPr>
            <w:tcW w:w="5519" w:type="dxa"/>
          </w:tcPr>
          <w:p w14:paraId="7CC1A13B" w14:textId="77777777" w:rsidR="00925849" w:rsidRDefault="00925849" w:rsidP="00925849">
            <w:pPr>
              <w:spacing w:before="120" w:after="40"/>
            </w:pPr>
            <w:r>
              <w:rPr>
                <w:b/>
                <w:color w:val="7B2952"/>
              </w:rPr>
              <w:t>Watch next week</w:t>
            </w:r>
          </w:p>
          <w:p w14:paraId="2B533E29" w14:textId="77777777" w:rsidR="00925849" w:rsidRPr="00F521CB" w:rsidRDefault="00925849">
            <w:pPr>
              <w:pStyle w:val="ListParagraph"/>
              <w:numPr>
                <w:ilvl w:val="0"/>
                <w:numId w:val="5"/>
              </w:numPr>
              <w:spacing w:after="80"/>
              <w:jc w:val="both"/>
              <w:rPr>
                <w:sz w:val="20"/>
                <w:szCs w:val="20"/>
              </w:rPr>
            </w:pPr>
            <w:r w:rsidRPr="00F521CB">
              <w:rPr>
                <w:color w:val="000000"/>
                <w:sz w:val="20"/>
                <w:szCs w:val="20"/>
              </w:rPr>
              <w:t>April TIC data (released 18 Jun) — China/Japan holdings vs $652.3B / $1.1T.</w:t>
            </w:r>
          </w:p>
          <w:p w14:paraId="338469C3" w14:textId="77777777" w:rsidR="00925849" w:rsidRPr="00F521CB" w:rsidRDefault="00925849">
            <w:pPr>
              <w:pStyle w:val="ListParagraph"/>
              <w:numPr>
                <w:ilvl w:val="0"/>
                <w:numId w:val="5"/>
              </w:numPr>
              <w:spacing w:after="80"/>
              <w:jc w:val="both"/>
              <w:rPr>
                <w:sz w:val="20"/>
                <w:szCs w:val="20"/>
              </w:rPr>
            </w:pPr>
            <w:r w:rsidRPr="00F521CB">
              <w:rPr>
                <w:color w:val="000000"/>
                <w:sz w:val="20"/>
                <w:szCs w:val="20"/>
              </w:rPr>
              <w:t>WGC central-bank gold; 10y/30y auction tails.</w:t>
            </w:r>
          </w:p>
          <w:p w14:paraId="79DA2086" w14:textId="77777777" w:rsidR="006945C6" w:rsidRDefault="006945C6" w:rsidP="00E72E8A">
            <w:pPr>
              <w:spacing w:after="80"/>
              <w:jc w:val="both"/>
            </w:pPr>
          </w:p>
        </w:tc>
      </w:tr>
    </w:tbl>
    <w:p w14:paraId="7319EA59" w14:textId="77777777" w:rsidR="000717CC" w:rsidRDefault="000717CC">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006A38" w14:paraId="1366D735" w14:textId="77777777" w:rsidTr="00502C47">
        <w:trPr>
          <w:trHeight w:val="771"/>
        </w:trPr>
        <w:tc>
          <w:tcPr>
            <w:tcW w:w="11038" w:type="dxa"/>
            <w:gridSpan w:val="2"/>
            <w:shd w:val="clear" w:color="auto" w:fill="7B2952"/>
          </w:tcPr>
          <w:p w14:paraId="44405337" w14:textId="77777777" w:rsidR="00006A38" w:rsidRDefault="00006A38" w:rsidP="00502C47">
            <w:pPr>
              <w:jc w:val="center"/>
              <w:rPr>
                <w:b/>
                <w:color w:val="FFFFFF" w:themeColor="background1"/>
                <w:sz w:val="32"/>
              </w:rPr>
            </w:pPr>
            <w:r w:rsidRPr="00280B12">
              <w:rPr>
                <w:b/>
                <w:color w:val="FFFFFF" w:themeColor="background1"/>
                <w:sz w:val="32"/>
              </w:rPr>
              <w:t xml:space="preserve">Theme </w:t>
            </w:r>
            <w:r w:rsidR="007A5D4E">
              <w:rPr>
                <w:b/>
                <w:color w:val="FFFFFF" w:themeColor="background1"/>
                <w:sz w:val="32"/>
              </w:rPr>
              <w:t>3 - Energy and the Clean transition</w:t>
            </w:r>
            <w:r w:rsidRPr="00280B12">
              <w:rPr>
                <w:b/>
                <w:color w:val="FFFFFF" w:themeColor="background1"/>
                <w:sz w:val="32"/>
              </w:rPr>
              <w:t xml:space="preserve"> </w:t>
            </w:r>
          </w:p>
          <w:p w14:paraId="72C53A9F" w14:textId="77777777" w:rsidR="00006A38" w:rsidRPr="003C74DB" w:rsidRDefault="00006A38" w:rsidP="00502C47">
            <w:pPr>
              <w:jc w:val="center"/>
              <w:rPr>
                <w:color w:val="FFFFFF" w:themeColor="background1"/>
                <w:szCs w:val="22"/>
              </w:rPr>
            </w:pPr>
            <w:r w:rsidRPr="003C74DB">
              <w:rPr>
                <w:b/>
                <w:color w:val="FFFFFF" w:themeColor="background1"/>
                <w:szCs w:val="22"/>
              </w:rPr>
              <w:t>(As of 2026_06_18)</w:t>
            </w:r>
          </w:p>
        </w:tc>
      </w:tr>
      <w:tr w:rsidR="00006A38" w14:paraId="2FB3F97B" w14:textId="77777777" w:rsidTr="00502C47">
        <w:trPr>
          <w:trHeight w:val="771"/>
        </w:trPr>
        <w:tc>
          <w:tcPr>
            <w:tcW w:w="11038" w:type="dxa"/>
            <w:gridSpan w:val="2"/>
          </w:tcPr>
          <w:p w14:paraId="6B5ABFE1" w14:textId="77777777" w:rsidR="00006A38" w:rsidRDefault="00006A38" w:rsidP="00502C47">
            <w:pPr>
              <w:spacing w:after="40"/>
            </w:pPr>
            <w:r>
              <w:rPr>
                <w:b/>
                <w:color w:val="7B2952"/>
              </w:rPr>
              <w:t>Status:</w:t>
            </w:r>
          </w:p>
          <w:p w14:paraId="137FFA5A" w14:textId="77777777" w:rsidR="00006A38" w:rsidRPr="00F521CB" w:rsidRDefault="00006A38" w:rsidP="00502C47">
            <w:pPr>
              <w:spacing w:after="120"/>
              <w:jc w:val="both"/>
              <w:rPr>
                <w:sz w:val="20"/>
                <w:szCs w:val="20"/>
              </w:rPr>
            </w:pPr>
            <w:r w:rsidRPr="00F521CB">
              <w:rPr>
                <w:color w:val="000000"/>
                <w:sz w:val="20"/>
                <w:szCs w:val="20"/>
              </w:rPr>
              <w:t>Intact ▸ no change. Structural 'Age of Electricity' drivers untouched; the in-window signal is regulatory (grid interconnection), supportive of the grid-bottleneck thesis.</w:t>
            </w:r>
          </w:p>
        </w:tc>
      </w:tr>
      <w:tr w:rsidR="00006A38" w14:paraId="5B49218C" w14:textId="77777777" w:rsidTr="00502C47">
        <w:trPr>
          <w:trHeight w:val="2753"/>
        </w:trPr>
        <w:tc>
          <w:tcPr>
            <w:tcW w:w="5519" w:type="dxa"/>
          </w:tcPr>
          <w:p w14:paraId="2676B2A9" w14:textId="77777777" w:rsidR="00006A38" w:rsidRDefault="00006A38" w:rsidP="00502C47">
            <w:pPr>
              <w:spacing w:after="80"/>
              <w:jc w:val="both"/>
            </w:pPr>
          </w:p>
          <w:p w14:paraId="32B0C21B" w14:textId="77777777" w:rsidR="00BD735D" w:rsidRDefault="00BD735D" w:rsidP="00502C47">
            <w:pPr>
              <w:spacing w:after="80"/>
              <w:jc w:val="both"/>
            </w:pPr>
          </w:p>
          <w:p w14:paraId="42134EF0" w14:textId="77777777" w:rsidR="00BD735D" w:rsidRDefault="00BD735D" w:rsidP="00502C47">
            <w:pPr>
              <w:spacing w:after="80"/>
              <w:jc w:val="both"/>
            </w:pPr>
            <w:r>
              <w:t>Insert energy1.png</w:t>
            </w:r>
          </w:p>
        </w:tc>
        <w:tc>
          <w:tcPr>
            <w:tcW w:w="5519" w:type="dxa"/>
            <w:vMerge w:val="restart"/>
          </w:tcPr>
          <w:p w14:paraId="79C831D0" w14:textId="77777777" w:rsidR="00006A38" w:rsidRDefault="00006A38" w:rsidP="00502C47">
            <w:pPr>
              <w:spacing w:before="120" w:after="40"/>
              <w:jc w:val="center"/>
            </w:pPr>
            <w:r>
              <w:rPr>
                <w:b/>
                <w:color w:val="7B2952"/>
              </w:rPr>
              <w:t>What changed this week</w:t>
            </w:r>
          </w:p>
          <w:p w14:paraId="102BF698"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FERC is set to act on interconnection reform for large loads (&gt;20 MW) by end-June, with an 18 June agenda meeting expected to add detail — directly addressing the grid-interconnection bottleneck the AIP identifies as the structural constraint and preferred investment expression. (FERC / press, 18 Jun.)</w:t>
            </w:r>
          </w:p>
          <w:p w14:paraId="019FECA1"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 xml:space="preserve">The US coal/DPA package and LNG Canada Phase 2 site prep were 9 June items and carry; no new in-window IEA </w:t>
            </w:r>
            <w:r w:rsidRPr="00590348">
              <w:rPr>
                <w:color w:val="000000"/>
                <w:sz w:val="20"/>
                <w:szCs w:val="20"/>
              </w:rPr>
              <w:lastRenderedPageBreak/>
              <w:t>Electricity/WEI release, dated PPA, or renewables cancellation (checked-null).</w:t>
            </w:r>
          </w:p>
          <w:p w14:paraId="6F4593EF" w14:textId="77777777" w:rsidR="00006A38" w:rsidRDefault="00006A38" w:rsidP="00502C47">
            <w:pPr>
              <w:spacing w:after="80"/>
              <w:jc w:val="both"/>
            </w:pPr>
          </w:p>
        </w:tc>
      </w:tr>
      <w:tr w:rsidR="00006A38" w14:paraId="1F564703" w14:textId="77777777" w:rsidTr="00502C47">
        <w:trPr>
          <w:trHeight w:val="2836"/>
        </w:trPr>
        <w:tc>
          <w:tcPr>
            <w:tcW w:w="5519" w:type="dxa"/>
          </w:tcPr>
          <w:p w14:paraId="1F98E87B" w14:textId="77777777" w:rsidR="00006A38" w:rsidRDefault="00006A38" w:rsidP="00502C47">
            <w:pPr>
              <w:spacing w:after="80"/>
              <w:jc w:val="both"/>
            </w:pPr>
          </w:p>
          <w:p w14:paraId="481B6A62" w14:textId="77777777" w:rsidR="00BD735D" w:rsidRDefault="00BD735D" w:rsidP="00502C47">
            <w:pPr>
              <w:spacing w:after="80"/>
              <w:jc w:val="both"/>
            </w:pPr>
          </w:p>
          <w:p w14:paraId="5ECD182D" w14:textId="77777777" w:rsidR="00BD735D" w:rsidRDefault="00BD735D" w:rsidP="00502C47">
            <w:pPr>
              <w:spacing w:after="80"/>
              <w:jc w:val="both"/>
            </w:pPr>
            <w:r>
              <w:t>Insert energy2.png</w:t>
            </w:r>
          </w:p>
        </w:tc>
        <w:tc>
          <w:tcPr>
            <w:tcW w:w="5519" w:type="dxa"/>
            <w:vMerge/>
          </w:tcPr>
          <w:p w14:paraId="7D2569BC" w14:textId="77777777" w:rsidR="00006A38" w:rsidRDefault="00006A38" w:rsidP="00502C47">
            <w:pPr>
              <w:spacing w:after="80"/>
              <w:jc w:val="both"/>
            </w:pPr>
          </w:p>
        </w:tc>
      </w:tr>
      <w:tr w:rsidR="00006A38" w14:paraId="43EDE0BE" w14:textId="77777777" w:rsidTr="00502C47">
        <w:trPr>
          <w:trHeight w:val="2753"/>
        </w:trPr>
        <w:tc>
          <w:tcPr>
            <w:tcW w:w="11038" w:type="dxa"/>
            <w:gridSpan w:val="2"/>
          </w:tcPr>
          <w:p w14:paraId="4BEEFF5A" w14:textId="77777777" w:rsidR="00006A38" w:rsidRPr="00483440" w:rsidRDefault="00006A38" w:rsidP="00502C47">
            <w:pPr>
              <w:jc w:val="center"/>
              <w:rPr>
                <w:b/>
                <w:bCs/>
                <w:color w:val="7B2952"/>
              </w:rPr>
            </w:pPr>
            <w:r w:rsidRPr="00483440">
              <w:rPr>
                <w:b/>
                <w:bCs/>
                <w:color w:val="7B2952"/>
              </w:rPr>
              <w:t>Material Data U</w:t>
            </w:r>
            <w:r w:rsidRPr="002E3AD5">
              <w:rPr>
                <w:b/>
                <w:bCs/>
                <w:color w:val="7B2952"/>
              </w:rPr>
              <w:t>p</w:t>
            </w:r>
            <w:r w:rsidRPr="00483440">
              <w:rPr>
                <w:b/>
                <w:bCs/>
                <w:color w:val="7B2952"/>
              </w:rPr>
              <w:t>date:</w:t>
            </w:r>
          </w:p>
          <w:p w14:paraId="2AC7018E" w14:textId="77777777" w:rsidR="000717CC" w:rsidRDefault="00F62204">
            <w:pPr>
              <w:spacing w:before="40" w:after="80"/>
              <w:jc w:val="both"/>
            </w:pPr>
            <w:r>
              <w:rPr>
                <w:color w:val="000000"/>
                <w:sz w:val="20"/>
                <w:szCs w:val="20"/>
              </w:rPr>
              <w:t>No indicator moved on a like-for-like basis in-window.</w:t>
            </w:r>
          </w:p>
          <w:p w14:paraId="2F93609B" w14:textId="77777777" w:rsidR="00006A38" w:rsidRDefault="00006A38" w:rsidP="00502C47">
            <w:pPr>
              <w:spacing w:after="80"/>
              <w:jc w:val="both"/>
            </w:pPr>
          </w:p>
        </w:tc>
      </w:tr>
      <w:tr w:rsidR="00006A38" w14:paraId="41EAE2AF" w14:textId="77777777" w:rsidTr="00502C47">
        <w:trPr>
          <w:trHeight w:val="2753"/>
        </w:trPr>
        <w:tc>
          <w:tcPr>
            <w:tcW w:w="5519" w:type="dxa"/>
          </w:tcPr>
          <w:p w14:paraId="17D3A8FA" w14:textId="77777777" w:rsidR="00006A38" w:rsidRDefault="00006A38" w:rsidP="00502C47">
            <w:pPr>
              <w:spacing w:before="40" w:after="40"/>
            </w:pPr>
            <w:r>
              <w:rPr>
                <w:b/>
                <w:color w:val="7B2952"/>
              </w:rPr>
              <w:t>Implication for the theme</w:t>
            </w:r>
          </w:p>
          <w:p w14:paraId="2E062B08" w14:textId="77777777" w:rsidR="00006A38" w:rsidRPr="00F521CB" w:rsidRDefault="00006A38" w:rsidP="00502C47">
            <w:pPr>
              <w:spacing w:after="120"/>
              <w:jc w:val="both"/>
              <w:rPr>
                <w:sz w:val="20"/>
                <w:szCs w:val="20"/>
              </w:rPr>
            </w:pPr>
            <w:r w:rsidRPr="00F521CB">
              <w:rPr>
                <w:color w:val="000000"/>
                <w:sz w:val="20"/>
                <w:szCs w:val="20"/>
              </w:rPr>
              <w:t>Nothing this week touches data-centre/EV demand or the renewables-share trajectory; the FERC move, if it streamlines large-load interconnection, would strengthen the grid-enabling-investment case the AIP prefers regardless of generation mix. Grid remains the cleanest expression.</w:t>
            </w:r>
          </w:p>
          <w:p w14:paraId="3DAD8BD4" w14:textId="77777777" w:rsidR="00006A38" w:rsidRDefault="00006A38" w:rsidP="00502C47">
            <w:pPr>
              <w:spacing w:after="80"/>
              <w:jc w:val="both"/>
            </w:pPr>
          </w:p>
        </w:tc>
        <w:tc>
          <w:tcPr>
            <w:tcW w:w="5519" w:type="dxa"/>
          </w:tcPr>
          <w:p w14:paraId="45DA0727" w14:textId="77777777" w:rsidR="00006A38" w:rsidRDefault="00006A38" w:rsidP="00502C47">
            <w:pPr>
              <w:spacing w:before="120" w:after="40"/>
            </w:pPr>
            <w:r>
              <w:rPr>
                <w:b/>
                <w:color w:val="7B2952"/>
              </w:rPr>
              <w:t>Watch next week</w:t>
            </w:r>
          </w:p>
          <w:p w14:paraId="5851336A"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FERC interconnection-reform text and the 18 June agenda outcome.</w:t>
            </w:r>
          </w:p>
          <w:p w14:paraId="3E2E57F4"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IEA OMR follow-through on Strait-reopening supply; dated data-centre PPA/nuclear announcements.</w:t>
            </w:r>
          </w:p>
          <w:p w14:paraId="12F0FB71" w14:textId="77777777" w:rsidR="00006A38" w:rsidRDefault="00006A38" w:rsidP="00502C47">
            <w:pPr>
              <w:spacing w:after="80"/>
              <w:jc w:val="both"/>
            </w:pPr>
          </w:p>
        </w:tc>
      </w:tr>
    </w:tbl>
    <w:p w14:paraId="6B073C19" w14:textId="77777777" w:rsidR="000717CC" w:rsidRDefault="000717CC">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006A38" w14:paraId="75975669" w14:textId="77777777" w:rsidTr="00502C47">
        <w:trPr>
          <w:trHeight w:val="771"/>
        </w:trPr>
        <w:tc>
          <w:tcPr>
            <w:tcW w:w="11038" w:type="dxa"/>
            <w:gridSpan w:val="2"/>
            <w:shd w:val="clear" w:color="auto" w:fill="7B2952"/>
          </w:tcPr>
          <w:p w14:paraId="0F9973D6" w14:textId="77777777" w:rsidR="00006A38" w:rsidRDefault="00006A38" w:rsidP="00502C47">
            <w:pPr>
              <w:jc w:val="center"/>
              <w:rPr>
                <w:b/>
                <w:color w:val="FFFFFF" w:themeColor="background1"/>
                <w:sz w:val="32"/>
              </w:rPr>
            </w:pPr>
            <w:r w:rsidRPr="00280B12">
              <w:rPr>
                <w:b/>
                <w:color w:val="FFFFFF" w:themeColor="background1"/>
                <w:sz w:val="32"/>
              </w:rPr>
              <w:t xml:space="preserve">Theme </w:t>
            </w:r>
            <w:r w:rsidR="00DF41EB">
              <w:rPr>
                <w:b/>
                <w:color w:val="FFFFFF" w:themeColor="background1"/>
                <w:sz w:val="32"/>
              </w:rPr>
              <w:t>4</w:t>
            </w:r>
            <w:r w:rsidRPr="00280B12">
              <w:rPr>
                <w:b/>
                <w:color w:val="FFFFFF" w:themeColor="background1"/>
                <w:sz w:val="32"/>
              </w:rPr>
              <w:t xml:space="preserve"> </w:t>
            </w:r>
            <w:r w:rsidR="00DF41EB">
              <w:rPr>
                <w:b/>
                <w:color w:val="FFFFFF" w:themeColor="background1"/>
                <w:sz w:val="32"/>
              </w:rPr>
              <w:t xml:space="preserve">– Artificial </w:t>
            </w:r>
            <w:r w:rsidR="00104C28">
              <w:rPr>
                <w:b/>
                <w:color w:val="FFFFFF" w:themeColor="background1"/>
                <w:sz w:val="32"/>
              </w:rPr>
              <w:t>Intelligence</w:t>
            </w:r>
            <w:r w:rsidRPr="00280B12">
              <w:rPr>
                <w:b/>
                <w:color w:val="FFFFFF" w:themeColor="background1"/>
                <w:sz w:val="32"/>
              </w:rPr>
              <w:t xml:space="preserve"> </w:t>
            </w:r>
          </w:p>
          <w:p w14:paraId="0CFD89AC" w14:textId="77777777" w:rsidR="00006A38" w:rsidRPr="003C74DB" w:rsidRDefault="00006A38" w:rsidP="00502C47">
            <w:pPr>
              <w:jc w:val="center"/>
              <w:rPr>
                <w:color w:val="FFFFFF" w:themeColor="background1"/>
                <w:szCs w:val="22"/>
              </w:rPr>
            </w:pPr>
            <w:r w:rsidRPr="003C74DB">
              <w:rPr>
                <w:b/>
                <w:color w:val="FFFFFF" w:themeColor="background1"/>
                <w:szCs w:val="22"/>
              </w:rPr>
              <w:t>(As of 2026_06_18)</w:t>
            </w:r>
          </w:p>
        </w:tc>
      </w:tr>
      <w:tr w:rsidR="00006A38" w14:paraId="406495BE" w14:textId="77777777" w:rsidTr="00502C47">
        <w:trPr>
          <w:trHeight w:val="771"/>
        </w:trPr>
        <w:tc>
          <w:tcPr>
            <w:tcW w:w="11038" w:type="dxa"/>
            <w:gridSpan w:val="2"/>
          </w:tcPr>
          <w:p w14:paraId="49DAEC8F" w14:textId="77777777" w:rsidR="00006A38" w:rsidRDefault="00006A38" w:rsidP="00502C47">
            <w:pPr>
              <w:spacing w:after="40"/>
            </w:pPr>
            <w:r>
              <w:rPr>
                <w:b/>
                <w:color w:val="7B2952"/>
              </w:rPr>
              <w:t>Status:</w:t>
            </w:r>
          </w:p>
          <w:p w14:paraId="6EB211DF" w14:textId="77777777" w:rsidR="00006A38" w:rsidRPr="00F521CB" w:rsidRDefault="00006A38" w:rsidP="00502C47">
            <w:pPr>
              <w:spacing w:after="120"/>
              <w:jc w:val="both"/>
              <w:rPr>
                <w:sz w:val="20"/>
                <w:szCs w:val="20"/>
              </w:rPr>
            </w:pPr>
            <w:r w:rsidRPr="00F521CB">
              <w:rPr>
                <w:color w:val="000000"/>
                <w:sz w:val="20"/>
                <w:szCs w:val="20"/>
              </w:rPr>
              <w:t>Intact ▸ no change. The strongest in-window evidence in the framework again sits here — priced, oversubscribed demand for AI-infrastructure capital — but it is a single high-materiality finding, short of a status notch.</w:t>
            </w:r>
          </w:p>
        </w:tc>
      </w:tr>
      <w:tr w:rsidR="00006A38" w14:paraId="3DE247B0" w14:textId="77777777" w:rsidTr="00502C47">
        <w:trPr>
          <w:trHeight w:val="2753"/>
        </w:trPr>
        <w:tc>
          <w:tcPr>
            <w:tcW w:w="5519" w:type="dxa"/>
          </w:tcPr>
          <w:p w14:paraId="6DD16BEB" w14:textId="77777777" w:rsidR="00006A38" w:rsidRDefault="00006A38" w:rsidP="00502C47">
            <w:pPr>
              <w:spacing w:after="80"/>
              <w:jc w:val="both"/>
            </w:pPr>
          </w:p>
          <w:p w14:paraId="162604AB" w14:textId="77777777" w:rsidR="00DF41EB" w:rsidRDefault="00DF41EB" w:rsidP="00502C47">
            <w:pPr>
              <w:spacing w:after="80"/>
              <w:jc w:val="both"/>
            </w:pPr>
          </w:p>
          <w:p w14:paraId="4B8DD5FC" w14:textId="77777777" w:rsidR="00DF41EB" w:rsidRDefault="00DF41EB" w:rsidP="00502C47">
            <w:pPr>
              <w:spacing w:after="80"/>
              <w:jc w:val="both"/>
            </w:pPr>
            <w:r>
              <w:t>Insert AI</w:t>
            </w:r>
            <w:r w:rsidR="00F54786">
              <w:t>_vs_snp500</w:t>
            </w:r>
          </w:p>
        </w:tc>
        <w:tc>
          <w:tcPr>
            <w:tcW w:w="5519" w:type="dxa"/>
            <w:vMerge w:val="restart"/>
          </w:tcPr>
          <w:p w14:paraId="1B56F16D" w14:textId="77777777" w:rsidR="00006A38" w:rsidRDefault="00006A38" w:rsidP="00502C47">
            <w:pPr>
              <w:spacing w:before="120" w:after="40"/>
              <w:jc w:val="center"/>
            </w:pPr>
            <w:r>
              <w:rPr>
                <w:b/>
                <w:color w:val="7B2952"/>
              </w:rPr>
              <w:t>What changed this week</w:t>
            </w:r>
          </w:p>
          <w:p w14:paraId="7178A402"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CoreWeave priced €2bn of euro-denominated bonds alongside $1.25bn of dollar bonds (11 Jun); the euro tranche drew more than €7bn of orders — the first euro-denominated junk-bond sale by a US-based AI-infrastructure company. This is the pricing of the European high-yield push the 9 June report flagged as 'investor calls,' extending the speculative-grade perimeter into Europe (drivers: financing mix; physical-stack demand). (CoreWeave IR; Bloomberg, 11 Jun.)</w:t>
            </w:r>
          </w:p>
          <w:p w14:paraId="3C38D085" w14:textId="77777777" w:rsidR="00006A38" w:rsidRPr="00590348" w:rsidRDefault="00006A38">
            <w:pPr>
              <w:pStyle w:val="ListParagraph"/>
              <w:numPr>
                <w:ilvl w:val="1"/>
                <w:numId w:val="3"/>
              </w:numPr>
              <w:spacing w:after="80"/>
              <w:jc w:val="both"/>
              <w:rPr>
                <w:sz w:val="20"/>
                <w:szCs w:val="20"/>
              </w:rPr>
            </w:pPr>
            <w:r w:rsidRPr="00590348">
              <w:rPr>
                <w:color w:val="000000"/>
                <w:sz w:val="20"/>
                <w:szCs w:val="20"/>
              </w:rPr>
              <w:t>Context: AI-infrastructure issuers have raised ~$27bn in high-yield debt in 2026 YTD; a CoreWeave-tied Chicago data centre (Elk Grove) priced a $900m 7.5% note (1–2 Jun, pre-window). NVIDIA's record Q1 FY27 ($75.2bn data-centre revenue) and $80bn buyback are late-May, pre-window (carried as context).</w:t>
            </w:r>
          </w:p>
          <w:p w14:paraId="6AA45874" w14:textId="77777777" w:rsidR="00006A38" w:rsidRDefault="00006A38" w:rsidP="00502C47">
            <w:pPr>
              <w:spacing w:after="80"/>
              <w:jc w:val="both"/>
            </w:pPr>
          </w:p>
        </w:tc>
      </w:tr>
      <w:tr w:rsidR="00006A38" w14:paraId="369B24C5" w14:textId="77777777" w:rsidTr="00502C47">
        <w:trPr>
          <w:trHeight w:val="2836"/>
        </w:trPr>
        <w:tc>
          <w:tcPr>
            <w:tcW w:w="5519" w:type="dxa"/>
          </w:tcPr>
          <w:p w14:paraId="2CE4F3D8" w14:textId="77777777" w:rsidR="00006A38" w:rsidRDefault="00006A38" w:rsidP="00502C47">
            <w:pPr>
              <w:spacing w:after="80"/>
              <w:jc w:val="both"/>
            </w:pPr>
          </w:p>
          <w:p w14:paraId="666B7531" w14:textId="77777777" w:rsidR="00F54786" w:rsidRDefault="00F54786" w:rsidP="00502C47">
            <w:pPr>
              <w:spacing w:after="80"/>
              <w:jc w:val="both"/>
            </w:pPr>
          </w:p>
          <w:p w14:paraId="437BBCD5" w14:textId="77777777" w:rsidR="00F54786" w:rsidRDefault="00104C28" w:rsidP="00502C47">
            <w:pPr>
              <w:spacing w:after="80"/>
              <w:jc w:val="both"/>
            </w:pPr>
            <w:proofErr w:type="spellStart"/>
            <w:r>
              <w:t>AI_forward_pe</w:t>
            </w:r>
            <w:proofErr w:type="spellEnd"/>
          </w:p>
        </w:tc>
        <w:tc>
          <w:tcPr>
            <w:tcW w:w="5519" w:type="dxa"/>
            <w:vMerge/>
          </w:tcPr>
          <w:p w14:paraId="7D07FDA9" w14:textId="77777777" w:rsidR="00006A38" w:rsidRDefault="00006A38" w:rsidP="00502C47">
            <w:pPr>
              <w:spacing w:after="80"/>
              <w:jc w:val="both"/>
            </w:pPr>
          </w:p>
        </w:tc>
      </w:tr>
      <w:tr w:rsidR="00006A38" w14:paraId="2A2D3D62" w14:textId="77777777" w:rsidTr="00502C47">
        <w:trPr>
          <w:trHeight w:val="2753"/>
        </w:trPr>
        <w:tc>
          <w:tcPr>
            <w:tcW w:w="11038" w:type="dxa"/>
            <w:gridSpan w:val="2"/>
          </w:tcPr>
          <w:p w14:paraId="78DE7474" w14:textId="77777777" w:rsidR="00006A38" w:rsidRPr="00483440" w:rsidRDefault="00006A38" w:rsidP="00502C47">
            <w:pPr>
              <w:jc w:val="center"/>
              <w:rPr>
                <w:b/>
                <w:bCs/>
                <w:color w:val="7B2952"/>
              </w:rPr>
            </w:pPr>
            <w:r w:rsidRPr="00483440">
              <w:rPr>
                <w:b/>
                <w:bCs/>
                <w:color w:val="7B2952"/>
              </w:rPr>
              <w:t>Material Data U</w:t>
            </w:r>
            <w:r w:rsidRPr="002E3AD5">
              <w:rPr>
                <w:b/>
                <w:bCs/>
                <w:color w:val="7B2952"/>
              </w:rPr>
              <w:t>p</w:t>
            </w:r>
            <w:r w:rsidRPr="00483440">
              <w:rPr>
                <w:b/>
                <w:bCs/>
                <w:color w:val="7B2952"/>
              </w:rPr>
              <w:t>date:</w:t>
            </w:r>
          </w:p>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1740"/>
              <w:gridCol w:w="1719"/>
              <w:gridCol w:w="1508"/>
              <w:gridCol w:w="4000"/>
              <w:gridCol w:w="2002"/>
            </w:tblGrid>
            <w:tr w:rsidR="00006A38" w14:paraId="477B4F90" w14:textId="77777777" w:rsidTr="00502C47">
              <w:trPr>
                <w:trHeight w:val="292"/>
              </w:trPr>
              <w:tc>
                <w:tcPr>
                  <w:tcW w:w="1740" w:type="dxa"/>
                  <w:shd w:val="clear" w:color="auto" w:fill="7B2952"/>
                </w:tcPr>
                <w:p w14:paraId="09266CA5" w14:textId="77777777" w:rsidR="00006A38" w:rsidRDefault="00006A38" w:rsidP="001E042A">
                  <w:pPr>
                    <w:spacing w:after="0"/>
                  </w:pPr>
                  <w:r>
                    <w:rPr>
                      <w:b/>
                      <w:color w:val="FFFFFF"/>
                      <w:sz w:val="16"/>
                    </w:rPr>
                    <w:t>Indicator</w:t>
                  </w:r>
                </w:p>
              </w:tc>
              <w:tc>
                <w:tcPr>
                  <w:tcW w:w="1719" w:type="dxa"/>
                  <w:shd w:val="clear" w:color="auto" w:fill="7B2952"/>
                </w:tcPr>
                <w:p w14:paraId="2222BC00" w14:textId="77777777" w:rsidR="00006A38" w:rsidRDefault="00006A38" w:rsidP="001E042A">
                  <w:pPr>
                    <w:spacing w:after="0"/>
                  </w:pPr>
                  <w:r>
                    <w:rPr>
                      <w:b/>
                      <w:color w:val="FFFFFF"/>
                      <w:sz w:val="16"/>
                    </w:rPr>
                    <w:t>Prior anchor</w:t>
                  </w:r>
                </w:p>
              </w:tc>
              <w:tc>
                <w:tcPr>
                  <w:tcW w:w="1508" w:type="dxa"/>
                  <w:shd w:val="clear" w:color="auto" w:fill="7B2952"/>
                </w:tcPr>
                <w:p w14:paraId="29931F79" w14:textId="77777777" w:rsidR="00006A38" w:rsidRDefault="00006A38" w:rsidP="001E042A">
                  <w:pPr>
                    <w:spacing w:after="0"/>
                  </w:pPr>
                  <w:r>
                    <w:rPr>
                      <w:b/>
                      <w:color w:val="FFFFFF"/>
                      <w:sz w:val="16"/>
                    </w:rPr>
                    <w:t>New value</w:t>
                  </w:r>
                </w:p>
              </w:tc>
              <w:tc>
                <w:tcPr>
                  <w:tcW w:w="4000" w:type="dxa"/>
                  <w:shd w:val="clear" w:color="auto" w:fill="7B2952"/>
                </w:tcPr>
                <w:p w14:paraId="0C2B25C6" w14:textId="77777777" w:rsidR="00006A38" w:rsidRDefault="00006A38" w:rsidP="001E042A">
                  <w:pPr>
                    <w:spacing w:after="0"/>
                  </w:pPr>
                  <w:r>
                    <w:rPr>
                      <w:b/>
                      <w:color w:val="FFFFFF"/>
                      <w:sz w:val="16"/>
                    </w:rPr>
                    <w:t>Why it matters</w:t>
                  </w:r>
                </w:p>
              </w:tc>
              <w:tc>
                <w:tcPr>
                  <w:tcW w:w="2002" w:type="dxa"/>
                  <w:shd w:val="clear" w:color="auto" w:fill="7B2952"/>
                </w:tcPr>
                <w:p w14:paraId="6E54D4F9" w14:textId="77777777" w:rsidR="00006A38" w:rsidRDefault="00006A38" w:rsidP="001E042A">
                  <w:pPr>
                    <w:spacing w:after="0"/>
                  </w:pPr>
                  <w:r>
                    <w:rPr>
                      <w:b/>
                      <w:color w:val="FFFFFF"/>
                      <w:sz w:val="16"/>
                    </w:rPr>
                    <w:t>Source</w:t>
                  </w:r>
                </w:p>
              </w:tc>
            </w:tr>
            <w:tr w:rsidR="00006A38" w14:paraId="1A57D528" w14:textId="77777777" w:rsidTr="00502C47">
              <w:trPr>
                <w:trHeight w:val="381"/>
              </w:trPr>
              <w:tc>
                <w:tcPr>
                  <w:tcW w:w="1740" w:type="dxa"/>
                </w:tcPr>
                <w:p w14:paraId="60A831EF" w14:textId="77777777" w:rsidR="00006A38" w:rsidRPr="00F521CB" w:rsidRDefault="00006A38" w:rsidP="001E042A">
                  <w:pPr>
                    <w:spacing w:after="0"/>
                  </w:pPr>
                  <w:r w:rsidRPr="00F521CB">
                    <w:rPr>
                      <w:sz w:val="16"/>
                    </w:rPr>
                    <w:t>CoreWeave HY issuance</w:t>
                  </w:r>
                </w:p>
              </w:tc>
              <w:tc>
                <w:tcPr>
                  <w:tcW w:w="1719" w:type="dxa"/>
                </w:tcPr>
                <w:p w14:paraId="2F9089DF" w14:textId="77777777" w:rsidR="00006A38" w:rsidRPr="00F521CB" w:rsidRDefault="00006A38" w:rsidP="001E042A">
                  <w:pPr>
                    <w:spacing w:after="0"/>
                  </w:pPr>
                  <w:r w:rsidRPr="00F521CB">
                    <w:rPr>
                      <w:sz w:val="16"/>
                    </w:rPr>
                    <w:t>'Investor calls' for euro/USD HY (9 Jun report)</w:t>
                  </w:r>
                </w:p>
              </w:tc>
              <w:tc>
                <w:tcPr>
                  <w:tcW w:w="1508" w:type="dxa"/>
                </w:tcPr>
                <w:p w14:paraId="57060701" w14:textId="77777777" w:rsidR="00006A38" w:rsidRPr="00F521CB" w:rsidRDefault="00006A38" w:rsidP="001E042A">
                  <w:pPr>
                    <w:spacing w:after="0"/>
                  </w:pPr>
                  <w:r w:rsidRPr="00F521CB">
                    <w:rPr>
                      <w:sz w:val="16"/>
                    </w:rPr>
                    <w:t>Priced €2bn + $1.25bn (11 Jun); euro book &gt;€7bn orders</w:t>
                  </w:r>
                </w:p>
              </w:tc>
              <w:tc>
                <w:tcPr>
                  <w:tcW w:w="4000" w:type="dxa"/>
                </w:tcPr>
                <w:p w14:paraId="1D4786C9" w14:textId="77777777" w:rsidR="00006A38" w:rsidRPr="00F521CB" w:rsidRDefault="00006A38" w:rsidP="001E042A">
                  <w:pPr>
                    <w:spacing w:after="0"/>
                  </w:pPr>
                  <w:r w:rsidRPr="00F521CB">
                    <w:rPr>
                      <w:sz w:val="16"/>
                    </w:rPr>
                    <w:t>First euro junk bond by a US AI-infra co; demand &gt; supply</w:t>
                  </w:r>
                </w:p>
              </w:tc>
              <w:tc>
                <w:tcPr>
                  <w:tcW w:w="2002" w:type="dxa"/>
                </w:tcPr>
                <w:p w14:paraId="5C0A8331" w14:textId="77777777" w:rsidR="00006A38" w:rsidRPr="00F521CB" w:rsidRDefault="00006A38" w:rsidP="001E042A">
                  <w:pPr>
                    <w:spacing w:after="0"/>
                  </w:pPr>
                  <w:r w:rsidRPr="00F521CB">
                    <w:rPr>
                      <w:sz w:val="16"/>
                    </w:rPr>
                    <w:t>CoreWeave IR / Bloomberg, 11 Jun</w:t>
                  </w:r>
                </w:p>
              </w:tc>
            </w:tr>
          </w:tbl>
          <w:p w14:paraId="369917A7" w14:textId="77777777" w:rsidR="00006A38" w:rsidRDefault="00006A38" w:rsidP="00502C47">
            <w:pPr>
              <w:spacing w:after="80"/>
              <w:jc w:val="both"/>
            </w:pPr>
          </w:p>
        </w:tc>
      </w:tr>
      <w:tr w:rsidR="00006A38" w14:paraId="6DF75220" w14:textId="77777777" w:rsidTr="00502C47">
        <w:trPr>
          <w:trHeight w:val="2753"/>
        </w:trPr>
        <w:tc>
          <w:tcPr>
            <w:tcW w:w="5519" w:type="dxa"/>
          </w:tcPr>
          <w:p w14:paraId="249898AB" w14:textId="77777777" w:rsidR="00006A38" w:rsidRDefault="00006A38" w:rsidP="00502C47">
            <w:pPr>
              <w:spacing w:before="40" w:after="40"/>
            </w:pPr>
            <w:r>
              <w:rPr>
                <w:b/>
                <w:color w:val="7B2952"/>
              </w:rPr>
              <w:t>Implication for the theme</w:t>
            </w:r>
          </w:p>
          <w:p w14:paraId="0D259737" w14:textId="77777777" w:rsidR="00006A38" w:rsidRPr="00F521CB" w:rsidRDefault="00006A38" w:rsidP="00502C47">
            <w:pPr>
              <w:spacing w:after="120"/>
              <w:jc w:val="both"/>
              <w:rPr>
                <w:sz w:val="20"/>
                <w:szCs w:val="20"/>
              </w:rPr>
            </w:pPr>
            <w:r w:rsidRPr="00F521CB">
              <w:rPr>
                <w:color w:val="000000"/>
                <w:sz w:val="20"/>
                <w:szCs w:val="20"/>
              </w:rPr>
              <w:t>Demand and financing evidence again strengthened the infrastructure-layer case the AIP favours: an oversubscribed euro debut prices the same compute shortage the thesis describes and broadens the funding base. The risk ledger continues to shift down the quality curve — AI-issuer spreads (now in euro HY) are the right early-warning watchpoint; concentration and valuation risks unchanged.</w:t>
            </w:r>
          </w:p>
          <w:p w14:paraId="7626CA35" w14:textId="77777777" w:rsidR="00006A38" w:rsidRDefault="00006A38" w:rsidP="00502C47">
            <w:pPr>
              <w:spacing w:after="80"/>
              <w:jc w:val="both"/>
            </w:pPr>
          </w:p>
        </w:tc>
        <w:tc>
          <w:tcPr>
            <w:tcW w:w="5519" w:type="dxa"/>
          </w:tcPr>
          <w:p w14:paraId="49283A0E" w14:textId="77777777" w:rsidR="00006A38" w:rsidRDefault="00006A38" w:rsidP="00502C47">
            <w:pPr>
              <w:spacing w:before="120" w:after="40"/>
            </w:pPr>
            <w:r>
              <w:rPr>
                <w:b/>
                <w:color w:val="7B2952"/>
              </w:rPr>
              <w:t>Watch next week</w:t>
            </w:r>
          </w:p>
          <w:p w14:paraId="27480D05"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Secondary performance of CoreWeave's euro/dollar bonds vs existing AI HY (falsifiable stress signal).</w:t>
            </w:r>
          </w:p>
          <w:p w14:paraId="12283BCE" w14:textId="77777777" w:rsidR="00006A38" w:rsidRPr="00F521CB" w:rsidRDefault="00006A38">
            <w:pPr>
              <w:pStyle w:val="ListParagraph"/>
              <w:numPr>
                <w:ilvl w:val="0"/>
                <w:numId w:val="5"/>
              </w:numPr>
              <w:spacing w:after="80"/>
              <w:jc w:val="both"/>
              <w:rPr>
                <w:sz w:val="20"/>
                <w:szCs w:val="20"/>
              </w:rPr>
            </w:pPr>
            <w:r w:rsidRPr="00F521CB">
              <w:rPr>
                <w:color w:val="000000"/>
                <w:sz w:val="20"/>
                <w:szCs w:val="20"/>
              </w:rPr>
              <w:t>Hyperscaler capex-guidance updates; new AI equity/debt raises and subscription levels.</w:t>
            </w:r>
          </w:p>
          <w:p w14:paraId="2C8B1026" w14:textId="77777777" w:rsidR="00006A38" w:rsidRDefault="00006A38" w:rsidP="00502C47">
            <w:pPr>
              <w:spacing w:after="80"/>
              <w:jc w:val="both"/>
            </w:pPr>
          </w:p>
        </w:tc>
      </w:tr>
    </w:tbl>
    <w:p w14:paraId="44168B0A" w14:textId="77777777" w:rsidR="000717CC" w:rsidRDefault="000717CC">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104C28" w14:paraId="50C1156F" w14:textId="77777777" w:rsidTr="00502C47">
        <w:trPr>
          <w:trHeight w:val="771"/>
        </w:trPr>
        <w:tc>
          <w:tcPr>
            <w:tcW w:w="11038" w:type="dxa"/>
            <w:gridSpan w:val="2"/>
            <w:shd w:val="clear" w:color="auto" w:fill="7B2952"/>
          </w:tcPr>
          <w:p w14:paraId="2FE0CA63" w14:textId="77777777" w:rsidR="00104C28" w:rsidRDefault="00104C28" w:rsidP="00502C47">
            <w:pPr>
              <w:jc w:val="center"/>
              <w:rPr>
                <w:b/>
                <w:color w:val="FFFFFF" w:themeColor="background1"/>
                <w:sz w:val="32"/>
              </w:rPr>
            </w:pPr>
            <w:r w:rsidRPr="00280B12">
              <w:rPr>
                <w:b/>
                <w:color w:val="FFFFFF" w:themeColor="background1"/>
                <w:sz w:val="32"/>
              </w:rPr>
              <w:t xml:space="preserve">Theme </w:t>
            </w:r>
            <w:r>
              <w:rPr>
                <w:b/>
                <w:color w:val="FFFFFF" w:themeColor="background1"/>
                <w:sz w:val="32"/>
              </w:rPr>
              <w:t>5</w:t>
            </w:r>
            <w:r w:rsidRPr="00280B12">
              <w:rPr>
                <w:b/>
                <w:color w:val="FFFFFF" w:themeColor="background1"/>
                <w:sz w:val="32"/>
              </w:rPr>
              <w:t xml:space="preserve"> </w:t>
            </w:r>
            <w:r>
              <w:rPr>
                <w:b/>
                <w:color w:val="FFFFFF" w:themeColor="background1"/>
                <w:sz w:val="32"/>
              </w:rPr>
              <w:t>– Geopolitics and Trade</w:t>
            </w:r>
            <w:r w:rsidRPr="00280B12">
              <w:rPr>
                <w:b/>
                <w:color w:val="FFFFFF" w:themeColor="background1"/>
                <w:sz w:val="32"/>
              </w:rPr>
              <w:t xml:space="preserve"> </w:t>
            </w:r>
          </w:p>
          <w:p w14:paraId="5DC103F1" w14:textId="77777777" w:rsidR="00104C28" w:rsidRPr="003C74DB" w:rsidRDefault="00104C28" w:rsidP="00502C47">
            <w:pPr>
              <w:jc w:val="center"/>
              <w:rPr>
                <w:color w:val="FFFFFF" w:themeColor="background1"/>
                <w:szCs w:val="22"/>
              </w:rPr>
            </w:pPr>
            <w:r w:rsidRPr="003C74DB">
              <w:rPr>
                <w:b/>
                <w:color w:val="FFFFFF" w:themeColor="background1"/>
                <w:szCs w:val="22"/>
              </w:rPr>
              <w:t>(As of 2026_06_18)</w:t>
            </w:r>
          </w:p>
        </w:tc>
      </w:tr>
      <w:tr w:rsidR="00104C28" w14:paraId="7FA2169C" w14:textId="77777777" w:rsidTr="00502C47">
        <w:trPr>
          <w:trHeight w:val="771"/>
        </w:trPr>
        <w:tc>
          <w:tcPr>
            <w:tcW w:w="11038" w:type="dxa"/>
            <w:gridSpan w:val="2"/>
          </w:tcPr>
          <w:p w14:paraId="1A6017D9" w14:textId="77777777" w:rsidR="00104C28" w:rsidRDefault="00104C28" w:rsidP="00502C47">
            <w:pPr>
              <w:spacing w:after="40"/>
            </w:pPr>
            <w:r>
              <w:rPr>
                <w:b/>
                <w:color w:val="7B2952"/>
              </w:rPr>
              <w:lastRenderedPageBreak/>
              <w:t>Status:</w:t>
            </w:r>
          </w:p>
          <w:p w14:paraId="737F8F1C" w14:textId="77777777" w:rsidR="00104C28" w:rsidRPr="00F521CB" w:rsidRDefault="00104C28" w:rsidP="00502C47">
            <w:pPr>
              <w:spacing w:after="120"/>
              <w:jc w:val="both"/>
              <w:rPr>
                <w:sz w:val="20"/>
                <w:szCs w:val="20"/>
              </w:rPr>
            </w:pPr>
            <w:r w:rsidRPr="00F521CB">
              <w:rPr>
                <w:color w:val="000000"/>
                <w:sz w:val="20"/>
                <w:szCs w:val="20"/>
              </w:rPr>
              <w:t>Intact ▸ no change (thesis confirmed). The central, named pressure point — conflict-resolution timing — resolved in the thesis's favour this week; the oil-story base case is being validated rather than exceeded, and the trade leg is unchanged-to-slightly-harder, so status holds.</w:t>
            </w:r>
          </w:p>
        </w:tc>
      </w:tr>
      <w:tr w:rsidR="00104C28" w14:paraId="30BBBD17" w14:textId="77777777" w:rsidTr="00502C47">
        <w:trPr>
          <w:trHeight w:val="2753"/>
        </w:trPr>
        <w:tc>
          <w:tcPr>
            <w:tcW w:w="5519" w:type="dxa"/>
          </w:tcPr>
          <w:p w14:paraId="084A5F07" w14:textId="77777777" w:rsidR="00104C28" w:rsidRDefault="00104C28" w:rsidP="00502C47">
            <w:pPr>
              <w:spacing w:after="80"/>
              <w:jc w:val="both"/>
            </w:pPr>
          </w:p>
          <w:p w14:paraId="282C48DD" w14:textId="77777777" w:rsidR="00104C28" w:rsidRDefault="00104C28" w:rsidP="00502C47">
            <w:pPr>
              <w:spacing w:after="80"/>
              <w:jc w:val="both"/>
            </w:pPr>
          </w:p>
          <w:p w14:paraId="45F41E67" w14:textId="77777777" w:rsidR="00104C28" w:rsidRDefault="00BD735D" w:rsidP="00502C47">
            <w:pPr>
              <w:spacing w:after="80"/>
              <w:jc w:val="both"/>
            </w:pPr>
            <w:r>
              <w:t>Insert geo1.png</w:t>
            </w:r>
          </w:p>
        </w:tc>
        <w:tc>
          <w:tcPr>
            <w:tcW w:w="5519" w:type="dxa"/>
            <w:vMerge w:val="restart"/>
          </w:tcPr>
          <w:p w14:paraId="413F2046" w14:textId="77777777" w:rsidR="00104C28" w:rsidRDefault="00104C28" w:rsidP="00502C47">
            <w:pPr>
              <w:spacing w:before="120" w:after="40"/>
              <w:jc w:val="center"/>
            </w:pPr>
            <w:r>
              <w:rPr>
                <w:b/>
                <w:color w:val="7B2952"/>
              </w:rPr>
              <w:t>What changed this week</w:t>
            </w:r>
          </w:p>
          <w:p w14:paraId="2DC5E284"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US–Iran conflict moving to resolution: mediators announced an MOU on 14 June, signed by President Trump on 17 June at the G7 (Évian), setting a ~60-day path to formally end the conflict; Iran declared the Strait of Hormuz reopened and the US naval blockade is being lifted, with vessels resuming transit — validating the AIP's 'conflict ends mid-2026' base case (driver: conflict trajectory). (Britannica / RFE-RL / parliamentary briefings, 14–18 Jun.)</w:t>
            </w:r>
          </w:p>
          <w:p w14:paraId="1B8FA790"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Oil repriced sharply lower: Brent fell below $78 on 17 June (lowest since early March) and traded ~$78.4 with WTI ~$75.8 on 18 June (vs the $94.25 anchor of 8 June), ≈−38% from the April peak, as the reopening removed the supply-shock premium (driver: oil→CPI passthrough). (Reuters / Bloomberg, 17–18 Jun.)</w:t>
            </w:r>
          </w:p>
          <w:p w14:paraId="711C0F55"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IEA's June Oil Market Report cut the 2026 demand outlook and modelled global supply −3.9 mb/d on average in 2026 (to 102.2 mb/d) assuming Strait flows resume from Q3, while flagging demining and transit risks (driver: Hormuz supply shock). (IEA OMR, June.)</w:t>
            </w:r>
          </w:p>
          <w:p w14:paraId="5C852FC8"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Fertilizer pressure eased further: urea traded ~$360/t on 17 June, well below the $857 April peak, though sulphur remains ~2× its January level and the World Bank still projects the fertilizer index +30% in 2026 — the sulphur→fertilizer→food channel is cooling but not resolved (driver: fertilizer/food channel). (World Bank, 17 Jun.)</w:t>
            </w:r>
          </w:p>
          <w:p w14:paraId="7C86E7E4"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Trade hardened: USTR Greer published a 'fix list' of conditions for Canada (dairy supply management, the Online Streaming and Online News Acts, provincial alcohol boycotts, procurement, tighter rules of origin) ahead of the 1 July joint review; the US is progressing bilaterally with Mexico while Canada is 'not engaged in formal negotiations,' keeping serial annual reviews — not a 16-year renewal — the base case (driver: CUSMA review). (Trade press; tier-flagged.)</w:t>
            </w:r>
          </w:p>
          <w:p w14:paraId="5E7B06AB" w14:textId="77777777" w:rsidR="00104C28" w:rsidRDefault="00104C28" w:rsidP="00502C47">
            <w:pPr>
              <w:spacing w:after="80"/>
              <w:jc w:val="both"/>
            </w:pPr>
          </w:p>
        </w:tc>
      </w:tr>
      <w:tr w:rsidR="00104C28" w14:paraId="2A48CF71" w14:textId="77777777" w:rsidTr="00502C47">
        <w:trPr>
          <w:trHeight w:val="2836"/>
        </w:trPr>
        <w:tc>
          <w:tcPr>
            <w:tcW w:w="5519" w:type="dxa"/>
          </w:tcPr>
          <w:p w14:paraId="2D51F592" w14:textId="77777777" w:rsidR="00104C28" w:rsidRDefault="00104C28" w:rsidP="00502C47">
            <w:pPr>
              <w:spacing w:after="80"/>
              <w:jc w:val="both"/>
            </w:pPr>
          </w:p>
          <w:p w14:paraId="3C46B031" w14:textId="77777777" w:rsidR="00104C28" w:rsidRDefault="00104C28" w:rsidP="00502C47">
            <w:pPr>
              <w:spacing w:after="80"/>
              <w:jc w:val="both"/>
            </w:pPr>
          </w:p>
          <w:p w14:paraId="7EE20C95" w14:textId="77777777" w:rsidR="00104C28" w:rsidRDefault="00BD735D" w:rsidP="00502C47">
            <w:pPr>
              <w:spacing w:after="80"/>
              <w:jc w:val="both"/>
            </w:pPr>
            <w:r>
              <w:t>Insert geo2.png</w:t>
            </w:r>
          </w:p>
        </w:tc>
        <w:tc>
          <w:tcPr>
            <w:tcW w:w="5519" w:type="dxa"/>
            <w:vMerge/>
          </w:tcPr>
          <w:p w14:paraId="4109A697" w14:textId="77777777" w:rsidR="00104C28" w:rsidRDefault="00104C28" w:rsidP="00502C47">
            <w:pPr>
              <w:spacing w:after="80"/>
              <w:jc w:val="both"/>
            </w:pPr>
          </w:p>
        </w:tc>
      </w:tr>
      <w:tr w:rsidR="00104C28" w14:paraId="2CF8E679" w14:textId="77777777" w:rsidTr="00502C47">
        <w:trPr>
          <w:trHeight w:val="2753"/>
        </w:trPr>
        <w:tc>
          <w:tcPr>
            <w:tcW w:w="11038" w:type="dxa"/>
            <w:gridSpan w:val="2"/>
          </w:tcPr>
          <w:p w14:paraId="464ADAB2" w14:textId="77777777" w:rsidR="00104C28" w:rsidRPr="00483440" w:rsidRDefault="00104C28" w:rsidP="00502C47">
            <w:pPr>
              <w:jc w:val="center"/>
              <w:rPr>
                <w:b/>
                <w:bCs/>
                <w:color w:val="7B2952"/>
              </w:rPr>
            </w:pPr>
            <w:r w:rsidRPr="00483440">
              <w:rPr>
                <w:b/>
                <w:bCs/>
                <w:color w:val="7B2952"/>
              </w:rPr>
              <w:lastRenderedPageBreak/>
              <w:t>Material Data U</w:t>
            </w:r>
            <w:r w:rsidRPr="002E3AD5">
              <w:rPr>
                <w:b/>
                <w:bCs/>
                <w:color w:val="7B2952"/>
              </w:rPr>
              <w:t>p</w:t>
            </w:r>
            <w:r w:rsidRPr="00483440">
              <w:rPr>
                <w:b/>
                <w:bCs/>
                <w:color w:val="7B2952"/>
              </w:rPr>
              <w:t>date:</w:t>
            </w:r>
          </w:p>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1740"/>
              <w:gridCol w:w="1719"/>
              <w:gridCol w:w="1508"/>
              <w:gridCol w:w="4000"/>
              <w:gridCol w:w="2002"/>
            </w:tblGrid>
            <w:tr w:rsidR="00104C28" w14:paraId="74A0C6F9" w14:textId="77777777" w:rsidTr="00502C47">
              <w:trPr>
                <w:trHeight w:val="292"/>
              </w:trPr>
              <w:tc>
                <w:tcPr>
                  <w:tcW w:w="1740" w:type="dxa"/>
                  <w:shd w:val="clear" w:color="auto" w:fill="7B2952"/>
                </w:tcPr>
                <w:p w14:paraId="40B4C4CB" w14:textId="77777777" w:rsidR="00104C28" w:rsidRDefault="00104C28" w:rsidP="001E042A">
                  <w:pPr>
                    <w:spacing w:after="0"/>
                  </w:pPr>
                  <w:r>
                    <w:rPr>
                      <w:b/>
                      <w:color w:val="FFFFFF"/>
                      <w:sz w:val="16"/>
                    </w:rPr>
                    <w:t>Indicator</w:t>
                  </w:r>
                </w:p>
              </w:tc>
              <w:tc>
                <w:tcPr>
                  <w:tcW w:w="1719" w:type="dxa"/>
                  <w:shd w:val="clear" w:color="auto" w:fill="7B2952"/>
                </w:tcPr>
                <w:p w14:paraId="71EE6953" w14:textId="77777777" w:rsidR="00104C28" w:rsidRDefault="00104C28" w:rsidP="001E042A">
                  <w:pPr>
                    <w:spacing w:after="0"/>
                  </w:pPr>
                  <w:r>
                    <w:rPr>
                      <w:b/>
                      <w:color w:val="FFFFFF"/>
                      <w:sz w:val="16"/>
                    </w:rPr>
                    <w:t>Prior anchor</w:t>
                  </w:r>
                </w:p>
              </w:tc>
              <w:tc>
                <w:tcPr>
                  <w:tcW w:w="1508" w:type="dxa"/>
                  <w:shd w:val="clear" w:color="auto" w:fill="7B2952"/>
                </w:tcPr>
                <w:p w14:paraId="624B7D3A" w14:textId="77777777" w:rsidR="00104C28" w:rsidRDefault="00104C28" w:rsidP="001E042A">
                  <w:pPr>
                    <w:spacing w:after="0"/>
                  </w:pPr>
                  <w:r>
                    <w:rPr>
                      <w:b/>
                      <w:color w:val="FFFFFF"/>
                      <w:sz w:val="16"/>
                    </w:rPr>
                    <w:t>New value</w:t>
                  </w:r>
                </w:p>
              </w:tc>
              <w:tc>
                <w:tcPr>
                  <w:tcW w:w="4000" w:type="dxa"/>
                  <w:shd w:val="clear" w:color="auto" w:fill="7B2952"/>
                </w:tcPr>
                <w:p w14:paraId="050FFF74" w14:textId="77777777" w:rsidR="00104C28" w:rsidRDefault="00104C28" w:rsidP="001E042A">
                  <w:pPr>
                    <w:spacing w:after="0"/>
                  </w:pPr>
                  <w:r>
                    <w:rPr>
                      <w:b/>
                      <w:color w:val="FFFFFF"/>
                      <w:sz w:val="16"/>
                    </w:rPr>
                    <w:t>Why it matters</w:t>
                  </w:r>
                </w:p>
              </w:tc>
              <w:tc>
                <w:tcPr>
                  <w:tcW w:w="2002" w:type="dxa"/>
                  <w:shd w:val="clear" w:color="auto" w:fill="7B2952"/>
                </w:tcPr>
                <w:p w14:paraId="51C7AF66" w14:textId="77777777" w:rsidR="00104C28" w:rsidRDefault="00104C28" w:rsidP="001E042A">
                  <w:pPr>
                    <w:spacing w:after="0"/>
                  </w:pPr>
                  <w:r>
                    <w:rPr>
                      <w:b/>
                      <w:color w:val="FFFFFF"/>
                      <w:sz w:val="16"/>
                    </w:rPr>
                    <w:t>Source</w:t>
                  </w:r>
                </w:p>
              </w:tc>
            </w:tr>
            <w:tr w:rsidR="00104C28" w14:paraId="3DC2FED3" w14:textId="77777777" w:rsidTr="00502C47">
              <w:trPr>
                <w:trHeight w:val="381"/>
              </w:trPr>
              <w:tc>
                <w:tcPr>
                  <w:tcW w:w="1740" w:type="dxa"/>
                </w:tcPr>
                <w:p w14:paraId="56FE4660" w14:textId="77777777" w:rsidR="00104C28" w:rsidRPr="00F521CB" w:rsidRDefault="00104C28" w:rsidP="001E042A">
                  <w:pPr>
                    <w:spacing w:after="0"/>
                  </w:pPr>
                  <w:r w:rsidRPr="00F521CB">
                    <w:rPr>
                      <w:sz w:val="16"/>
                    </w:rPr>
                    <w:t>Brent crude (spot)</w:t>
                  </w:r>
                </w:p>
              </w:tc>
              <w:tc>
                <w:tcPr>
                  <w:tcW w:w="1719" w:type="dxa"/>
                </w:tcPr>
                <w:p w14:paraId="73DEBDBE" w14:textId="77777777" w:rsidR="00104C28" w:rsidRPr="00F521CB" w:rsidRDefault="00104C28" w:rsidP="001E042A">
                  <w:pPr>
                    <w:spacing w:after="0"/>
                  </w:pPr>
                  <w:r w:rsidRPr="00F521CB">
                    <w:rPr>
                      <w:sz w:val="16"/>
                    </w:rPr>
                    <w:t>$94.25 (8 Jun)</w:t>
                  </w:r>
                </w:p>
              </w:tc>
              <w:tc>
                <w:tcPr>
                  <w:tcW w:w="1508" w:type="dxa"/>
                </w:tcPr>
                <w:p w14:paraId="43221F4E" w14:textId="77777777" w:rsidR="00104C28" w:rsidRPr="00F521CB" w:rsidRDefault="00104C28" w:rsidP="001E042A">
                  <w:pPr>
                    <w:spacing w:after="0"/>
                  </w:pPr>
                  <w:r w:rsidRPr="00F521CB">
                    <w:rPr>
                      <w:sz w:val="16"/>
                    </w:rPr>
                    <w:t>~$78.4 (18 Jun); &lt;$78 on 17 Jun; ≈−38% from Apr peak</w:t>
                  </w:r>
                </w:p>
              </w:tc>
              <w:tc>
                <w:tcPr>
                  <w:tcW w:w="4000" w:type="dxa"/>
                </w:tcPr>
                <w:p w14:paraId="0F17C1CA" w14:textId="77777777" w:rsidR="00104C28" w:rsidRPr="00F521CB" w:rsidRDefault="00104C28" w:rsidP="001E042A">
                  <w:pPr>
                    <w:spacing w:after="0"/>
                  </w:pPr>
                  <w:r w:rsidRPr="00F521CB">
                    <w:rPr>
                      <w:sz w:val="16"/>
                    </w:rPr>
                    <w:t>Supply-shock premium unwinding on reopening</w:t>
                  </w:r>
                </w:p>
              </w:tc>
              <w:tc>
                <w:tcPr>
                  <w:tcW w:w="2002" w:type="dxa"/>
                </w:tcPr>
                <w:p w14:paraId="1D721CAE" w14:textId="77777777" w:rsidR="00104C28" w:rsidRPr="00F521CB" w:rsidRDefault="00104C28" w:rsidP="001E042A">
                  <w:pPr>
                    <w:spacing w:after="0"/>
                  </w:pPr>
                  <w:r w:rsidRPr="00F521CB">
                    <w:rPr>
                      <w:sz w:val="16"/>
                    </w:rPr>
                    <w:t>Reuters/Bloomberg, 17–18 Jun</w:t>
                  </w:r>
                </w:p>
              </w:tc>
            </w:tr>
            <w:tr w:rsidR="00104C28" w14:paraId="54E9A4A8" w14:textId="77777777" w:rsidTr="00502C47">
              <w:trPr>
                <w:trHeight w:val="381"/>
              </w:trPr>
              <w:tc>
                <w:tcPr>
                  <w:tcW w:w="1740" w:type="dxa"/>
                </w:tcPr>
                <w:p w14:paraId="7CB6C6A8" w14:textId="77777777" w:rsidR="00104C28" w:rsidRPr="00F521CB" w:rsidRDefault="00104C28" w:rsidP="001E042A">
                  <w:pPr>
                    <w:spacing w:after="0"/>
                  </w:pPr>
                  <w:r w:rsidRPr="00F521CB">
                    <w:rPr>
                      <w:sz w:val="16"/>
                    </w:rPr>
                    <w:t>Urea (intl benchmark)</w:t>
                  </w:r>
                </w:p>
              </w:tc>
              <w:tc>
                <w:tcPr>
                  <w:tcW w:w="1719" w:type="dxa"/>
                </w:tcPr>
                <w:p w14:paraId="0AF00B5A" w14:textId="77777777" w:rsidR="00104C28" w:rsidRPr="00F521CB" w:rsidRDefault="00104C28" w:rsidP="001E042A">
                  <w:pPr>
                    <w:spacing w:after="0"/>
                  </w:pPr>
                  <w:r w:rsidRPr="00F521CB">
                    <w:rPr>
                      <w:sz w:val="16"/>
                    </w:rPr>
                    <w:t>~$857 peak (Apr)</w:t>
                  </w:r>
                </w:p>
              </w:tc>
              <w:tc>
                <w:tcPr>
                  <w:tcW w:w="1508" w:type="dxa"/>
                </w:tcPr>
                <w:p w14:paraId="35F039F6" w14:textId="77777777" w:rsidR="00104C28" w:rsidRPr="00F521CB" w:rsidRDefault="00104C28" w:rsidP="001E042A">
                  <w:pPr>
                    <w:spacing w:after="0"/>
                  </w:pPr>
                  <w:r w:rsidRPr="00F521CB">
                    <w:rPr>
                      <w:sz w:val="16"/>
                    </w:rPr>
                    <w:t>~$360/t (17 Jun)</w:t>
                  </w:r>
                </w:p>
              </w:tc>
              <w:tc>
                <w:tcPr>
                  <w:tcW w:w="4000" w:type="dxa"/>
                </w:tcPr>
                <w:p w14:paraId="5BEC6A08" w14:textId="77777777" w:rsidR="00104C28" w:rsidRPr="00F521CB" w:rsidRDefault="00104C28" w:rsidP="001E042A">
                  <w:pPr>
                    <w:spacing w:after="0"/>
                  </w:pPr>
                  <w:r w:rsidRPr="00F521CB">
                    <w:rPr>
                      <w:sz w:val="16"/>
                    </w:rPr>
                    <w:t>Fertilizer/food channel cooling</w:t>
                  </w:r>
                </w:p>
              </w:tc>
              <w:tc>
                <w:tcPr>
                  <w:tcW w:w="2002" w:type="dxa"/>
                </w:tcPr>
                <w:p w14:paraId="17ACA2AE" w14:textId="77777777" w:rsidR="00104C28" w:rsidRPr="00F521CB" w:rsidRDefault="00104C28" w:rsidP="001E042A">
                  <w:pPr>
                    <w:spacing w:after="0"/>
                  </w:pPr>
                  <w:r w:rsidRPr="00F521CB">
                    <w:rPr>
                      <w:sz w:val="16"/>
                    </w:rPr>
                    <w:t>World Bank, 17 Jun</w:t>
                  </w:r>
                </w:p>
              </w:tc>
            </w:tr>
            <w:tr w:rsidR="00104C28" w14:paraId="7FEE819E" w14:textId="77777777" w:rsidTr="00502C47">
              <w:trPr>
                <w:trHeight w:val="381"/>
              </w:trPr>
              <w:tc>
                <w:tcPr>
                  <w:tcW w:w="1740" w:type="dxa"/>
                </w:tcPr>
                <w:p w14:paraId="225EAAC2" w14:textId="77777777" w:rsidR="00104C28" w:rsidRPr="00F521CB" w:rsidRDefault="00104C28" w:rsidP="001E042A">
                  <w:pPr>
                    <w:spacing w:after="0"/>
                  </w:pPr>
                  <w:r w:rsidRPr="00F521CB">
                    <w:rPr>
                      <w:sz w:val="16"/>
                    </w:rPr>
                    <w:t>Global oil supply (IEA)</w:t>
                  </w:r>
                </w:p>
              </w:tc>
              <w:tc>
                <w:tcPr>
                  <w:tcW w:w="1719" w:type="dxa"/>
                </w:tcPr>
                <w:p w14:paraId="24C99345" w14:textId="77777777" w:rsidR="00104C28" w:rsidRPr="00F521CB" w:rsidRDefault="00104C28" w:rsidP="001E042A">
                  <w:pPr>
                    <w:spacing w:after="0"/>
                  </w:pPr>
                  <w:r w:rsidRPr="00F521CB">
                    <w:rPr>
                      <w:sz w:val="16"/>
                    </w:rPr>
                    <w:t>−12.8 mb/d to ~95.1 mb/d (AIP)</w:t>
                  </w:r>
                </w:p>
              </w:tc>
              <w:tc>
                <w:tcPr>
                  <w:tcW w:w="1508" w:type="dxa"/>
                </w:tcPr>
                <w:p w14:paraId="642379C8" w14:textId="77777777" w:rsidR="00104C28" w:rsidRPr="00F521CB" w:rsidRDefault="00104C28" w:rsidP="001E042A">
                  <w:pPr>
                    <w:spacing w:after="0"/>
                  </w:pPr>
                  <w:r w:rsidRPr="00F521CB">
                    <w:rPr>
                      <w:sz w:val="16"/>
                    </w:rPr>
                    <w:t>−3.9 mb/d avg 2026, to 102.2 mb/d (Q3 reopening assumed)</w:t>
                  </w:r>
                </w:p>
              </w:tc>
              <w:tc>
                <w:tcPr>
                  <w:tcW w:w="4000" w:type="dxa"/>
                </w:tcPr>
                <w:p w14:paraId="4003E4F1" w14:textId="77777777" w:rsidR="00104C28" w:rsidRPr="00F521CB" w:rsidRDefault="00104C28" w:rsidP="001E042A">
                  <w:pPr>
                    <w:spacing w:after="0"/>
                  </w:pPr>
                  <w:r w:rsidRPr="00F521CB">
                    <w:rPr>
                      <w:sz w:val="16"/>
                    </w:rPr>
                    <w:t>IEA annual-avg measure — not like-for-like with AIP point figure; context only</w:t>
                  </w:r>
                </w:p>
              </w:tc>
              <w:tc>
                <w:tcPr>
                  <w:tcW w:w="2002" w:type="dxa"/>
                </w:tcPr>
                <w:p w14:paraId="7072D1FB" w14:textId="77777777" w:rsidR="00104C28" w:rsidRPr="00F521CB" w:rsidRDefault="00104C28" w:rsidP="001E042A">
                  <w:pPr>
                    <w:spacing w:after="0"/>
                  </w:pPr>
                  <w:r w:rsidRPr="00F521CB">
                    <w:rPr>
                      <w:sz w:val="16"/>
                    </w:rPr>
                    <w:t>IEA OMR, June</w:t>
                  </w:r>
                </w:p>
              </w:tc>
            </w:tr>
          </w:tbl>
          <w:p w14:paraId="7BEF78C4" w14:textId="77777777" w:rsidR="00104C28" w:rsidRDefault="00104C28" w:rsidP="00502C47">
            <w:pPr>
              <w:spacing w:after="80"/>
              <w:jc w:val="both"/>
            </w:pPr>
          </w:p>
        </w:tc>
      </w:tr>
      <w:tr w:rsidR="00104C28" w14:paraId="2B930273" w14:textId="77777777" w:rsidTr="00502C47">
        <w:trPr>
          <w:trHeight w:val="2753"/>
        </w:trPr>
        <w:tc>
          <w:tcPr>
            <w:tcW w:w="5519" w:type="dxa"/>
          </w:tcPr>
          <w:p w14:paraId="63AE7FC1" w14:textId="77777777" w:rsidR="00104C28" w:rsidRDefault="00104C28" w:rsidP="00502C47">
            <w:pPr>
              <w:spacing w:before="40" w:after="40"/>
            </w:pPr>
            <w:r>
              <w:rPr>
                <w:b/>
                <w:color w:val="7B2952"/>
              </w:rPr>
              <w:t>Implication for the theme</w:t>
            </w:r>
          </w:p>
          <w:p w14:paraId="3867FA1D" w14:textId="77777777" w:rsidR="00104C28" w:rsidRPr="00F521CB" w:rsidRDefault="00104C28" w:rsidP="00502C47">
            <w:pPr>
              <w:spacing w:after="120"/>
              <w:jc w:val="both"/>
              <w:rPr>
                <w:sz w:val="20"/>
                <w:szCs w:val="20"/>
              </w:rPr>
            </w:pPr>
            <w:r w:rsidRPr="00F521CB">
              <w:rPr>
                <w:color w:val="000000"/>
                <w:sz w:val="20"/>
                <w:szCs w:val="20"/>
              </w:rPr>
              <w:t>The oil story's central timing assumption resolved favourably, removing the single largest threat the prior report named; combined with easing fertilizer and OPEC+ capacity to add barrels on reopening, the disinflation impulse is now a Q3 story. Offsetting this, May CPI accelerated (energy +3.9% m/m), so near-term passthrough is still peaking exactly as the thesis predicted, and the CUSMA leg hardened — keeping the trade sub-thesis (serial reviews, investment-tax uncertainty) firmly intact. Net: thesis confirmed, not exceeded.</w:t>
            </w:r>
          </w:p>
          <w:p w14:paraId="07F2ECB3" w14:textId="77777777" w:rsidR="00104C28" w:rsidRDefault="00104C28" w:rsidP="00502C47">
            <w:pPr>
              <w:spacing w:after="80"/>
              <w:jc w:val="both"/>
            </w:pPr>
          </w:p>
        </w:tc>
        <w:tc>
          <w:tcPr>
            <w:tcW w:w="5519" w:type="dxa"/>
          </w:tcPr>
          <w:p w14:paraId="0D6F516B" w14:textId="77777777" w:rsidR="00104C28" w:rsidRDefault="00104C28" w:rsidP="00502C47">
            <w:pPr>
              <w:spacing w:before="120" w:after="40"/>
            </w:pPr>
            <w:r>
              <w:rPr>
                <w:b/>
                <w:color w:val="7B2952"/>
              </w:rPr>
              <w:t>Watch next week</w:t>
            </w:r>
          </w:p>
          <w:p w14:paraId="029326CE"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CUSMA 1 July joint review and any USTR notification to Congress.</w:t>
            </w:r>
          </w:p>
          <w:p w14:paraId="62445166"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Strait reopening mechanics (demining, transit-fee terms); IEA/EIA supply prints vs the reopening assumption; US PCE (25 Jun).</w:t>
            </w:r>
          </w:p>
          <w:p w14:paraId="71F3A878" w14:textId="77777777" w:rsidR="00104C28" w:rsidRDefault="00104C28" w:rsidP="00502C47">
            <w:pPr>
              <w:spacing w:after="80"/>
              <w:jc w:val="both"/>
            </w:pPr>
          </w:p>
        </w:tc>
      </w:tr>
    </w:tbl>
    <w:p w14:paraId="41D1BD2F" w14:textId="77777777" w:rsidR="000717CC" w:rsidRDefault="000717CC">
      <w:pPr>
        <w:spacing w:before="120" w:after="120" w:line="120" w:lineRule="auto"/>
      </w:pPr>
    </w:p>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ook w:val="04A0" w:firstRow="1" w:lastRow="0" w:firstColumn="1" w:lastColumn="0" w:noHBand="0" w:noVBand="1"/>
      </w:tblPr>
      <w:tblGrid>
        <w:gridCol w:w="5519"/>
        <w:gridCol w:w="5519"/>
      </w:tblGrid>
      <w:tr w:rsidR="00104C28" w14:paraId="655EA7CE" w14:textId="77777777" w:rsidTr="00502C47">
        <w:trPr>
          <w:trHeight w:val="771"/>
        </w:trPr>
        <w:tc>
          <w:tcPr>
            <w:tcW w:w="11038" w:type="dxa"/>
            <w:gridSpan w:val="2"/>
            <w:shd w:val="clear" w:color="auto" w:fill="7B2952"/>
          </w:tcPr>
          <w:p w14:paraId="265391E3" w14:textId="77777777" w:rsidR="00104C28" w:rsidRDefault="00104C28" w:rsidP="00502C47">
            <w:pPr>
              <w:jc w:val="center"/>
              <w:rPr>
                <w:b/>
                <w:color w:val="FFFFFF" w:themeColor="background1"/>
                <w:sz w:val="32"/>
              </w:rPr>
            </w:pPr>
            <w:r w:rsidRPr="00280B12">
              <w:rPr>
                <w:b/>
                <w:color w:val="FFFFFF" w:themeColor="background1"/>
                <w:sz w:val="32"/>
              </w:rPr>
              <w:t xml:space="preserve">Theme </w:t>
            </w:r>
            <w:r w:rsidR="00805A18">
              <w:rPr>
                <w:b/>
                <w:color w:val="FFFFFF" w:themeColor="background1"/>
                <w:sz w:val="32"/>
              </w:rPr>
              <w:t>6</w:t>
            </w:r>
            <w:r w:rsidRPr="00280B12">
              <w:rPr>
                <w:b/>
                <w:color w:val="FFFFFF" w:themeColor="background1"/>
                <w:sz w:val="32"/>
              </w:rPr>
              <w:t xml:space="preserve"> </w:t>
            </w:r>
            <w:r>
              <w:rPr>
                <w:b/>
                <w:color w:val="FFFFFF" w:themeColor="background1"/>
                <w:sz w:val="32"/>
              </w:rPr>
              <w:t>– Domestic Investment Pressures</w:t>
            </w:r>
            <w:r w:rsidRPr="00280B12">
              <w:rPr>
                <w:b/>
                <w:color w:val="FFFFFF" w:themeColor="background1"/>
                <w:sz w:val="32"/>
              </w:rPr>
              <w:t xml:space="preserve"> </w:t>
            </w:r>
          </w:p>
          <w:p w14:paraId="6F1074D3" w14:textId="77777777" w:rsidR="00104C28" w:rsidRPr="003C74DB" w:rsidRDefault="00104C28" w:rsidP="00502C47">
            <w:pPr>
              <w:jc w:val="center"/>
              <w:rPr>
                <w:color w:val="FFFFFF" w:themeColor="background1"/>
                <w:szCs w:val="22"/>
              </w:rPr>
            </w:pPr>
            <w:r w:rsidRPr="003C74DB">
              <w:rPr>
                <w:b/>
                <w:color w:val="FFFFFF" w:themeColor="background1"/>
                <w:szCs w:val="22"/>
              </w:rPr>
              <w:t>(As of 2026_06_18)</w:t>
            </w:r>
          </w:p>
        </w:tc>
      </w:tr>
      <w:tr w:rsidR="00104C28" w14:paraId="112608AF" w14:textId="77777777" w:rsidTr="00502C47">
        <w:trPr>
          <w:trHeight w:val="771"/>
        </w:trPr>
        <w:tc>
          <w:tcPr>
            <w:tcW w:w="11038" w:type="dxa"/>
            <w:gridSpan w:val="2"/>
          </w:tcPr>
          <w:p w14:paraId="7B586BEA" w14:textId="77777777" w:rsidR="00104C28" w:rsidRDefault="00104C28" w:rsidP="00502C47">
            <w:pPr>
              <w:spacing w:after="40"/>
            </w:pPr>
            <w:r>
              <w:rPr>
                <w:b/>
                <w:color w:val="7B2952"/>
              </w:rPr>
              <w:t>Status:</w:t>
            </w:r>
          </w:p>
          <w:p w14:paraId="0A30E74C" w14:textId="77777777" w:rsidR="00104C28" w:rsidRPr="00F521CB" w:rsidRDefault="00104C28" w:rsidP="00502C47">
            <w:pPr>
              <w:spacing w:after="120"/>
              <w:jc w:val="both"/>
              <w:rPr>
                <w:sz w:val="20"/>
                <w:szCs w:val="20"/>
              </w:rPr>
            </w:pPr>
            <w:r w:rsidRPr="00F521CB">
              <w:rPr>
                <w:color w:val="000000"/>
                <w:sz w:val="20"/>
                <w:szCs w:val="20"/>
              </w:rPr>
              <w:t>Intact ▸ no change. The policy push remains in a design-and-staffing phase; no deployment or allocation evidence in-window.</w:t>
            </w:r>
          </w:p>
        </w:tc>
      </w:tr>
      <w:tr w:rsidR="00104C28" w14:paraId="61B76BD0" w14:textId="77777777" w:rsidTr="00502C47">
        <w:trPr>
          <w:trHeight w:val="2753"/>
        </w:trPr>
        <w:tc>
          <w:tcPr>
            <w:tcW w:w="5519" w:type="dxa"/>
          </w:tcPr>
          <w:p w14:paraId="7B27CC48" w14:textId="77777777" w:rsidR="00104C28" w:rsidRDefault="00104C28" w:rsidP="00502C47">
            <w:pPr>
              <w:spacing w:after="80"/>
              <w:jc w:val="both"/>
            </w:pPr>
          </w:p>
          <w:p w14:paraId="40D4D487" w14:textId="77777777" w:rsidR="00104C28" w:rsidRDefault="00104C28" w:rsidP="00805A18">
            <w:pPr>
              <w:spacing w:before="120" w:after="40"/>
              <w:jc w:val="center"/>
            </w:pPr>
            <w:r>
              <w:rPr>
                <w:b/>
                <w:color w:val="7B2952"/>
              </w:rPr>
              <w:t>What changed this week</w:t>
            </w:r>
          </w:p>
          <w:p w14:paraId="3FEA07F3"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No material developments this week; thesis intact.</w:t>
            </w:r>
          </w:p>
          <w:p w14:paraId="103FC501" w14:textId="77777777" w:rsidR="00104C28" w:rsidRPr="00590348" w:rsidRDefault="00104C28">
            <w:pPr>
              <w:pStyle w:val="ListParagraph"/>
              <w:numPr>
                <w:ilvl w:val="1"/>
                <w:numId w:val="3"/>
              </w:numPr>
              <w:spacing w:after="80"/>
              <w:jc w:val="both"/>
              <w:rPr>
                <w:sz w:val="20"/>
                <w:szCs w:val="20"/>
              </w:rPr>
            </w:pPr>
            <w:r w:rsidRPr="00590348">
              <w:rPr>
                <w:color w:val="000000"/>
                <w:sz w:val="20"/>
                <w:szCs w:val="20"/>
              </w:rPr>
              <w:t>(Champagne's quarterly engagement with pension managers continues and the Major Projects Office is advancing its nation-building project list, but with no Canada Strong Fund CEO/board or first deployment in-window, the thesis cannot yet be tested. CPP Investments stands at a record C$780.7B with ~47% US / ~13% Canada — the peer-allocation gap the policy push targets. Finance Canada, in-window context.)</w:t>
            </w:r>
          </w:p>
          <w:p w14:paraId="79757507" w14:textId="77777777" w:rsidR="00104C28" w:rsidRDefault="00104C28" w:rsidP="00502C47">
            <w:pPr>
              <w:spacing w:after="80"/>
              <w:jc w:val="both"/>
            </w:pPr>
          </w:p>
        </w:tc>
        <w:tc>
          <w:tcPr>
            <w:tcW w:w="5519" w:type="dxa"/>
            <w:vMerge w:val="restart"/>
          </w:tcPr>
          <w:p w14:paraId="2A177A31" w14:textId="77777777" w:rsidR="00104C28" w:rsidRDefault="00104C28" w:rsidP="00104C28">
            <w:pPr>
              <w:pStyle w:val="ListParagraph"/>
              <w:spacing w:after="80"/>
              <w:ind w:left="360"/>
              <w:jc w:val="both"/>
            </w:pPr>
          </w:p>
        </w:tc>
      </w:tr>
      <w:tr w:rsidR="00104C28" w14:paraId="475E2796" w14:textId="77777777" w:rsidTr="00502C47">
        <w:trPr>
          <w:trHeight w:val="2836"/>
        </w:trPr>
        <w:tc>
          <w:tcPr>
            <w:tcW w:w="5519" w:type="dxa"/>
          </w:tcPr>
          <w:p w14:paraId="54AFE560" w14:textId="77777777" w:rsidR="00104C28" w:rsidRDefault="00104C28" w:rsidP="00502C47">
            <w:pPr>
              <w:spacing w:after="80"/>
              <w:jc w:val="both"/>
            </w:pPr>
          </w:p>
          <w:p w14:paraId="7AFF7368" w14:textId="77777777" w:rsidR="00104C28" w:rsidRDefault="00104C28" w:rsidP="00502C47">
            <w:pPr>
              <w:spacing w:after="80"/>
              <w:jc w:val="both"/>
            </w:pPr>
          </w:p>
          <w:p w14:paraId="34FB4D53" w14:textId="77777777" w:rsidR="00104C28" w:rsidRDefault="00104C28" w:rsidP="00502C47">
            <w:pPr>
              <w:spacing w:after="80"/>
              <w:jc w:val="both"/>
            </w:pPr>
          </w:p>
        </w:tc>
        <w:tc>
          <w:tcPr>
            <w:tcW w:w="5519" w:type="dxa"/>
            <w:vMerge/>
          </w:tcPr>
          <w:p w14:paraId="27D23C40" w14:textId="77777777" w:rsidR="00104C28" w:rsidRDefault="00104C28" w:rsidP="00502C47">
            <w:pPr>
              <w:spacing w:after="80"/>
              <w:jc w:val="both"/>
            </w:pPr>
          </w:p>
        </w:tc>
      </w:tr>
      <w:tr w:rsidR="00104C28" w14:paraId="36E71394" w14:textId="77777777" w:rsidTr="00502C47">
        <w:trPr>
          <w:trHeight w:val="2753"/>
        </w:trPr>
        <w:tc>
          <w:tcPr>
            <w:tcW w:w="11038" w:type="dxa"/>
            <w:gridSpan w:val="2"/>
          </w:tcPr>
          <w:p w14:paraId="02217226" w14:textId="77777777" w:rsidR="00104C28" w:rsidRPr="00483440" w:rsidRDefault="00104C28" w:rsidP="00502C47">
            <w:pPr>
              <w:jc w:val="center"/>
              <w:rPr>
                <w:b/>
                <w:bCs/>
                <w:color w:val="7B2952"/>
              </w:rPr>
            </w:pPr>
            <w:r w:rsidRPr="00483440">
              <w:rPr>
                <w:b/>
                <w:bCs/>
                <w:color w:val="7B2952"/>
              </w:rPr>
              <w:t>Material Data U</w:t>
            </w:r>
            <w:r w:rsidRPr="002E3AD5">
              <w:rPr>
                <w:b/>
                <w:bCs/>
                <w:color w:val="7B2952"/>
              </w:rPr>
              <w:t>p</w:t>
            </w:r>
            <w:r w:rsidRPr="00483440">
              <w:rPr>
                <w:b/>
                <w:bCs/>
                <w:color w:val="7B2952"/>
              </w:rPr>
              <w:t>date:</w:t>
            </w:r>
          </w:p>
          <w:p w14:paraId="5824C850" w14:textId="77777777" w:rsidR="000717CC" w:rsidRDefault="00F62204">
            <w:pPr>
              <w:spacing w:before="40" w:after="80"/>
              <w:jc w:val="both"/>
            </w:pPr>
            <w:r>
              <w:rPr>
                <w:color w:val="000000"/>
                <w:sz w:val="20"/>
                <w:szCs w:val="20"/>
              </w:rPr>
              <w:t>No like-for-like update in window; peer-allocation anchors carry — OPTrust 36.2% Canada / 41.9% US; CPP ~13% Canada / ~47% US.</w:t>
            </w:r>
          </w:p>
          <w:p w14:paraId="16257ADC" w14:textId="77777777" w:rsidR="00104C28" w:rsidRDefault="00104C28" w:rsidP="00502C47">
            <w:pPr>
              <w:spacing w:after="80"/>
              <w:jc w:val="both"/>
            </w:pPr>
          </w:p>
        </w:tc>
      </w:tr>
      <w:tr w:rsidR="00104C28" w14:paraId="78FDE5BA" w14:textId="77777777" w:rsidTr="00502C47">
        <w:trPr>
          <w:trHeight w:val="2753"/>
        </w:trPr>
        <w:tc>
          <w:tcPr>
            <w:tcW w:w="5519" w:type="dxa"/>
          </w:tcPr>
          <w:p w14:paraId="59E6DD72" w14:textId="77777777" w:rsidR="00104C28" w:rsidRDefault="00104C28" w:rsidP="00502C47">
            <w:pPr>
              <w:spacing w:before="40" w:after="40"/>
            </w:pPr>
            <w:r>
              <w:rPr>
                <w:b/>
                <w:color w:val="7B2952"/>
              </w:rPr>
              <w:t>Implication for the theme</w:t>
            </w:r>
          </w:p>
          <w:p w14:paraId="08CA3F9A" w14:textId="77777777" w:rsidR="00104C28" w:rsidRPr="00F521CB" w:rsidRDefault="00104C28" w:rsidP="00502C47">
            <w:pPr>
              <w:spacing w:after="120"/>
              <w:jc w:val="both"/>
              <w:rPr>
                <w:sz w:val="20"/>
                <w:szCs w:val="20"/>
              </w:rPr>
            </w:pPr>
            <w:r w:rsidRPr="00F521CB">
              <w:rPr>
                <w:color w:val="000000"/>
                <w:sz w:val="20"/>
                <w:szCs w:val="20"/>
              </w:rPr>
              <w:t>The domestic-steering apparatus keeps assembling — fund announced, transition office running, ministerial cadence and Major Projects Office active — but absent a CEO, board, or first deployment, there is still nothing to test the 'politically-driven, non-optimal allocation' risk against. Peer allocation deltas remain the cleanest forward measure.</w:t>
            </w:r>
          </w:p>
          <w:p w14:paraId="51F69A9C" w14:textId="77777777" w:rsidR="00104C28" w:rsidRDefault="00104C28" w:rsidP="00502C47">
            <w:pPr>
              <w:spacing w:after="80"/>
              <w:jc w:val="both"/>
            </w:pPr>
          </w:p>
        </w:tc>
        <w:tc>
          <w:tcPr>
            <w:tcW w:w="5519" w:type="dxa"/>
          </w:tcPr>
          <w:p w14:paraId="7C963E31" w14:textId="77777777" w:rsidR="00104C28" w:rsidRDefault="00104C28" w:rsidP="00502C47">
            <w:pPr>
              <w:spacing w:before="120" w:after="40"/>
            </w:pPr>
            <w:r>
              <w:rPr>
                <w:b/>
                <w:color w:val="7B2952"/>
              </w:rPr>
              <w:t>Watch next week</w:t>
            </w:r>
          </w:p>
          <w:p w14:paraId="2ADCD0BE"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Canada Strong Fund governance (CEO/board) and first deployments.</w:t>
            </w:r>
          </w:p>
          <w:p w14:paraId="7440D4EC" w14:textId="77777777" w:rsidR="00104C28" w:rsidRPr="00F521CB" w:rsidRDefault="00104C28">
            <w:pPr>
              <w:pStyle w:val="ListParagraph"/>
              <w:numPr>
                <w:ilvl w:val="0"/>
                <w:numId w:val="5"/>
              </w:numPr>
              <w:spacing w:after="80"/>
              <w:jc w:val="both"/>
              <w:rPr>
                <w:sz w:val="20"/>
                <w:szCs w:val="20"/>
              </w:rPr>
            </w:pPr>
            <w:r w:rsidRPr="00F521CB">
              <w:rPr>
                <w:color w:val="000000"/>
                <w:sz w:val="20"/>
                <w:szCs w:val="20"/>
              </w:rPr>
              <w:t>Next quarterly Champagne round-table; new Major Projects Office designations; peer annual-report allocation prints.</w:t>
            </w:r>
          </w:p>
          <w:p w14:paraId="76356202" w14:textId="77777777" w:rsidR="00104C28" w:rsidRDefault="00104C28" w:rsidP="00502C47">
            <w:pPr>
              <w:spacing w:after="80"/>
              <w:jc w:val="both"/>
            </w:pPr>
          </w:p>
        </w:tc>
      </w:tr>
    </w:tbl>
    <w:p w14:paraId="3F630C47" w14:textId="77777777" w:rsidR="00702B98" w:rsidRDefault="00702B98" w:rsidP="00E73FFC">
      <w:pPr>
        <w:spacing w:after="80" w:line="240" w:lineRule="auto"/>
        <w:jc w:val="both"/>
      </w:pPr>
    </w:p>
    <w:p w14:paraId="55DAD56F" w14:textId="77777777" w:rsidR="00702B98" w:rsidRPr="00DD76C1" w:rsidRDefault="00702B98" w:rsidP="00702B98">
      <w:pPr>
        <w:spacing w:line="240" w:lineRule="auto"/>
        <w:rPr>
          <w:color w:val="7B2952"/>
        </w:rPr>
      </w:pPr>
      <w:r w:rsidRPr="00DD76C1">
        <w:rPr>
          <w:b/>
          <w:color w:val="7B2952"/>
          <w:sz w:val="32"/>
        </w:rPr>
        <w:t>References</w:t>
      </w:r>
    </w:p>
    <w:p w14:paraId="473AF4C4" w14:textId="77777777" w:rsidR="00702B98" w:rsidRDefault="00702B98" w:rsidP="00702B98">
      <w:pPr>
        <w:spacing w:after="120" w:line="240" w:lineRule="auto"/>
        <w:jc w:val="both"/>
      </w:pPr>
      <w:r>
        <w:rPr>
          <w:color w:val="000000"/>
        </w:rPr>
        <w:t>Only sources cited this week, deduplicated; retrieval date 18 June 2026.</w:t>
      </w:r>
    </w:p>
    <w:p w14:paraId="3BCCDD31" w14:textId="77777777" w:rsidR="00702B98" w:rsidRDefault="00702B98">
      <w:pPr>
        <w:pStyle w:val="ListParagraph"/>
        <w:numPr>
          <w:ilvl w:val="1"/>
          <w:numId w:val="2"/>
        </w:numPr>
        <w:spacing w:after="80" w:line="240" w:lineRule="auto"/>
        <w:jc w:val="both"/>
      </w:pPr>
      <w:r w:rsidRPr="00D91219">
        <w:rPr>
          <w:color w:val="000000"/>
        </w:rPr>
        <w:t>Bank of Canada. “Bank of Canada maintains the policy rate at 2¼%.” 10 June 2026. https://www.bankofcanada.ca/2026/06/fad-press-release-2026-06-10/. Retrieved 18 June 2026.</w:t>
      </w:r>
    </w:p>
    <w:p w14:paraId="3D4E8069" w14:textId="77777777" w:rsidR="00702B98" w:rsidRDefault="00702B98">
      <w:pPr>
        <w:pStyle w:val="ListParagraph"/>
        <w:numPr>
          <w:ilvl w:val="1"/>
          <w:numId w:val="2"/>
        </w:numPr>
        <w:spacing w:after="80" w:line="240" w:lineRule="auto"/>
        <w:jc w:val="both"/>
      </w:pPr>
      <w:r w:rsidRPr="00D91219">
        <w:rPr>
          <w:color w:val="000000"/>
        </w:rPr>
        <w:t>European Central Bank. “Monetary policy decisions.” 11 June 2026. https://www.ecb.europa.eu/press/pr/date/2026/html/ecb.mp260611~4d41bd5e83.en.html. Retrieved 18 June 2026.</w:t>
      </w:r>
    </w:p>
    <w:p w14:paraId="07A10D4C" w14:textId="77777777" w:rsidR="00702B98" w:rsidRDefault="00702B98">
      <w:pPr>
        <w:pStyle w:val="ListParagraph"/>
        <w:numPr>
          <w:ilvl w:val="1"/>
          <w:numId w:val="2"/>
        </w:numPr>
        <w:spacing w:after="80" w:line="240" w:lineRule="auto"/>
        <w:jc w:val="both"/>
      </w:pPr>
      <w:r w:rsidRPr="00D91219">
        <w:rPr>
          <w:color w:val="000000"/>
        </w:rPr>
        <w:t>Bank of Japan. “Statement on Monetary Policy.” 16 June 2026. https://www.boj.or.jp/en/mopo/mpmdeci/mpr_2026/k260616a.pdf. Retrieved 18 June 2026.</w:t>
      </w:r>
    </w:p>
    <w:p w14:paraId="4887C538" w14:textId="77777777" w:rsidR="00702B98" w:rsidRDefault="00702B98">
      <w:pPr>
        <w:pStyle w:val="ListParagraph"/>
        <w:numPr>
          <w:ilvl w:val="1"/>
          <w:numId w:val="2"/>
        </w:numPr>
        <w:spacing w:after="80" w:line="240" w:lineRule="auto"/>
        <w:jc w:val="both"/>
      </w:pPr>
      <w:r w:rsidRPr="00D91219">
        <w:rPr>
          <w:color w:val="000000"/>
        </w:rPr>
        <w:t>U.S. Federal Reserve / CNBC. “Fed holds rates steady; dot plot raised to 3.8%.” 17 June 2026. https://www.cnbc.com/2026/06/17/fed-interest-rate-decision-june-2026.html. Retrieved 18 June 2026.</w:t>
      </w:r>
    </w:p>
    <w:p w14:paraId="1BA5E06B" w14:textId="77777777" w:rsidR="00702B98" w:rsidRDefault="00702B98">
      <w:pPr>
        <w:pStyle w:val="ListParagraph"/>
        <w:numPr>
          <w:ilvl w:val="1"/>
          <w:numId w:val="2"/>
        </w:numPr>
        <w:spacing w:after="80" w:line="240" w:lineRule="auto"/>
        <w:jc w:val="both"/>
      </w:pPr>
      <w:r w:rsidRPr="00D91219">
        <w:rPr>
          <w:color w:val="000000"/>
        </w:rPr>
        <w:t>U.S. Bureau of Labor Statistics. “Consumer Price Index — May 2026.” 10 June 2026. https://www.bls.gov/news.release/cpi.nr0.htm. Retrieved 18 June 2026.</w:t>
      </w:r>
    </w:p>
    <w:p w14:paraId="459F3200" w14:textId="77777777" w:rsidR="00702B98" w:rsidRDefault="00702B98">
      <w:pPr>
        <w:pStyle w:val="ListParagraph"/>
        <w:numPr>
          <w:ilvl w:val="1"/>
          <w:numId w:val="2"/>
        </w:numPr>
        <w:spacing w:after="80" w:line="240" w:lineRule="auto"/>
        <w:jc w:val="both"/>
      </w:pPr>
      <w:r w:rsidRPr="00D91219">
        <w:rPr>
          <w:color w:val="000000"/>
        </w:rPr>
        <w:lastRenderedPageBreak/>
        <w:t>Élysée. “G7 leaders' statement on geopolitical issues.” 17 June 2026. https://www.elysee.fr/en/G7evian/2026/06/17/g7-leaders-statement-on-geopolitical-issues. Retrieved 18 June 2026.</w:t>
      </w:r>
    </w:p>
    <w:p w14:paraId="074E0EA2" w14:textId="77777777" w:rsidR="00702B98" w:rsidRDefault="00702B98">
      <w:pPr>
        <w:pStyle w:val="ListParagraph"/>
        <w:numPr>
          <w:ilvl w:val="1"/>
          <w:numId w:val="2"/>
        </w:numPr>
        <w:spacing w:after="80" w:line="240" w:lineRule="auto"/>
        <w:jc w:val="both"/>
      </w:pPr>
      <w:r w:rsidRPr="00D91219">
        <w:rPr>
          <w:color w:val="000000"/>
        </w:rPr>
        <w:t>CBC News. “NATO wants ‘credible’ spending plans from members at next month's summit.” June 2026. https://www.cbc.ca/news/politics/nato-spending-defence-canada-us-criticism-9.7239006. Retrieved 18 June 2026.</w:t>
      </w:r>
    </w:p>
    <w:p w14:paraId="58940E27" w14:textId="77777777" w:rsidR="00702B98" w:rsidRDefault="00702B98">
      <w:pPr>
        <w:pStyle w:val="ListParagraph"/>
        <w:numPr>
          <w:ilvl w:val="1"/>
          <w:numId w:val="2"/>
        </w:numPr>
        <w:spacing w:after="80" w:line="240" w:lineRule="auto"/>
        <w:jc w:val="both"/>
      </w:pPr>
      <w:r w:rsidRPr="00D91219">
        <w:rPr>
          <w:color w:val="000000"/>
        </w:rPr>
        <w:t>International Energy Agency. Oil Market Report — June 2026 (cf. World Oil summary, 17 June 2026). https://worldoil.com/news/2026/6/17/iea-cuts-2026-oil-demand-outlook-as-hormuz-reopening-nears/. Retrieved 18 June 2026.</w:t>
      </w:r>
    </w:p>
    <w:p w14:paraId="42EFDBF0" w14:textId="77777777" w:rsidR="00702B98" w:rsidRDefault="00702B98">
      <w:pPr>
        <w:pStyle w:val="ListParagraph"/>
        <w:numPr>
          <w:ilvl w:val="1"/>
          <w:numId w:val="2"/>
        </w:numPr>
        <w:spacing w:after="80" w:line="240" w:lineRule="auto"/>
        <w:jc w:val="both"/>
      </w:pPr>
      <w:r w:rsidRPr="00D91219">
        <w:rPr>
          <w:color w:val="000000"/>
        </w:rPr>
        <w:t>RFE-RL / Reuters. “Oil falls as US–Iran deal eases supply concerns; Strait reopening.” 17–18 June 2026. https://www.rferl.org/a/iran-war-us-hormuz-oil-blockade-gulf-israel/33640284.html. Retrieved 18 June 2026.</w:t>
      </w:r>
    </w:p>
    <w:p w14:paraId="06D56400" w14:textId="77777777" w:rsidR="00702B98" w:rsidRDefault="00702B98">
      <w:pPr>
        <w:pStyle w:val="ListParagraph"/>
        <w:numPr>
          <w:ilvl w:val="1"/>
          <w:numId w:val="2"/>
        </w:numPr>
        <w:spacing w:after="80" w:line="240" w:lineRule="auto"/>
        <w:jc w:val="both"/>
      </w:pPr>
      <w:r w:rsidRPr="00D91219">
        <w:rPr>
          <w:color w:val="000000"/>
        </w:rPr>
        <w:t>World Bank. Commodity Markets (“Pink Sheet”) — fertilizer/urea prices. June 2026. https://www.worldbank.org/en/research/commodity-markets. Retrieved 18 June 2026.</w:t>
      </w:r>
    </w:p>
    <w:p w14:paraId="436A175C" w14:textId="77777777" w:rsidR="00702B98" w:rsidRDefault="00702B98">
      <w:pPr>
        <w:pStyle w:val="ListParagraph"/>
        <w:numPr>
          <w:ilvl w:val="1"/>
          <w:numId w:val="2"/>
        </w:numPr>
        <w:spacing w:after="80" w:line="240" w:lineRule="auto"/>
        <w:jc w:val="both"/>
      </w:pPr>
      <w:r w:rsidRPr="00D91219">
        <w:rPr>
          <w:color w:val="000000"/>
        </w:rPr>
        <w:t>CoreWeave / Bloomberg. “CoreWeave prices euro and dollar bonds; euro book exceeds €7bn.” 11 June 2026. https://www.bloomberg.com/news/articles/2026-06-02/coreweave-tied-data-center-raises-900-million-in-junk-bond-sale. Retrieved 18 June 2026.</w:t>
      </w:r>
    </w:p>
    <w:p w14:paraId="580F0993" w14:textId="77777777" w:rsidR="00702B98" w:rsidRDefault="00702B98">
      <w:pPr>
        <w:pStyle w:val="ListParagraph"/>
        <w:numPr>
          <w:ilvl w:val="1"/>
          <w:numId w:val="2"/>
        </w:numPr>
        <w:spacing w:after="80" w:line="240" w:lineRule="auto"/>
        <w:jc w:val="both"/>
      </w:pPr>
      <w:r w:rsidRPr="00D91219">
        <w:rPr>
          <w:color w:val="000000"/>
        </w:rPr>
        <w:t>USTR / trade press (tier-flagged). “USTR releases Canada's ‘fix list’ ahead of CUSMA review.” June 2026. https://thedeepdive.ca/usmca-review-demands-canada-mexico/. Retrieved 18 June 2026.</w:t>
      </w:r>
    </w:p>
    <w:p w14:paraId="53EF2E7C" w14:textId="77777777" w:rsidR="00702B98" w:rsidRDefault="00702B98">
      <w:pPr>
        <w:pStyle w:val="ListParagraph"/>
        <w:numPr>
          <w:ilvl w:val="1"/>
          <w:numId w:val="2"/>
        </w:numPr>
        <w:spacing w:after="80" w:line="240" w:lineRule="auto"/>
        <w:jc w:val="both"/>
      </w:pPr>
      <w:r w:rsidRPr="00D91219">
        <w:rPr>
          <w:color w:val="000000"/>
        </w:rPr>
        <w:t>U.S. Department of the Treasury. Treasury International Capital (TIC) — April 2026 release, 18 June 2026. https://home.treasury.gov/data/treasury-international-capital-tic-system. Retrieved 18 June 2026.</w:t>
      </w:r>
    </w:p>
    <w:p w14:paraId="19D71BF9" w14:textId="77777777" w:rsidR="00702B98" w:rsidRDefault="00702B98">
      <w:pPr>
        <w:pStyle w:val="ListParagraph"/>
        <w:numPr>
          <w:ilvl w:val="1"/>
          <w:numId w:val="2"/>
        </w:numPr>
        <w:spacing w:after="80" w:line="240" w:lineRule="auto"/>
        <w:jc w:val="both"/>
      </w:pPr>
      <w:r w:rsidRPr="00D91219">
        <w:rPr>
          <w:color w:val="000000"/>
        </w:rPr>
        <w:t>FERC / press. “FERC to issue large-load interconnection guidance by end-June.” 18 June 2026. https://cryptobriefing.com/ferc-data-center-grid-connections-guidance/. Retrieved 18 June 2026.</w:t>
      </w:r>
    </w:p>
    <w:p w14:paraId="6C58D986" w14:textId="77777777" w:rsidR="00702B98" w:rsidRDefault="00702B98">
      <w:pPr>
        <w:pStyle w:val="ListParagraph"/>
        <w:numPr>
          <w:ilvl w:val="1"/>
          <w:numId w:val="2"/>
        </w:numPr>
        <w:spacing w:after="80" w:line="240" w:lineRule="auto"/>
        <w:jc w:val="both"/>
      </w:pPr>
      <w:r w:rsidRPr="00D91219">
        <w:rPr>
          <w:color w:val="000000"/>
        </w:rPr>
        <w:t>Finance Canada. CPP Investments appointment / domestic-investment engagement. June 2026. https://www.canada.ca/en/department-finance/news/2026/06/government-of-canada-announces-appointments-to-the-canada-pension-plan-investment-board-and-the-canadian-international-trade-tribunal.html. Retrieved 18 June 2026.</w:t>
      </w:r>
    </w:p>
    <w:p w14:paraId="279DE11E" w14:textId="77777777" w:rsidR="00702B98" w:rsidRDefault="00702B98">
      <w:pPr>
        <w:pStyle w:val="ListParagraph"/>
        <w:numPr>
          <w:ilvl w:val="1"/>
          <w:numId w:val="2"/>
        </w:numPr>
        <w:spacing w:after="80" w:line="240" w:lineRule="auto"/>
        <w:jc w:val="both"/>
      </w:pPr>
      <w:r w:rsidRPr="00D91219">
        <w:rPr>
          <w:color w:val="000000"/>
        </w:rPr>
        <w:t>Bank of England. “Bank Rate maintained at 3.75%.” 18 June 2026. https://www.bankofengland.co.uk/monetary-policy/the-interest-rate-bank-rate. Retrieved 18 June 2026.</w:t>
      </w:r>
    </w:p>
    <w:p w14:paraId="6ED203E7" w14:textId="77777777" w:rsidR="00702B98" w:rsidRDefault="00702B98" w:rsidP="00E73FFC">
      <w:pPr>
        <w:spacing w:after="80" w:line="240" w:lineRule="auto"/>
        <w:jc w:val="both"/>
      </w:pPr>
    </w:p>
    <w:sectPr w:rsidR="00702B98" w:rsidSect="00E72E8A">
      <w:headerReference w:type="even" r:id="rId11"/>
      <w:headerReference w:type="default" r:id="rId12"/>
      <w:footerReference w:type="even" r:id="rId13"/>
      <w:footerReference w:type="default" r:id="rId14"/>
      <w:headerReference w:type="first" r:id="rId15"/>
      <w:footerReference w:type="first" r:id="rId16"/>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01AB6" w14:textId="77777777" w:rsidR="00C260CB" w:rsidRDefault="00C260CB">
      <w:pPr>
        <w:spacing w:after="0" w:line="240" w:lineRule="auto"/>
      </w:pPr>
      <w:r>
        <w:separator/>
      </w:r>
    </w:p>
  </w:endnote>
  <w:endnote w:type="continuationSeparator" w:id="0">
    <w:p w14:paraId="4645A180" w14:textId="77777777" w:rsidR="00C260CB" w:rsidRDefault="00C260CB">
      <w:pPr>
        <w:spacing w:after="0" w:line="240" w:lineRule="auto"/>
      </w:pPr>
      <w:r>
        <w:continuationSeparator/>
      </w:r>
    </w:p>
  </w:endnote>
  <w:endnote w:type="continuationNotice" w:id="1">
    <w:p w14:paraId="6BC85D04" w14:textId="77777777" w:rsidR="00C260CB" w:rsidRDefault="00C260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yriad Pro">
    <w:altName w:val="Segoe UI"/>
    <w:panose1 w:val="020B0604020202020204"/>
    <w:charset w:val="00"/>
    <w:family w:val="swiss"/>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574E"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17F570D9" wp14:editId="3DF6EE01">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0098E709"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F570D9" id="_x0000_t202" coordsize="21600,21600" o:spt="202" path="m,l,21600r21600,l21600,xe">
              <v:stroke joinstyle="miter"/>
              <v:path gradientshapeok="t" o:connecttype="rect"/>
            </v:shapetype>
            <v:shape id="Text Box 6" o:spid="_x0000_s1026"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" filled="f" stroked="f">
              <v:textbox style="mso-fit-shape-to-text:t" inset="0,0,0,15pt">
                <w:txbxContent>
                  <w:p w14:paraId="0098E709"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7416"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4515668B" wp14:editId="610BB597">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3808F30B"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15668B" id="_x0000_t202" coordsize="21600,21600" o:spt="202" path="m,l,21600r21600,l21600,xe">
              <v:stroke joinstyle="miter"/>
              <v:path gradientshapeok="t" o:connecttype="rect"/>
            </v:shapetype>
            <v:shape id="Text Box 7" o:spid="_x0000_s1027"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" filled="f" stroked="f">
              <v:textbox style="mso-fit-shape-to-text:t" inset="0,0,0,15pt">
                <w:txbxContent>
                  <w:p w14:paraId="3808F30B"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47AE5346"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4916"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19424C8E" wp14:editId="1F7FB03D">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7E3B9B90"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424C8E" id="_x0000_t202" coordsize="21600,21600" o:spt="202" path="m,l,21600r21600,l21600,xe">
              <v:stroke joinstyle="miter"/>
              <v:path gradientshapeok="t" o:connecttype="rect"/>
            </v:shapetype>
            <v:shape id="Text Box 5" o:spid="_x0000_s1028"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" filled="f" stroked="f">
              <v:textbox style="mso-fit-shape-to-text:t" inset="0,0,0,15pt">
                <w:txbxContent>
                  <w:p w14:paraId="7E3B9B90"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1E09A969"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81D34" w14:textId="77777777" w:rsidR="00C260CB" w:rsidRDefault="00C260CB">
      <w:pPr>
        <w:spacing w:after="0" w:line="240" w:lineRule="auto"/>
      </w:pPr>
      <w:r>
        <w:separator/>
      </w:r>
    </w:p>
  </w:footnote>
  <w:footnote w:type="continuationSeparator" w:id="0">
    <w:p w14:paraId="2284B526" w14:textId="77777777" w:rsidR="00C260CB" w:rsidRDefault="00C260CB">
      <w:pPr>
        <w:spacing w:after="0" w:line="240" w:lineRule="auto"/>
      </w:pPr>
      <w:r>
        <w:continuationSeparator/>
      </w:r>
    </w:p>
  </w:footnote>
  <w:footnote w:type="continuationNotice" w:id="1">
    <w:p w14:paraId="4FE42CC9" w14:textId="77777777" w:rsidR="00C260CB" w:rsidRDefault="00C260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EDE4" w14:textId="77777777" w:rsidR="00A12D08" w:rsidRDefault="00F62204">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FDD8" w14:textId="77777777" w:rsidR="00A12D08" w:rsidRDefault="00F62204">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04B905E9" wp14:editId="49247DA8">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10;&#10;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47B9FEC4"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E456"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43973098"/>
    <w:multiLevelType w:val="hybridMultilevel"/>
    <w:tmpl w:val="630C3896"/>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3"/>
  </w:num>
  <w:num w:numId="2" w16cid:durableId="1567641997">
    <w:abstractNumId w:val="2"/>
  </w:num>
  <w:num w:numId="3" w16cid:durableId="1147865877">
    <w:abstractNumId w:val="0"/>
  </w:num>
  <w:num w:numId="4" w16cid:durableId="1221096720">
    <w:abstractNumId w:val="1"/>
  </w:num>
  <w:num w:numId="5" w16cid:durableId="143683047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C38"/>
    <w:rsid w:val="00020E06"/>
    <w:rsid w:val="00020EFD"/>
    <w:rsid w:val="00020F67"/>
    <w:rsid w:val="00020F7B"/>
    <w:rsid w:val="00020F92"/>
    <w:rsid w:val="000211BE"/>
    <w:rsid w:val="0002128B"/>
    <w:rsid w:val="000212A2"/>
    <w:rsid w:val="000212DA"/>
    <w:rsid w:val="0002130B"/>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7CC"/>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8E"/>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EC5"/>
    <w:rsid w:val="00115F04"/>
    <w:rsid w:val="00115F72"/>
    <w:rsid w:val="00115F74"/>
    <w:rsid w:val="00115FBD"/>
    <w:rsid w:val="00116011"/>
    <w:rsid w:val="00116048"/>
    <w:rsid w:val="00116234"/>
    <w:rsid w:val="00116349"/>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67"/>
    <w:rsid w:val="0014367F"/>
    <w:rsid w:val="001436CB"/>
    <w:rsid w:val="001437E1"/>
    <w:rsid w:val="001438A3"/>
    <w:rsid w:val="001439CE"/>
    <w:rsid w:val="00143A4E"/>
    <w:rsid w:val="00143B14"/>
    <w:rsid w:val="00143BAD"/>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BEE"/>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2A"/>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2BE"/>
    <w:rsid w:val="0025642E"/>
    <w:rsid w:val="00256603"/>
    <w:rsid w:val="002567E2"/>
    <w:rsid w:val="00256909"/>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4A2"/>
    <w:rsid w:val="0026451C"/>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4B2"/>
    <w:rsid w:val="002A6A7D"/>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F9"/>
    <w:rsid w:val="002B3B29"/>
    <w:rsid w:val="002B3B2C"/>
    <w:rsid w:val="002B3B7A"/>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E44"/>
    <w:rsid w:val="002C3F8F"/>
    <w:rsid w:val="002C3FB3"/>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D51"/>
    <w:rsid w:val="00361D91"/>
    <w:rsid w:val="00361E2E"/>
    <w:rsid w:val="00361E4E"/>
    <w:rsid w:val="00361E55"/>
    <w:rsid w:val="00361EC8"/>
    <w:rsid w:val="00361ED4"/>
    <w:rsid w:val="00362270"/>
    <w:rsid w:val="0036241B"/>
    <w:rsid w:val="0036241C"/>
    <w:rsid w:val="00362436"/>
    <w:rsid w:val="0036243F"/>
    <w:rsid w:val="003625C4"/>
    <w:rsid w:val="003625CF"/>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6390"/>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5E"/>
    <w:rsid w:val="003C697B"/>
    <w:rsid w:val="003C6995"/>
    <w:rsid w:val="003C69E4"/>
    <w:rsid w:val="003C6A20"/>
    <w:rsid w:val="003C6A77"/>
    <w:rsid w:val="003C6AF7"/>
    <w:rsid w:val="003C6B06"/>
    <w:rsid w:val="003C6B12"/>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7A3"/>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D"/>
    <w:rsid w:val="00407837"/>
    <w:rsid w:val="004078A1"/>
    <w:rsid w:val="0040792F"/>
    <w:rsid w:val="00407A28"/>
    <w:rsid w:val="00407B36"/>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64"/>
    <w:rsid w:val="00416295"/>
    <w:rsid w:val="004162E1"/>
    <w:rsid w:val="00416359"/>
    <w:rsid w:val="0041664D"/>
    <w:rsid w:val="0041668E"/>
    <w:rsid w:val="00416720"/>
    <w:rsid w:val="00416752"/>
    <w:rsid w:val="00416766"/>
    <w:rsid w:val="00416946"/>
    <w:rsid w:val="00416AAD"/>
    <w:rsid w:val="00416C42"/>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A7"/>
    <w:rsid w:val="00610103"/>
    <w:rsid w:val="0061023B"/>
    <w:rsid w:val="006102CC"/>
    <w:rsid w:val="006105F2"/>
    <w:rsid w:val="00610618"/>
    <w:rsid w:val="00610684"/>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A13"/>
    <w:rsid w:val="00625B35"/>
    <w:rsid w:val="00625B7E"/>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65"/>
    <w:rsid w:val="00633BB3"/>
    <w:rsid w:val="00633CFC"/>
    <w:rsid w:val="00633EA3"/>
    <w:rsid w:val="00633EFE"/>
    <w:rsid w:val="00633F6D"/>
    <w:rsid w:val="00633FB9"/>
    <w:rsid w:val="00633FD7"/>
    <w:rsid w:val="006340A7"/>
    <w:rsid w:val="006340C5"/>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4CE"/>
    <w:rsid w:val="006A2641"/>
    <w:rsid w:val="006A293F"/>
    <w:rsid w:val="006A2A2A"/>
    <w:rsid w:val="006A2B2D"/>
    <w:rsid w:val="006A2C7A"/>
    <w:rsid w:val="006A2E0F"/>
    <w:rsid w:val="006A2FD9"/>
    <w:rsid w:val="006A3034"/>
    <w:rsid w:val="006A310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20B0"/>
    <w:rsid w:val="006C20B8"/>
    <w:rsid w:val="006C210D"/>
    <w:rsid w:val="006C2112"/>
    <w:rsid w:val="006C2157"/>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27"/>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AB8"/>
    <w:rsid w:val="006F5ADC"/>
    <w:rsid w:val="006F5AE4"/>
    <w:rsid w:val="006F5B19"/>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6F"/>
    <w:rsid w:val="00721172"/>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1E8"/>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780"/>
    <w:rsid w:val="00817820"/>
    <w:rsid w:val="008178F4"/>
    <w:rsid w:val="00817AA0"/>
    <w:rsid w:val="00817C52"/>
    <w:rsid w:val="00817C8C"/>
    <w:rsid w:val="00817D3D"/>
    <w:rsid w:val="00817E96"/>
    <w:rsid w:val="00817F30"/>
    <w:rsid w:val="0082002B"/>
    <w:rsid w:val="00820096"/>
    <w:rsid w:val="008200F3"/>
    <w:rsid w:val="00820312"/>
    <w:rsid w:val="00820546"/>
    <w:rsid w:val="0082056F"/>
    <w:rsid w:val="00820683"/>
    <w:rsid w:val="0082069D"/>
    <w:rsid w:val="008207D6"/>
    <w:rsid w:val="00820977"/>
    <w:rsid w:val="00820BD0"/>
    <w:rsid w:val="00820C39"/>
    <w:rsid w:val="00820D68"/>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9E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7E"/>
    <w:rsid w:val="00873A1C"/>
    <w:rsid w:val="00873AE1"/>
    <w:rsid w:val="00873BFE"/>
    <w:rsid w:val="00873C24"/>
    <w:rsid w:val="00873C3D"/>
    <w:rsid w:val="00873DEC"/>
    <w:rsid w:val="00873EE0"/>
    <w:rsid w:val="00873F47"/>
    <w:rsid w:val="00873FF9"/>
    <w:rsid w:val="00874025"/>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6B"/>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F0"/>
    <w:rsid w:val="008D6CE4"/>
    <w:rsid w:val="008D6CFE"/>
    <w:rsid w:val="008D6D2F"/>
    <w:rsid w:val="008D6D57"/>
    <w:rsid w:val="008D6E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977"/>
    <w:rsid w:val="009169A2"/>
    <w:rsid w:val="00916B3E"/>
    <w:rsid w:val="00916D74"/>
    <w:rsid w:val="00916E8B"/>
    <w:rsid w:val="00916EC6"/>
    <w:rsid w:val="00916F4F"/>
    <w:rsid w:val="00916F5B"/>
    <w:rsid w:val="00916FC9"/>
    <w:rsid w:val="0091711B"/>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A8C"/>
    <w:rsid w:val="00927C25"/>
    <w:rsid w:val="00927DA7"/>
    <w:rsid w:val="00927EFF"/>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625"/>
    <w:rsid w:val="00945699"/>
    <w:rsid w:val="0094598C"/>
    <w:rsid w:val="009459B0"/>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E4"/>
    <w:rsid w:val="00986D3C"/>
    <w:rsid w:val="00987068"/>
    <w:rsid w:val="0098712D"/>
    <w:rsid w:val="0098719F"/>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868"/>
    <w:rsid w:val="009908C7"/>
    <w:rsid w:val="00990BF2"/>
    <w:rsid w:val="00990C30"/>
    <w:rsid w:val="00990E1E"/>
    <w:rsid w:val="00990E46"/>
    <w:rsid w:val="00990E80"/>
    <w:rsid w:val="00991148"/>
    <w:rsid w:val="009911F4"/>
    <w:rsid w:val="009912F7"/>
    <w:rsid w:val="00991378"/>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8D"/>
    <w:rsid w:val="009B226F"/>
    <w:rsid w:val="009B242C"/>
    <w:rsid w:val="009B2479"/>
    <w:rsid w:val="009B260E"/>
    <w:rsid w:val="009B2641"/>
    <w:rsid w:val="009B26CB"/>
    <w:rsid w:val="009B26E4"/>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AE"/>
    <w:rsid w:val="009D33E8"/>
    <w:rsid w:val="009D368D"/>
    <w:rsid w:val="009D38E0"/>
    <w:rsid w:val="009D3951"/>
    <w:rsid w:val="009D3ADF"/>
    <w:rsid w:val="009D3B97"/>
    <w:rsid w:val="009D3E52"/>
    <w:rsid w:val="009D3F34"/>
    <w:rsid w:val="009D3F79"/>
    <w:rsid w:val="009D3F80"/>
    <w:rsid w:val="009D400E"/>
    <w:rsid w:val="009D40EB"/>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A11"/>
    <w:rsid w:val="009D6A9F"/>
    <w:rsid w:val="009D6C0E"/>
    <w:rsid w:val="009D6C2C"/>
    <w:rsid w:val="009D6C57"/>
    <w:rsid w:val="009D6E8B"/>
    <w:rsid w:val="009D6E9D"/>
    <w:rsid w:val="009D6EE5"/>
    <w:rsid w:val="009D7136"/>
    <w:rsid w:val="009D7200"/>
    <w:rsid w:val="009D72F9"/>
    <w:rsid w:val="009D7372"/>
    <w:rsid w:val="009D7409"/>
    <w:rsid w:val="009D754C"/>
    <w:rsid w:val="009D7602"/>
    <w:rsid w:val="009D76BB"/>
    <w:rsid w:val="009D78A8"/>
    <w:rsid w:val="009D78E2"/>
    <w:rsid w:val="009D7AD5"/>
    <w:rsid w:val="009D7BAA"/>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137"/>
    <w:rsid w:val="009E6158"/>
    <w:rsid w:val="009E6190"/>
    <w:rsid w:val="009E621B"/>
    <w:rsid w:val="009E6249"/>
    <w:rsid w:val="009E62CE"/>
    <w:rsid w:val="009E64A9"/>
    <w:rsid w:val="009E6517"/>
    <w:rsid w:val="009E65AF"/>
    <w:rsid w:val="009E65D4"/>
    <w:rsid w:val="009E6602"/>
    <w:rsid w:val="009E66BB"/>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4319"/>
    <w:rsid w:val="00AF4486"/>
    <w:rsid w:val="00AF44B1"/>
    <w:rsid w:val="00AF44B3"/>
    <w:rsid w:val="00AF4591"/>
    <w:rsid w:val="00AF45E2"/>
    <w:rsid w:val="00AF45EC"/>
    <w:rsid w:val="00AF4859"/>
    <w:rsid w:val="00AF48A1"/>
    <w:rsid w:val="00AF4950"/>
    <w:rsid w:val="00AF4B1A"/>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25D"/>
    <w:rsid w:val="00B27292"/>
    <w:rsid w:val="00B2734F"/>
    <w:rsid w:val="00B2736D"/>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545"/>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174"/>
    <w:rsid w:val="00BA01BC"/>
    <w:rsid w:val="00BA0453"/>
    <w:rsid w:val="00BA04F2"/>
    <w:rsid w:val="00BA05B9"/>
    <w:rsid w:val="00BA0606"/>
    <w:rsid w:val="00BA063F"/>
    <w:rsid w:val="00BA06A4"/>
    <w:rsid w:val="00BA06BE"/>
    <w:rsid w:val="00BA081A"/>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64"/>
    <w:rsid w:val="00C149A7"/>
    <w:rsid w:val="00C14B6B"/>
    <w:rsid w:val="00C14BCF"/>
    <w:rsid w:val="00C14D0F"/>
    <w:rsid w:val="00C14D73"/>
    <w:rsid w:val="00C14E74"/>
    <w:rsid w:val="00C15035"/>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D7"/>
    <w:rsid w:val="00C82BDE"/>
    <w:rsid w:val="00C82C5D"/>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BB"/>
    <w:rsid w:val="00C872E8"/>
    <w:rsid w:val="00C87497"/>
    <w:rsid w:val="00C874AE"/>
    <w:rsid w:val="00C87515"/>
    <w:rsid w:val="00C87567"/>
    <w:rsid w:val="00C875C1"/>
    <w:rsid w:val="00C87640"/>
    <w:rsid w:val="00C87EE4"/>
    <w:rsid w:val="00C87EFA"/>
    <w:rsid w:val="00C87F16"/>
    <w:rsid w:val="00C87F82"/>
    <w:rsid w:val="00C87FE1"/>
    <w:rsid w:val="00C87FF5"/>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D4"/>
    <w:rsid w:val="00CC689C"/>
    <w:rsid w:val="00CC6901"/>
    <w:rsid w:val="00CC6991"/>
    <w:rsid w:val="00CC6A8E"/>
    <w:rsid w:val="00CC6A9D"/>
    <w:rsid w:val="00CC6DAA"/>
    <w:rsid w:val="00CC6DFB"/>
    <w:rsid w:val="00CC6E40"/>
    <w:rsid w:val="00CC6E6E"/>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B7"/>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6097"/>
    <w:rsid w:val="00D263DD"/>
    <w:rsid w:val="00D2648A"/>
    <w:rsid w:val="00D264E6"/>
    <w:rsid w:val="00D266AE"/>
    <w:rsid w:val="00D26718"/>
    <w:rsid w:val="00D2679B"/>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B35"/>
    <w:rsid w:val="00D33B40"/>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311"/>
    <w:rsid w:val="00DA7318"/>
    <w:rsid w:val="00DA7336"/>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8BD"/>
    <w:rsid w:val="00DE7AD0"/>
    <w:rsid w:val="00DE7E4F"/>
    <w:rsid w:val="00DF001A"/>
    <w:rsid w:val="00DF001E"/>
    <w:rsid w:val="00DF01E1"/>
    <w:rsid w:val="00DF0236"/>
    <w:rsid w:val="00DF0271"/>
    <w:rsid w:val="00DF03C8"/>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BEC"/>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CC"/>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E1"/>
    <w:rsid w:val="00E11D31"/>
    <w:rsid w:val="00E11D74"/>
    <w:rsid w:val="00E11E94"/>
    <w:rsid w:val="00E11F4E"/>
    <w:rsid w:val="00E11F71"/>
    <w:rsid w:val="00E11F7E"/>
    <w:rsid w:val="00E120BE"/>
    <w:rsid w:val="00E1222A"/>
    <w:rsid w:val="00E122C6"/>
    <w:rsid w:val="00E122CA"/>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9E"/>
    <w:rsid w:val="00E765B5"/>
    <w:rsid w:val="00E766DE"/>
    <w:rsid w:val="00E76771"/>
    <w:rsid w:val="00E76836"/>
    <w:rsid w:val="00E76AF1"/>
    <w:rsid w:val="00E76BCB"/>
    <w:rsid w:val="00E76CF2"/>
    <w:rsid w:val="00E76F6D"/>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C1"/>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70"/>
    <w:rsid w:val="00EB324A"/>
    <w:rsid w:val="00EB32AA"/>
    <w:rsid w:val="00EB32AF"/>
    <w:rsid w:val="00EB32C5"/>
    <w:rsid w:val="00EB3312"/>
    <w:rsid w:val="00EB33D4"/>
    <w:rsid w:val="00EB3521"/>
    <w:rsid w:val="00EB3799"/>
    <w:rsid w:val="00EB3936"/>
    <w:rsid w:val="00EB395A"/>
    <w:rsid w:val="00EB3986"/>
    <w:rsid w:val="00EB3B4E"/>
    <w:rsid w:val="00EB3BB8"/>
    <w:rsid w:val="00EB3CF2"/>
    <w:rsid w:val="00EB3D95"/>
    <w:rsid w:val="00EB3E11"/>
    <w:rsid w:val="00EB3E68"/>
    <w:rsid w:val="00EB3EB5"/>
    <w:rsid w:val="00EB3FB9"/>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CD"/>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3BA2"/>
    <w:rsid w:val="00EE4105"/>
    <w:rsid w:val="00EE4226"/>
    <w:rsid w:val="00EE424D"/>
    <w:rsid w:val="00EE4324"/>
    <w:rsid w:val="00EE4343"/>
    <w:rsid w:val="00EE43AE"/>
    <w:rsid w:val="00EE4441"/>
    <w:rsid w:val="00EE449F"/>
    <w:rsid w:val="00EE4602"/>
    <w:rsid w:val="00EE480D"/>
    <w:rsid w:val="00EE4881"/>
    <w:rsid w:val="00EE49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74F"/>
    <w:rsid w:val="00EF090D"/>
    <w:rsid w:val="00EF0916"/>
    <w:rsid w:val="00EF0995"/>
    <w:rsid w:val="00EF0A23"/>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04"/>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52B"/>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54"/>
    <w:rsid w:val="00FA65FF"/>
    <w:rsid w:val="00FA66D6"/>
    <w:rsid w:val="00FA6991"/>
    <w:rsid w:val="00FA69BF"/>
    <w:rsid w:val="00FA6A07"/>
    <w:rsid w:val="00FA6A3E"/>
    <w:rsid w:val="00FA6B4D"/>
    <w:rsid w:val="00FA6B6B"/>
    <w:rsid w:val="00FA6B75"/>
    <w:rsid w:val="00FA6BB3"/>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3E"/>
    <w:rsid w:val="00FD3069"/>
    <w:rsid w:val="00FD30BE"/>
    <w:rsid w:val="00FD32DF"/>
    <w:rsid w:val="00FD337D"/>
    <w:rsid w:val="00FD3560"/>
    <w:rsid w:val="00FD3588"/>
    <w:rsid w:val="00FD36D3"/>
    <w:rsid w:val="00FD372C"/>
    <w:rsid w:val="00FD3769"/>
    <w:rsid w:val="00FD383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51F5A2"/>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232CC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0EAF1"/>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AEF448E14337A4DB0DE109DDC4F9896" ma:contentTypeVersion="5" ma:contentTypeDescription="Create a new document." ma:contentTypeScope="" ma:versionID="9e7e2db1ccac4abb5f9dcdac759ee267">
  <xsd:schema xmlns:xsd="http://www.w3.org/2001/XMLSchema" xmlns:xs="http://www.w3.org/2001/XMLSchema" xmlns:p="http://schemas.microsoft.com/office/2006/metadata/properties" xmlns:ns1="http://schemas.microsoft.com/sharepoint/v3" xmlns:ns2="ebe716c9-5f5c-4bc5-af4f-8ea2c4884a60" targetNamespace="http://schemas.microsoft.com/office/2006/metadata/properties" ma:root="true" ma:fieldsID="3f7e64048fa089f9e37797fb77672fbd" ns1:_="" ns2:_="">
    <xsd:import namespace="http://schemas.microsoft.com/sharepoint/v3"/>
    <xsd:import namespace="ebe716c9-5f5c-4bc5-af4f-8ea2c4884a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e716c9-5f5c-4bc5-af4f-8ea2c4884a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AC8D34-3B1C-4BED-8B94-26A96BC8EE3B}">
  <ds:schemaRefs>
    <ds:schemaRef ds:uri="http://schemas.microsoft.com/sharepoint/v3/contenttype/forms"/>
  </ds:schemaRefs>
</ds:datastoreItem>
</file>

<file path=customXml/itemProps2.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4.xml><?xml version="1.0" encoding="utf-8"?>
<ds:datastoreItem xmlns:ds="http://schemas.openxmlformats.org/officeDocument/2006/customXml" ds:itemID="{2F15CC40-1F6C-4256-B186-06E9D9208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e716c9-5f5c-4bc5-af4f-8ea2c4884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2939</Words>
  <Characters>17926</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20824</CharactersWithSpaces>
  <SharedDoc>false</SharedDoc>
  <HLinks>
    <vt:vector size="402" baseType="variant">
      <vt:variant>
        <vt:i4>262148</vt:i4>
      </vt:variant>
      <vt:variant>
        <vt:i4>207</vt:i4>
      </vt:variant>
      <vt:variant>
        <vt:i4>0</vt:i4>
      </vt:variant>
      <vt:variant>
        <vt:i4>5</vt:i4>
      </vt:variant>
      <vt:variant>
        <vt:lpwstr>https://www.ishares.com/us/products/239741/ishares-global-energy-etf</vt:lpwstr>
      </vt:variant>
      <vt:variant>
        <vt:lpwstr/>
      </vt:variant>
      <vt:variant>
        <vt:i4>2949227</vt:i4>
      </vt:variant>
      <vt:variant>
        <vt:i4>204</vt:i4>
      </vt:variant>
      <vt:variant>
        <vt:i4>0</vt:i4>
      </vt:variant>
      <vt:variant>
        <vt:i4>5</vt:i4>
      </vt:variant>
      <vt:variant>
        <vt:lpwstr>https://www.ishares.com/us/products/239738/ishares-global-clean-energy-etf</vt:lpwstr>
      </vt:variant>
      <vt:variant>
        <vt:lpwstr/>
      </vt:variant>
      <vt:variant>
        <vt:i4>5701643</vt:i4>
      </vt:variant>
      <vt:variant>
        <vt:i4>201</vt:i4>
      </vt:variant>
      <vt:variant>
        <vt:i4>0</vt:i4>
      </vt:variant>
      <vt:variant>
        <vt:i4>5</vt:i4>
      </vt:variant>
      <vt:variant>
        <vt:lpwstr>https://budgetlab.yale.edu/research/long-term-impacts-one-big-beautiful-bill-act-enacted-july-4-2025</vt:lpwstr>
      </vt:variant>
      <vt:variant>
        <vt:lpwstr/>
      </vt:variant>
      <vt:variant>
        <vt:i4>2556022</vt:i4>
      </vt:variant>
      <vt:variant>
        <vt:i4>198</vt:i4>
      </vt:variant>
      <vt:variant>
        <vt:i4>0</vt:i4>
      </vt:variant>
      <vt:variant>
        <vt:i4>5</vt:i4>
      </vt:variant>
      <vt:variant>
        <vt:lpwstr>https://www.gold.org/goldhub/data/gold-reserves-by-country</vt:lpwstr>
      </vt:variant>
      <vt:variant>
        <vt:lpwstr/>
      </vt:variant>
      <vt:variant>
        <vt:i4>5701657</vt:i4>
      </vt:variant>
      <vt:variant>
        <vt:i4>195</vt:i4>
      </vt:variant>
      <vt:variant>
        <vt:i4>0</vt:i4>
      </vt:variant>
      <vt:variant>
        <vt:i4>5</vt:i4>
      </vt:variant>
      <vt:variant>
        <vt:lpwstr>https://www.worldbank.org/en/news/press-release/2026/04/28/commodity-markets-outlook-april-2026-press-release</vt:lpwstr>
      </vt:variant>
      <vt:variant>
        <vt:lpwstr/>
      </vt:variant>
      <vt:variant>
        <vt:i4>1179719</vt:i4>
      </vt:variant>
      <vt:variant>
        <vt:i4>192</vt:i4>
      </vt:variant>
      <vt:variant>
        <vt:i4>0</vt:i4>
      </vt:variant>
      <vt:variant>
        <vt:i4>5</vt:i4>
      </vt:variant>
      <vt:variant>
        <vt:lpwstr>https://blogs.worldbank.org/en/opendata/fertilizer-prices-surge-as-strait-of-hormuz-disruptions-tighten-</vt:lpwstr>
      </vt:variant>
      <vt:variant>
        <vt:lpwstr/>
      </vt:variant>
      <vt:variant>
        <vt:i4>1179658</vt:i4>
      </vt:variant>
      <vt:variant>
        <vt:i4>189</vt:i4>
      </vt:variant>
      <vt:variant>
        <vt:i4>0</vt:i4>
      </vt:variant>
      <vt:variant>
        <vt:i4>5</vt:i4>
      </vt:variant>
      <vt:variant>
        <vt:lpwstr>https://www.whitehouse.gov/wp-content/uploads/2026/04/ERP-2026-1.-The-Economic-and-Fiscal-Benefits-of-the-One-Big-Beautiful-Bill-Act.pdf</vt:lpwstr>
      </vt:variant>
      <vt:variant>
        <vt:lpwstr/>
      </vt:variant>
      <vt:variant>
        <vt:i4>4718598</vt:i4>
      </vt:variant>
      <vt:variant>
        <vt:i4>186</vt:i4>
      </vt:variant>
      <vt:variant>
        <vt:i4>0</vt:i4>
      </vt:variant>
      <vt:variant>
        <vt:i4>5</vt:i4>
      </vt:variant>
      <vt:variant>
        <vt:lpwstr>https://ticdata.treasury.gov/</vt:lpwstr>
      </vt:variant>
      <vt:variant>
        <vt:lpwstr/>
      </vt:variant>
      <vt:variant>
        <vt:i4>2883636</vt:i4>
      </vt:variant>
      <vt:variant>
        <vt:i4>183</vt:i4>
      </vt:variant>
      <vt:variant>
        <vt:i4>0</vt:i4>
      </vt:variant>
      <vt:variant>
        <vt:i4>5</vt:i4>
      </vt:variant>
      <vt:variant>
        <vt:lpwstr>https://fiscaldata.treasury.gov/datasets/monthly-statement-public-debt/</vt:lpwstr>
      </vt:variant>
      <vt:variant>
        <vt:lpwstr/>
      </vt:variant>
      <vt:variant>
        <vt:i4>6094943</vt:i4>
      </vt:variant>
      <vt:variant>
        <vt:i4>180</vt:i4>
      </vt:variant>
      <vt:variant>
        <vt:i4>0</vt:i4>
      </vt:variant>
      <vt:variant>
        <vt:i4>5</vt:i4>
      </vt:variant>
      <vt:variant>
        <vt:lpwstr>https://www.census.gov/foreign-trade/data/index.html</vt:lpwstr>
      </vt:variant>
      <vt:variant>
        <vt:lpwstr/>
      </vt:variant>
      <vt:variant>
        <vt:i4>5505100</vt:i4>
      </vt:variant>
      <vt:variant>
        <vt:i4>177</vt:i4>
      </vt:variant>
      <vt:variant>
        <vt:i4>0</vt:i4>
      </vt:variant>
      <vt:variant>
        <vt:i4>5</vt:i4>
      </vt:variant>
      <vt:variant>
        <vt:lpwstr>https://www150.statcan.gc.ca/n1/en/type/data</vt:lpwstr>
      </vt:variant>
      <vt:variant>
        <vt:lpwstr/>
      </vt:variant>
      <vt:variant>
        <vt:i4>65625</vt:i4>
      </vt:variant>
      <vt:variant>
        <vt:i4>174</vt:i4>
      </vt:variant>
      <vt:variant>
        <vt:i4>0</vt:i4>
      </vt:variant>
      <vt:variant>
        <vt:i4>5</vt:i4>
      </vt:variant>
      <vt:variant>
        <vt:lpwstr>https://www.swift.com/swift-resource/252521/download</vt:lpwstr>
      </vt:variant>
      <vt:variant>
        <vt:lpwstr/>
      </vt:variant>
      <vt:variant>
        <vt:i4>2162734</vt:i4>
      </vt:variant>
      <vt:variant>
        <vt:i4>171</vt:i4>
      </vt:variant>
      <vt:variant>
        <vt:i4>0</vt:i4>
      </vt:variant>
      <vt:variant>
        <vt:i4>5</vt:i4>
      </vt:variant>
      <vt:variant>
        <vt:lpwstr>https://stoxx.com/index/sxparo/</vt:lpwstr>
      </vt:variant>
      <vt:variant>
        <vt:lpwstr/>
      </vt:variant>
      <vt:variant>
        <vt:i4>5177422</vt:i4>
      </vt:variant>
      <vt:variant>
        <vt:i4>168</vt:i4>
      </vt:variant>
      <vt:variant>
        <vt:i4>0</vt:i4>
      </vt:variant>
      <vt:variant>
        <vt:i4>5</vt:i4>
      </vt:variant>
      <vt:variant>
        <vt:lpwstr>https://www.sipri.org/sites/default/files/2026-04/2604_milex_2025.pdf</vt:lpwstr>
      </vt:variant>
      <vt:variant>
        <vt:lpwstr/>
      </vt:variant>
      <vt:variant>
        <vt:i4>851994</vt:i4>
      </vt:variant>
      <vt:variant>
        <vt:i4>165</vt:i4>
      </vt:variant>
      <vt:variant>
        <vt:i4>0</vt:i4>
      </vt:variant>
      <vt:variant>
        <vt:i4>5</vt:i4>
      </vt:variant>
      <vt:variant>
        <vt:lpwstr>https://www.spglobal.com/en/research-insights/special-reports/copper-in-the-age-of-ai</vt:lpwstr>
      </vt:variant>
      <vt:variant>
        <vt:lpwstr/>
      </vt:variant>
      <vt:variant>
        <vt:i4>2424947</vt:i4>
      </vt:variant>
      <vt:variant>
        <vt:i4>162</vt:i4>
      </vt:variant>
      <vt:variant>
        <vt:i4>0</vt:i4>
      </vt:variant>
      <vt:variant>
        <vt:i4>5</vt:i4>
      </vt:variant>
      <vt:variant>
        <vt:lpwstr>https://www.reuters.com/business/france-secures-93-billion-investment-pledges-choose-france-summit-2026-06-01/</vt:lpwstr>
      </vt:variant>
      <vt:variant>
        <vt:lpwstr/>
      </vt:variant>
      <vt:variant>
        <vt:i4>4915289</vt:i4>
      </vt:variant>
      <vt:variant>
        <vt:i4>159</vt:i4>
      </vt:variant>
      <vt:variant>
        <vt:i4>0</vt:i4>
      </vt:variant>
      <vt:variant>
        <vt:i4>5</vt:i4>
      </vt:variant>
      <vt:variant>
        <vt:lpwstr>https://www.canada.ca/en/privy-council/major-projects-office.html</vt:lpwstr>
      </vt:variant>
      <vt:variant>
        <vt:lpwstr/>
      </vt:variant>
      <vt:variant>
        <vt:i4>8323155</vt:i4>
      </vt:variant>
      <vt:variant>
        <vt:i4>156</vt:i4>
      </vt:variant>
      <vt:variant>
        <vt:i4>0</vt:i4>
      </vt:variant>
      <vt:variant>
        <vt:i4>5</vt:i4>
      </vt:variant>
      <vt:variant>
        <vt:lpwstr>https://www.investpsp.com/media/filer_public/03-our-performance/annual-report-2025/pdf/PSP-2025-annual-report-en.pdf</vt:lpwstr>
      </vt:variant>
      <vt:variant>
        <vt:lpwstr/>
      </vt:variant>
      <vt:variant>
        <vt:i4>6750259</vt:i4>
      </vt:variant>
      <vt:variant>
        <vt:i4>153</vt:i4>
      </vt:variant>
      <vt:variant>
        <vt:i4>0</vt:i4>
      </vt:variant>
      <vt:variant>
        <vt:i4>5</vt:i4>
      </vt:variant>
      <vt:variant>
        <vt:lpwstr>https://www.opg.com/projects-services/projects/darlington-new-nuclear-project/</vt:lpwstr>
      </vt:variant>
      <vt:variant>
        <vt:lpwstr/>
      </vt:variant>
      <vt:variant>
        <vt:i4>8257650</vt:i4>
      </vt:variant>
      <vt:variant>
        <vt:i4>150</vt:i4>
      </vt:variant>
      <vt:variant>
        <vt:i4>0</vt:i4>
      </vt:variant>
      <vt:variant>
        <vt:i4>5</vt:i4>
      </vt:variant>
      <vt:variant>
        <vt:lpwstr>https://www.otpp.com/content/dam/otpp/documents/reports/2025-ar/otpp-2025-annual-report-eng.pdf</vt:lpwstr>
      </vt:variant>
      <vt:variant>
        <vt:lpwstr/>
      </vt:variant>
      <vt:variant>
        <vt:i4>655395</vt:i4>
      </vt:variant>
      <vt:variant>
        <vt:i4>147</vt:i4>
      </vt:variant>
      <vt:variant>
        <vt:i4>0</vt:i4>
      </vt:variant>
      <vt:variant>
        <vt:i4>5</vt:i4>
      </vt:variant>
      <vt:variant>
        <vt:lpwstr>https://assets.ctfassets.net/pd2hba9bk697/6KTSwKViQGy1D6gxgUzK7r/ac2fb197f6179214a6df11f7965c3cef/2025_Funded_Status_Report.pdf</vt:lpwstr>
      </vt:variant>
      <vt:variant>
        <vt:lpwstr/>
      </vt:variant>
      <vt:variant>
        <vt:i4>4456507</vt:i4>
      </vt:variant>
      <vt:variant>
        <vt:i4>144</vt:i4>
      </vt:variant>
      <vt:variant>
        <vt:i4>0</vt:i4>
      </vt:variant>
      <vt:variant>
        <vt:i4>5</vt:i4>
      </vt:variant>
      <vt:variant>
        <vt:lpwstr>https://www.oecd.org/en/publications/oecd-economic-outlook-interim-report-march-2026_d4623013-en.html</vt:lpwstr>
      </vt:variant>
      <vt:variant>
        <vt:lpwstr/>
      </vt:variant>
      <vt:variant>
        <vt:i4>7798819</vt:i4>
      </vt:variant>
      <vt:variant>
        <vt:i4>141</vt:i4>
      </vt:variant>
      <vt:variant>
        <vt:i4>0</vt:i4>
      </vt:variant>
      <vt:variant>
        <vt:i4>5</vt:i4>
      </vt:variant>
      <vt:variant>
        <vt:lpwstr>https://www.canada.ca/en/natural-resources-canada/news/2026/03/government-of-canada-invests-to-unlock-canadas-critical-minerals-advantage.html</vt:lpwstr>
      </vt:variant>
      <vt:variant>
        <vt:lpwstr/>
      </vt:variant>
      <vt:variant>
        <vt:i4>5373977</vt:i4>
      </vt:variant>
      <vt:variant>
        <vt:i4>138</vt:i4>
      </vt:variant>
      <vt:variant>
        <vt:i4>0</vt:i4>
      </vt:variant>
      <vt:variant>
        <vt:i4>5</vt:i4>
      </vt:variant>
      <vt:variant>
        <vt:lpwstr>https://www.nato.int/en/about-us/official-texts-and-resources/official-texts/2025/06/25/the-hague-summit-declaration</vt:lpwstr>
      </vt:variant>
      <vt:variant>
        <vt:lpwstr/>
      </vt:variant>
      <vt:variant>
        <vt:i4>4325443</vt:i4>
      </vt:variant>
      <vt:variant>
        <vt:i4>135</vt:i4>
      </vt:variant>
      <vt:variant>
        <vt:i4>0</vt:i4>
      </vt:variant>
      <vt:variant>
        <vt:i4>5</vt:i4>
      </vt:variant>
      <vt:variant>
        <vt:lpwstr>https://www.nato.int/content/dam/nato/webready/documents/finance/def-exp-2025-en.pdf</vt:lpwstr>
      </vt:variant>
      <vt:variant>
        <vt:lpwstr/>
      </vt:variant>
      <vt:variant>
        <vt:i4>6488136</vt:i4>
      </vt:variant>
      <vt:variant>
        <vt:i4>132</vt:i4>
      </vt:variant>
      <vt:variant>
        <vt:i4>0</vt:i4>
      </vt:variant>
      <vt:variant>
        <vt:i4>5</vt:i4>
      </vt:variant>
      <vt:variant>
        <vt:lpwstr>https://www.lacaisse.com/sites/default/files/medias/pdf/en/ra/2025_lacaisse_annual_report.pdf</vt:lpwstr>
      </vt:variant>
      <vt:variant>
        <vt:lpwstr/>
      </vt:variant>
      <vt:variant>
        <vt:i4>73</vt:i4>
      </vt:variant>
      <vt:variant>
        <vt:i4>129</vt:i4>
      </vt:variant>
      <vt:variant>
        <vt:i4>0</vt:i4>
      </vt:variant>
      <vt:variant>
        <vt:i4>5</vt:i4>
      </vt:variant>
      <vt:variant>
        <vt:lpwstr>https://www.lngcanada.ca/</vt:lpwstr>
      </vt:variant>
      <vt:variant>
        <vt:lpwstr/>
      </vt:variant>
      <vt:variant>
        <vt:i4>4980766</vt:i4>
      </vt:variant>
      <vt:variant>
        <vt:i4>126</vt:i4>
      </vt:variant>
      <vt:variant>
        <vt:i4>0</vt:i4>
      </vt:variant>
      <vt:variant>
        <vt:i4>5</vt:i4>
      </vt:variant>
      <vt:variant>
        <vt:lpwstr>https://www.ksilisimslng.com/</vt:lpwstr>
      </vt:variant>
      <vt:variant>
        <vt:lpwstr/>
      </vt:variant>
      <vt:variant>
        <vt:i4>8126518</vt:i4>
      </vt:variant>
      <vt:variant>
        <vt:i4>123</vt:i4>
      </vt:variant>
      <vt:variant>
        <vt:i4>0</vt:i4>
      </vt:variant>
      <vt:variant>
        <vt:i4>5</vt:i4>
      </vt:variant>
      <vt:variant>
        <vt:lpwstr>https://economics.unibocconi.eu/sites/default/files/files/media/attachments/kz5%2520062520%2520r220210921174512.pdf</vt:lpwstr>
      </vt:variant>
      <vt:variant>
        <vt:lpwstr/>
      </vt:variant>
      <vt:variant>
        <vt:i4>2883625</vt:i4>
      </vt:variant>
      <vt:variant>
        <vt:i4>120</vt:i4>
      </vt:variant>
      <vt:variant>
        <vt:i4>0</vt:i4>
      </vt:variant>
      <vt:variant>
        <vt:i4>5</vt:i4>
      </vt:variant>
      <vt:variant>
        <vt:lpwstr>https://ised-isde.canada.ca/site/ised/en/canadian-sovereign-ai-compute-strategy</vt:lpwstr>
      </vt:variant>
      <vt:variant>
        <vt:lpwstr/>
      </vt:variant>
      <vt:variant>
        <vt:i4>8192101</vt:i4>
      </vt:variant>
      <vt:variant>
        <vt:i4>117</vt:i4>
      </vt:variant>
      <vt:variant>
        <vt:i4>0</vt:i4>
      </vt:variant>
      <vt:variant>
        <vt:i4>5</vt:i4>
      </vt:variant>
      <vt:variant>
        <vt:lpwstr>https://www.imf.org/en/publications/weo/issues/2026/04/14/world-economic-outlook-april-2026</vt:lpwstr>
      </vt:variant>
      <vt:variant>
        <vt:lpwstr/>
      </vt:variant>
      <vt:variant>
        <vt:i4>5701725</vt:i4>
      </vt:variant>
      <vt:variant>
        <vt:i4>114</vt:i4>
      </vt:variant>
      <vt:variant>
        <vt:i4>0</vt:i4>
      </vt:variant>
      <vt:variant>
        <vt:i4>5</vt:i4>
      </vt:variant>
      <vt:variant>
        <vt:lpwstr>https://data.imf.org/en/news/imf data brief march 27</vt:lpwstr>
      </vt:variant>
      <vt:variant>
        <vt:lpwstr/>
      </vt:variant>
      <vt:variant>
        <vt:i4>8323191</vt:i4>
      </vt:variant>
      <vt:variant>
        <vt:i4>111</vt:i4>
      </vt:variant>
      <vt:variant>
        <vt:i4>0</vt:i4>
      </vt:variant>
      <vt:variant>
        <vt:i4>5</vt:i4>
      </vt:variant>
      <vt:variant>
        <vt:lpwstr>https://www.iea.org/reports/world-energy-investment-2026/executive-summary</vt:lpwstr>
      </vt:variant>
      <vt:variant>
        <vt:lpwstr/>
      </vt:variant>
      <vt:variant>
        <vt:i4>1310751</vt:i4>
      </vt:variant>
      <vt:variant>
        <vt:i4>108</vt:i4>
      </vt:variant>
      <vt:variant>
        <vt:i4>0</vt:i4>
      </vt:variant>
      <vt:variant>
        <vt:i4>5</vt:i4>
      </vt:variant>
      <vt:variant>
        <vt:lpwstr>https://www.iea.org/reports/renewables-2025/renewable-electricity</vt:lpwstr>
      </vt:variant>
      <vt:variant>
        <vt:lpwstr/>
      </vt:variant>
      <vt:variant>
        <vt:i4>2228349</vt:i4>
      </vt:variant>
      <vt:variant>
        <vt:i4>105</vt:i4>
      </vt:variant>
      <vt:variant>
        <vt:i4>0</vt:i4>
      </vt:variant>
      <vt:variant>
        <vt:i4>5</vt:i4>
      </vt:variant>
      <vt:variant>
        <vt:lpwstr>https://www.iea.org/reports/oil-market-report-may-2026</vt:lpwstr>
      </vt:variant>
      <vt:variant>
        <vt:lpwstr/>
      </vt:variant>
      <vt:variant>
        <vt:i4>4390997</vt:i4>
      </vt:variant>
      <vt:variant>
        <vt:i4>102</vt:i4>
      </vt:variant>
      <vt:variant>
        <vt:i4>0</vt:i4>
      </vt:variant>
      <vt:variant>
        <vt:i4>5</vt:i4>
      </vt:variant>
      <vt:variant>
        <vt:lpwstr>https://www.iea.org/reports/global-critical-minerals-outlook-2025</vt:lpwstr>
      </vt:variant>
      <vt:variant>
        <vt:lpwstr/>
      </vt:variant>
      <vt:variant>
        <vt:i4>8323109</vt:i4>
      </vt:variant>
      <vt:variant>
        <vt:i4>99</vt:i4>
      </vt:variant>
      <vt:variant>
        <vt:i4>0</vt:i4>
      </vt:variant>
      <vt:variant>
        <vt:i4>5</vt:i4>
      </vt:variant>
      <vt:variant>
        <vt:lpwstr>https://www.iea.org/reports/energy-and-ai/executive-summary</vt:lpwstr>
      </vt:variant>
      <vt:variant>
        <vt:lpwstr/>
      </vt:variant>
      <vt:variant>
        <vt:i4>4980740</vt:i4>
      </vt:variant>
      <vt:variant>
        <vt:i4>96</vt:i4>
      </vt:variant>
      <vt:variant>
        <vt:i4>0</vt:i4>
      </vt:variant>
      <vt:variant>
        <vt:i4>5</vt:i4>
      </vt:variant>
      <vt:variant>
        <vt:lpwstr>https://housing-infrastructure.canada.ca/bcsf-fbcf/index-eng.html</vt:lpwstr>
      </vt:variant>
      <vt:variant>
        <vt:lpwstr/>
      </vt:variant>
      <vt:variant>
        <vt:i4>5439566</vt:i4>
      </vt:variant>
      <vt:variant>
        <vt:i4>93</vt:i4>
      </vt:variant>
      <vt:variant>
        <vt:i4>0</vt:i4>
      </vt:variant>
      <vt:variant>
        <vt:i4>5</vt:i4>
      </vt:variant>
      <vt:variant>
        <vt:lpwstr>https://hoopp.com/docs/default-source/investments-library/annual-reports/hoopp-2025-annual-report.pdf</vt:lpwstr>
      </vt:variant>
      <vt:variant>
        <vt:lpwstr/>
      </vt:variant>
      <vt:variant>
        <vt:i4>5374035</vt:i4>
      </vt:variant>
      <vt:variant>
        <vt:i4>90</vt:i4>
      </vt:variant>
      <vt:variant>
        <vt:i4>0</vt:i4>
      </vt:variant>
      <vt:variant>
        <vt:i4>5</vt:i4>
      </vt:variant>
      <vt:variant>
        <vt:lpwstr>https://budget.canada.ca/2025/report-rapport/pdf/budget-2025.pdf</vt:lpwstr>
      </vt:variant>
      <vt:variant>
        <vt:lpwstr/>
      </vt:variant>
      <vt:variant>
        <vt:i4>8257662</vt:i4>
      </vt:variant>
      <vt:variant>
        <vt:i4>87</vt:i4>
      </vt:variant>
      <vt:variant>
        <vt:i4>0</vt:i4>
      </vt:variant>
      <vt:variant>
        <vt:i4>5</vt:i4>
      </vt:variant>
      <vt:variant>
        <vt:lpwstr>https://www.goldmansachs.com/insights/articles/tracking-trillions-the-assumptions-shaping-scale-of-the-ai-build-out</vt:lpwstr>
      </vt:variant>
      <vt:variant>
        <vt:lpwstr/>
      </vt:variant>
      <vt:variant>
        <vt:i4>4522066</vt:i4>
      </vt:variant>
      <vt:variant>
        <vt:i4>84</vt:i4>
      </vt:variant>
      <vt:variant>
        <vt:i4>0</vt:i4>
      </vt:variant>
      <vt:variant>
        <vt:i4>5</vt:i4>
      </vt:variant>
      <vt:variant>
        <vt:lpwstr>https://www.bundesfinanzministerium.de/Web/EN/Issues/Public-Finances/SVIK/special-fund-infrastructure-and-climate-neutrality.html</vt:lpwstr>
      </vt:variant>
      <vt:variant>
        <vt:lpwstr/>
      </vt:variant>
      <vt:variant>
        <vt:i4>1638480</vt:i4>
      </vt:variant>
      <vt:variant>
        <vt:i4>81</vt:i4>
      </vt:variant>
      <vt:variant>
        <vt:i4>0</vt:i4>
      </vt:variant>
      <vt:variant>
        <vt:i4>5</vt:i4>
      </vt:variant>
      <vt:variant>
        <vt:lpwstr>https://www.bundesregierung.de/breg-en/news/the-beginning-is-complete-2377326</vt:lpwstr>
      </vt:variant>
      <vt:variant>
        <vt:lpwstr/>
      </vt:variant>
      <vt:variant>
        <vt:i4>1179729</vt:i4>
      </vt:variant>
      <vt:variant>
        <vt:i4>78</vt:i4>
      </vt:variant>
      <vt:variant>
        <vt:i4>0</vt:i4>
      </vt:variant>
      <vt:variant>
        <vt:i4>5</vt:i4>
      </vt:variant>
      <vt:variant>
        <vt:lpwstr>https://www.canada.ca/en/department-finance/news/2024/12/unlocking-pension-investment-in-canada.html</vt:lpwstr>
      </vt:variant>
      <vt:variant>
        <vt:lpwstr/>
      </vt:variant>
      <vt:variant>
        <vt:i4>5505089</vt:i4>
      </vt:variant>
      <vt:variant>
        <vt:i4>75</vt:i4>
      </vt:variant>
      <vt:variant>
        <vt:i4>0</vt:i4>
      </vt:variant>
      <vt:variant>
        <vt:i4>5</vt:i4>
      </vt:variant>
      <vt:variant>
        <vt:lpwstr>https://ec.europa.eu/eurostat/web/products-eurostat-news/w/wdn-20260318-1</vt:lpwstr>
      </vt:variant>
      <vt:variant>
        <vt:lpwstr/>
      </vt:variant>
      <vt:variant>
        <vt:i4>5767181</vt:i4>
      </vt:variant>
      <vt:variant>
        <vt:i4>72</vt:i4>
      </vt:variant>
      <vt:variant>
        <vt:i4>0</vt:i4>
      </vt:variant>
      <vt:variant>
        <vt:i4>5</vt:i4>
      </vt:variant>
      <vt:variant>
        <vt:lpwstr>https://economy-finance.ec.europa.eu/document/download/3360898c-cd40-46c0-b170-7adfcb993add_en?filename=ip341_en.pdf</vt:lpwstr>
      </vt:variant>
      <vt:variant>
        <vt:lpwstr/>
      </vt:variant>
      <vt:variant>
        <vt:i4>1441903</vt:i4>
      </vt:variant>
      <vt:variant>
        <vt:i4>69</vt:i4>
      </vt:variant>
      <vt:variant>
        <vt:i4>0</vt:i4>
      </vt:variant>
      <vt:variant>
        <vt:i4>5</vt:i4>
      </vt:variant>
      <vt:variant>
        <vt:lpwstr>https://defence-industry-space.ec.europa.eu/eu-defence-industry/safe-security-action-europe_en</vt:lpwstr>
      </vt:variant>
      <vt:variant>
        <vt:lpwstr/>
      </vt:variant>
      <vt:variant>
        <vt:i4>6094949</vt:i4>
      </vt:variant>
      <vt:variant>
        <vt:i4>66</vt:i4>
      </vt:variant>
      <vt:variant>
        <vt:i4>0</vt:i4>
      </vt:variant>
      <vt:variant>
        <vt:i4>5</vt:i4>
      </vt:variant>
      <vt:variant>
        <vt:lpwstr>https://economy-finance.ec.europa.eu/economic-and-fiscal-governance/economic-governance-review_en</vt:lpwstr>
      </vt:variant>
      <vt:variant>
        <vt:lpwstr/>
      </vt:variant>
      <vt:variant>
        <vt:i4>5832784</vt:i4>
      </vt:variant>
      <vt:variant>
        <vt:i4>63</vt:i4>
      </vt:variant>
      <vt:variant>
        <vt:i4>0</vt:i4>
      </vt:variant>
      <vt:variant>
        <vt:i4>5</vt:i4>
      </vt:variant>
      <vt:variant>
        <vt:lpwstr>https://www.eia.gov/todayinenergy/detail.php?id=65504</vt:lpwstr>
      </vt:variant>
      <vt:variant>
        <vt:lpwstr/>
      </vt:variant>
      <vt:variant>
        <vt:i4>7536675</vt:i4>
      </vt:variant>
      <vt:variant>
        <vt:i4>60</vt:i4>
      </vt:variant>
      <vt:variant>
        <vt:i4>0</vt:i4>
      </vt:variant>
      <vt:variant>
        <vt:i4>5</vt:i4>
      </vt:variant>
      <vt:variant>
        <vt:lpwstr>https://cib-bic.ca/</vt:lpwstr>
      </vt:variant>
      <vt:variant>
        <vt:lpwstr/>
      </vt:variant>
      <vt:variant>
        <vt:i4>3014691</vt:i4>
      </vt:variant>
      <vt:variant>
        <vt:i4>57</vt:i4>
      </vt:variant>
      <vt:variant>
        <vt:i4>0</vt:i4>
      </vt:variant>
      <vt:variant>
        <vt:i4>5</vt:i4>
      </vt:variant>
      <vt:variant>
        <vt:lpwstr>https://www.cgf-fcc.ca/</vt:lpwstr>
      </vt:variant>
      <vt:variant>
        <vt:lpwstr/>
      </vt:variant>
      <vt:variant>
        <vt:i4>4325382</vt:i4>
      </vt:variant>
      <vt:variant>
        <vt:i4>54</vt:i4>
      </vt:variant>
      <vt:variant>
        <vt:i4>0</vt:i4>
      </vt:variant>
      <vt:variant>
        <vt:i4>5</vt:i4>
      </vt:variant>
      <vt:variant>
        <vt:lpwstr>https://cdn2.cppinvestments.com/wp-content/uploads/attachments/CPP-Investments-F26-Annual-Report-English.pdf</vt:lpwstr>
      </vt:variant>
      <vt:variant>
        <vt:lpwstr/>
      </vt:variant>
      <vt:variant>
        <vt:i4>196686</vt:i4>
      </vt:variant>
      <vt:variant>
        <vt:i4>51</vt:i4>
      </vt:variant>
      <vt:variant>
        <vt:i4>0</vt:i4>
      </vt:variant>
      <vt:variant>
        <vt:i4>5</vt:i4>
      </vt:variant>
      <vt:variant>
        <vt:lpwstr>https://www.cbo.gov/publication/61882</vt:lpwstr>
      </vt:variant>
      <vt:variant>
        <vt:lpwstr/>
      </vt:variant>
      <vt:variant>
        <vt:i4>3145829</vt:i4>
      </vt:variant>
      <vt:variant>
        <vt:i4>48</vt:i4>
      </vt:variant>
      <vt:variant>
        <vt:i4>0</vt:i4>
      </vt:variant>
      <vt:variant>
        <vt:i4>5</vt:i4>
      </vt:variant>
      <vt:variant>
        <vt:lpwstr>https://www.bankofcanada.ca/publications/mpr/mpr-2026-01-28/in-focus-2/</vt:lpwstr>
      </vt:variant>
      <vt:variant>
        <vt:lpwstr/>
      </vt:variant>
      <vt:variant>
        <vt:i4>1900637</vt:i4>
      </vt:variant>
      <vt:variant>
        <vt:i4>45</vt:i4>
      </vt:variant>
      <vt:variant>
        <vt:i4>0</vt:i4>
      </vt:variant>
      <vt:variant>
        <vt:i4>5</vt:i4>
      </vt:variant>
      <vt:variant>
        <vt:lpwstr>https://www.bls.gov/mxp/</vt:lpwstr>
      </vt:variant>
      <vt:variant>
        <vt:lpwstr/>
      </vt:variant>
      <vt:variant>
        <vt:i4>4128796</vt:i4>
      </vt:variant>
      <vt:variant>
        <vt:i4>42</vt:i4>
      </vt:variant>
      <vt:variant>
        <vt:i4>0</vt:i4>
      </vt:variant>
      <vt:variant>
        <vt:i4>5</vt:i4>
      </vt:variant>
      <vt:variant>
        <vt:lpwstr>https://www.bis.org/statistics/rpfx22_fx.htm</vt:lpwstr>
      </vt:variant>
      <vt:variant>
        <vt:lpwstr/>
      </vt:variant>
      <vt:variant>
        <vt:i4>7340132</vt:i4>
      </vt:variant>
      <vt:variant>
        <vt:i4>39</vt:i4>
      </vt:variant>
      <vt:variant>
        <vt:i4>0</vt:i4>
      </vt:variant>
      <vt:variant>
        <vt:i4>5</vt:i4>
      </vt:variant>
      <vt:variant>
        <vt:lpwstr>https://www.bci.ca/investments/performance/reports/</vt:lpwstr>
      </vt:variant>
      <vt:variant>
        <vt:lpwstr/>
      </vt:variant>
      <vt:variant>
        <vt:i4>4521993</vt:i4>
      </vt:variant>
      <vt:variant>
        <vt:i4>36</vt:i4>
      </vt:variant>
      <vt:variant>
        <vt:i4>0</vt:i4>
      </vt:variant>
      <vt:variant>
        <vt:i4>5</vt:i4>
      </vt:variant>
      <vt:variant>
        <vt:lpwstr>https://truckingresearch.org/about-atri/atri-research/operational-costs-of-trucking/</vt:lpwstr>
      </vt:variant>
      <vt:variant>
        <vt:lpwstr/>
      </vt:variant>
      <vt:variant>
        <vt:i4>720905</vt:i4>
      </vt:variant>
      <vt:variant>
        <vt:i4>24</vt:i4>
      </vt:variant>
      <vt:variant>
        <vt:i4>0</vt:i4>
      </vt:variant>
      <vt:variant>
        <vt:i4>5</vt:i4>
      </vt:variant>
      <vt:variant>
        <vt:lpwstr/>
      </vt:variant>
      <vt:variant>
        <vt:lpwstr>Food</vt:lpwstr>
      </vt:variant>
      <vt:variant>
        <vt:i4>6750312</vt:i4>
      </vt:variant>
      <vt:variant>
        <vt:i4>21</vt:i4>
      </vt:variant>
      <vt:variant>
        <vt:i4>0</vt:i4>
      </vt:variant>
      <vt:variant>
        <vt:i4>5</vt:i4>
      </vt:variant>
      <vt:variant>
        <vt:lpwstr/>
      </vt:variant>
      <vt:variant>
        <vt:lpwstr>TradeCusma</vt:lpwstr>
      </vt:variant>
      <vt:variant>
        <vt:i4>6881391</vt:i4>
      </vt:variant>
      <vt:variant>
        <vt:i4>18</vt:i4>
      </vt:variant>
      <vt:variant>
        <vt:i4>0</vt:i4>
      </vt:variant>
      <vt:variant>
        <vt:i4>5</vt:i4>
      </vt:variant>
      <vt:variant>
        <vt:lpwstr/>
      </vt:variant>
      <vt:variant>
        <vt:lpwstr>OIl</vt:lpwstr>
      </vt:variant>
      <vt:variant>
        <vt:i4>6619239</vt:i4>
      </vt:variant>
      <vt:variant>
        <vt:i4>15</vt:i4>
      </vt:variant>
      <vt:variant>
        <vt:i4>0</vt:i4>
      </vt:variant>
      <vt:variant>
        <vt:i4>5</vt:i4>
      </vt:variant>
      <vt:variant>
        <vt:lpwstr/>
      </vt:variant>
      <vt:variant>
        <vt:lpwstr>Energy</vt:lpwstr>
      </vt:variant>
      <vt:variant>
        <vt:i4>7209039</vt:i4>
      </vt:variant>
      <vt:variant>
        <vt:i4>12</vt:i4>
      </vt:variant>
      <vt:variant>
        <vt:i4>0</vt:i4>
      </vt:variant>
      <vt:variant>
        <vt:i4>5</vt:i4>
      </vt:variant>
      <vt:variant>
        <vt:lpwstr/>
      </vt:variant>
      <vt:variant>
        <vt:lpwstr>FX_Reserves</vt:lpwstr>
      </vt:variant>
      <vt:variant>
        <vt:i4>8323175</vt:i4>
      </vt:variant>
      <vt:variant>
        <vt:i4>9</vt:i4>
      </vt:variant>
      <vt:variant>
        <vt:i4>0</vt:i4>
      </vt:variant>
      <vt:variant>
        <vt:i4>5</vt:i4>
      </vt:variant>
      <vt:variant>
        <vt:lpwstr/>
      </vt:variant>
      <vt:variant>
        <vt:lpwstr>Europe</vt:lpwstr>
      </vt:variant>
      <vt:variant>
        <vt:i4>1376316</vt:i4>
      </vt:variant>
      <vt:variant>
        <vt:i4>6</vt:i4>
      </vt:variant>
      <vt:variant>
        <vt:i4>0</vt:i4>
      </vt:variant>
      <vt:variant>
        <vt:i4>5</vt:i4>
      </vt:variant>
      <vt:variant>
        <vt:lpwstr/>
      </vt:variant>
      <vt:variant>
        <vt:lpwstr>Canada_Fiscal</vt:lpwstr>
      </vt:variant>
      <vt:variant>
        <vt:i4>458784</vt:i4>
      </vt:variant>
      <vt:variant>
        <vt:i4>3</vt:i4>
      </vt:variant>
      <vt:variant>
        <vt:i4>0</vt:i4>
      </vt:variant>
      <vt:variant>
        <vt:i4>5</vt:i4>
      </vt:variant>
      <vt:variant>
        <vt:lpwstr/>
      </vt:variant>
      <vt:variant>
        <vt:lpwstr>US_Fiscal</vt:lpwstr>
      </vt:variant>
      <vt:variant>
        <vt:i4>1835012</vt:i4>
      </vt:variant>
      <vt:variant>
        <vt:i4>0</vt:i4>
      </vt:variant>
      <vt:variant>
        <vt:i4>0</vt:i4>
      </vt:variant>
      <vt:variant>
        <vt:i4>5</vt:i4>
      </vt:variant>
      <vt:variant>
        <vt:lpwstr/>
      </vt:variant>
      <vt:variant>
        <vt:lpwstr>Defrence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Mosca</dc:creator>
  <cp:keywords/>
  <dc:description/>
  <cp:lastModifiedBy>Eduardo Duarte Mosca Arantes de Souza</cp:lastModifiedBy>
  <cp:revision>2</cp:revision>
  <cp:lastPrinted>2026-06-10T18:06:00Z</cp:lastPrinted>
  <dcterms:created xsi:type="dcterms:W3CDTF">2026-06-18T20:01:00Z</dcterms:created>
  <dcterms:modified xsi:type="dcterms:W3CDTF">2026-06-18T20:01:00Z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ies>
</file>