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361"/>
        <w:gridCol w:w="5331"/>
        <w:gridCol w:w="346"/>
      </w:tblGrid>
      <w:tr w:rsidR="00FC6619" w14:paraId="43F52ECC" w14:textId="77777777" w:rsidTr="005A4A21">
        <w:trPr>
          <w:trHeight w:val="771"/>
        </w:trPr>
        <w:tc>
          <w:tcPr>
            <w:tcW w:w="11038" w:type="dxa"/>
            <w:gridSpan w:val="3"/>
            <w:shd w:val="clear" w:color="auto" w:fill="7B2952"/>
          </w:tcPr>
          <w:p w14:paraId="450DDCC1" w14:textId="77777777" w:rsidR="007E403F" w:rsidRDefault="007E403F" w:rsidP="00090471">
            <w:pPr>
              <w:jc w:val="center"/>
              <w:rPr>
                <w:b/>
                <w:color w:val="FFFFFF" w:themeColor="background1"/>
                <w:sz w:val="32"/>
              </w:rPr>
            </w:pPr>
            <w:r>
              <w:rPr>
                <w:b/>
                <w:color w:val="FFFFFF" w:themeColor="background1"/>
                <w:sz w:val="32"/>
              </w:rPr>
              <w:t>Executive Summary</w:t>
            </w:r>
          </w:p>
          <w:p w14:paraId="3FDAB241" w14:textId="7834CF01" w:rsidR="007F7F47" w:rsidRPr="00280B12" w:rsidRDefault="007F7F47" w:rsidP="00F3452F">
            <w:pPr>
              <w:jc w:val="center"/>
              <w:rPr>
                <w:color w:val="FFFFFF" w:themeColor="background1"/>
              </w:rPr>
            </w:pPr>
            <w:r w:rsidRPr="003C74DB">
              <w:rPr>
                <w:b/>
                <w:color w:val="FFFFFF" w:themeColor="background1"/>
                <w:szCs w:val="22"/>
              </w:rPr>
              <w:t xml:space="preserve">(As of 2026_07_09</w:t>
            </w:r>
            <w:r w:rsidR="00205A60">
              <w:rPr>
                <w:b/>
                <w:color w:val="FFFFFF" w:themeColor="background1"/>
                <w:szCs w:val="22"/>
              </w:rPr>
              <w:t xml:space="preserve"/>
            </w:r>
            <w:r w:rsidRPr="003C74DB">
              <w:rPr>
                <w:b/>
                <w:color w:val="FFFFFF" w:themeColor="background1"/>
                <w:szCs w:val="22"/>
              </w:rPr>
              <w:t>)</w:t>
            </w:r>
          </w:p>
        </w:tc>
      </w:tr>
      <w:tr w:rsidR="00FC6619" w14:paraId="314AACE3" w14:textId="77777777" w:rsidTr="005A4A21">
        <w:trPr>
          <w:trHeight w:val="900" w:hRule="atLeast"/>
        </w:trPr>
        <w:tc>
          <w:tcPr>
            <w:tcW w:w="11038" w:type="dxa"/>
            <w:gridSpan w:val="3"/>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2763"/>
              <w:gridCol w:w="2634"/>
            </w:tblGrid>
            <w:tr w:rsidR="00F3452F" w:rsidRPr="00E6304E" w14:paraId="727C2060" w14:textId="77777777" w:rsidTr="00603780">
              <w:trPr>
                <w:trHeight w:val="340"/>
              </w:trPr>
              <w:tc>
                <w:tcPr>
                  <w:tcW w:w="2763" w:type="dxa"/>
                </w:tcPr>
                <w:p w14:paraId="30111104" w14:textId="77777777" w:rsidR="007E403F" w:rsidRPr="00E6304E" w:rsidRDefault="007E403F" w:rsidP="00F3452F">
                  <w:pPr>
                    <w:spacing w:after="0"/>
                    <w:jc w:val="center"/>
                    <w:rPr>
                      <w:b/>
                      <w:color w:val="7B2952"/>
                      <w:sz w:val="16"/>
                    </w:rPr>
                  </w:pPr>
                  <w:r>
                    <w:rPr>
                      <w:b/>
                      <w:color w:val="7B2952"/>
                      <w:sz w:val="16"/>
                    </w:rPr>
                    <w:t>Weekly Direction</w:t>
                  </w:r>
                </w:p>
              </w:tc>
              <w:tc>
                <w:tcPr>
                  <w:tcW w:w="2634" w:type="dxa"/>
                </w:tcPr>
                <w:p w14:paraId="19C6962E" w14:textId="77777777" w:rsidR="007E403F" w:rsidRPr="00E6304E" w:rsidRDefault="007E403F" w:rsidP="00F3452F">
                  <w:pPr>
                    <w:spacing w:after="0"/>
                    <w:jc w:val="center"/>
                    <w:rPr>
                      <w:b/>
                      <w:color w:val="7B2952"/>
                      <w:sz w:val="16"/>
                    </w:rPr>
                  </w:pPr>
                  <w:r>
                    <w:rPr>
                      <w:b/>
                      <w:color w:val="7B2952"/>
                      <w:sz w:val="16"/>
                    </w:rPr>
                    <w:t>Influencing Factors</w:t>
                  </w:r>
                </w:p>
              </w:tc>
            </w:tr>
            <w:tr w:rsidR="00F3452F" w:rsidRPr="00F521CB" w14:paraId="357B4AB8" w14:textId="77777777" w:rsidTr="00E11C7A">
              <w:trPr>
                <w:trHeight w:val="4964"/>
              </w:trPr>
              <w:tc>
                <w:tcPr>
                  <w:tcW w:w="2763" w:type="dxa"/>
                  <w:vAlign w:val="center"/>
                </w:tcPr>
                <w:p w14:paraId="315F377A" w14:textId="77777777" w:rsidR="00BA00A0" w:rsidRDefault="00BA00A0">
                  <w:pPr>
                    <w:spacing w:after="0"/>
                    <w:jc w:val="center"/>
                    <w:rPr>
                      <w:kern w:val="2"/>
                      <w:lang w:eastAsia="en-CA"/>
                      <w14:ligatures w14:val="standardContextual"/>
                    </w:rPr>
                  </w:pPr>
                  <w:r>
                    <w:rPr>
                      <w:b/>
                      <w:bCs/>
                      <w:sz w:val="20"/>
                      <w:szCs w:val="20"/>
                    </w:rPr>
                    <w:t xml:space="preserve">Firming inflation</w:t>
                  </w:r>
                  <w:r>
                    <w:rPr>
                      <w:bCs/>
                      <w:sz w:val="20"/>
                      <w:szCs w:val="20"/>
                    </w:rPr>
                    <w:t xml:space="preserve"> pressure and </w:t>
                  </w:r>
                  <w:r>
                    <w:rPr>
                      <w:b/>
                      <w:bCs/>
                      <w:sz w:val="20"/>
                      <w:szCs w:val="20"/>
                    </w:rPr>
                    <w:t xml:space="preserve">held growth</w:t>
                  </w:r>
                  <w:r>
                    <w:rPr>
                      <w:bCs/>
                      <w:sz w:val="20"/>
                      <w:szCs w:val="20"/>
                    </w:rPr>
                    <w:t xml:space="preserve">.</w:t>
                  </w:r>
                </w:p>
                <w:p w14:paraId="68DBA9B0" w14:textId="77777777" w:rsidR="007E403F" w:rsidRDefault="007E403F" w:rsidP="00F3452F">
                  <w:pPr>
                    <w:spacing w:after="0"/>
                    <w:rPr>
                      <w:sz w:val="20"/>
                      <w:szCs w:val="20"/>
                    </w:rPr>
                  </w:pPr>
                </w:p>
              </w:tc>
              <w:tc>
                <w:tcPr>
                  <w:tcW w:w="2634" w:type="dxa"/>
                </w:tcPr>
                <w:p w14:paraId="2A9EF689" w14:textId="3828F1D7" w:rsidR="00C72AAF" w:rsidRPr="006B739E" w:rsidRDefault="007E403F" w:rsidP="00C767F0">
                  <w:pPr>
                    <w:pStyle w:val="ListParagraph"/>
                    <w:numPr>
                      <w:ilvl w:val="0"/>
                      <w:numId w:val="11"/>
                    </w:numPr>
                    <w:spacing w:after="0"/>
                    <w:jc w:val="both"/>
                    <w:rPr>
                      <w:sz w:val="20"/>
                      <w:szCs w:val="20"/>
                    </w:rPr>
                  </w:pPr>
                  <w:r w:rsidRPr="006B739E">
                    <w:rPr>
                      <w:sz w:val="20"/>
                      <w:szCs w:val="20"/>
                    </w:rPr>
                    <w:t xml:space="preserve">Growth held: claims steady at 215,000 and ISM services at 54.0, a 24th month of expansion.</w:t>
                  </w:r>
                  <w:proofErr w:type="gramStart"/>
                  <w:proofErr w:type="gramEnd"/>
                </w:p>
                <w:p w14:paraId="2A9EF689" w14:textId="3828F1D7" w:rsidR="00C72AAF" w:rsidRPr="006B739E" w:rsidRDefault="007E403F" w:rsidP="00C767F0">
                  <w:pPr>
                    <w:pStyle w:val="ListParagraph"/>
                    <w:numPr>
                      <w:ilvl w:val="0"/>
                      <w:numId w:val="11"/>
                    </w:numPr>
                    <w:spacing w:after="0"/>
                    <w:jc w:val="both"/>
                    <w:rPr>
                      <w:sz w:val="20"/>
                      <w:szCs w:val="20"/>
                    </w:rPr>
                  </w:pPr>
                  <w:r w:rsidRPr="006B739E">
                    <w:rPr>
                      <w:sz w:val="20"/>
                      <w:szCs w:val="20"/>
                    </w:rPr>
                    <w:t xml:space="preserve">Inflation risk rebuilt: the ceasefire broke, Brent jumped from $72 to $78, and the minutes flagged May PCE up to 4.1%.</w:t>
                  </w:r>
                  <w:proofErr w:type="gramStart"/>
                  <w:proofErr w:type="gramEnd"/>
                </w:p>
                <w:p w14:paraId="2A9EF689" w14:textId="3828F1D7" w:rsidR="00C72AAF" w:rsidRPr="006B739E" w:rsidRDefault="007E403F" w:rsidP="00C767F0">
                  <w:pPr>
                    <w:pStyle w:val="ListParagraph"/>
                    <w:numPr>
                      <w:ilvl w:val="0"/>
                      <w:numId w:val="11"/>
                    </w:numPr>
                    <w:spacing w:after="0"/>
                    <w:jc w:val="both"/>
                    <w:rPr>
                      <w:sz w:val="20"/>
                      <w:szCs w:val="20"/>
                    </w:rPr>
                  </w:pPr>
                  <w:r w:rsidRPr="006B739E">
                    <w:rPr>
                      <w:sz w:val="20"/>
                      <w:szCs w:val="20"/>
                    </w:rPr>
                    <w:t xml:space="preserve">Hawkish tape: the 2-year rose to 4.21%, the 10-year hit a seven-week high, the dollar firmed, gold slipped.</w:t>
                  </w:r>
                  <w:proofErr w:type="gramStart"/>
                  <w:proofErr w:type="gramEnd"/>
                </w:p>
              </w:tc>
            </w:tr>
          </w:tbl>
          <w:p w14:paraId="55EE47F0" w14:textId="0FEDC495" w:rsidR="007E403F" w:rsidRDefault="00AB1D99">
            <w:r>
              <w:rPr>
                <w:noProof/>
              </w:rPr>
              <mc:AlternateContent>
                <mc:Choice Requires="wps">
                  <w:drawing>
                    <wp:anchor distT="0" distB="0" distL="114300" distR="114300" simplePos="0" relativeHeight="251658244" behindDoc="0" locked="0" layoutInCell="1" allowOverlap="1" wp14:anchorId="7541D3AC" wp14:editId="6D44B838">
                      <wp:simplePos x="0" y="0"/>
                      <wp:positionH relativeFrom="column">
                        <wp:posOffset>4556791</wp:posOffset>
                      </wp:positionH>
                      <wp:positionV relativeFrom="paragraph">
                        <wp:posOffset>-2949924</wp:posOffset>
                      </wp:positionV>
                      <wp:extent cx="62179" cy="149860"/>
                      <wp:effectExtent l="26353" t="49847" r="16827" b="16828"/>
                      <wp:wrapNone/>
                      <wp:docPr id="1640207055" name="Arrow: Down 25"/>
                      <wp:cNvGraphicFramePr/>
                      <a:graphic xmlns:a="http://schemas.openxmlformats.org/drawingml/2006/main">
                        <a:graphicData uri="http://schemas.microsoft.com/office/word/2010/wordprocessingShape">
                          <wps:wsp>
                            <wps:cNvSpPr/>
                            <wps:spPr>
                              <a:xfrm rot="6228876">
                                <a:off x="0" y="0"/>
                                <a:ext cx="62179" cy="149860"/>
                              </a:xfrm>
                              <a:prstGeom prst="downArrow">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8900000" scaled="1"/>
                                <a:tileRect/>
                              </a:grad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4C6D6E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5" o:spid="_x0000_s1026" type="#_x0000_t67" style="position:absolute;margin-left:434.5pt;margin-top:-197.9pt;width:9.8pt;height:23.6pt;rotation:6803594fd;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" adj="17119" fillcolor="#f0a177 [2133]" strokecolor="#030e13 [484]" strokeweight="1pt">
                      <v:fill color2="#faded0 [757]" rotate="t" angle="135" colors="0 #ffa58a;.5 #ffc7b9;1 #ffe3dd" focus="100%" type="gradient"/>
                      <v:stroke dashstyle="1 1"/>
                    </v:shape>
                  </w:pict>
                </mc:Fallback>
              </mc:AlternateContent>
            </w:r>
            <w:r w:rsidR="008176F6">
              <w:rPr>
                <w:noProof/>
              </w:rPr>
              <mc:AlternateContent>
                <mc:Choice Requires="wps">
                  <w:drawing>
                    <wp:anchor distT="45720" distB="45720" distL="114300" distR="114300" simplePos="0" relativeHeight="251658245" behindDoc="0" locked="0" layoutInCell="1" allowOverlap="1" wp14:anchorId="5AE7FFE8" wp14:editId="770AA1E7">
                      <wp:simplePos x="0" y="0"/>
                      <wp:positionH relativeFrom="column">
                        <wp:posOffset>4272345</wp:posOffset>
                      </wp:positionH>
                      <wp:positionV relativeFrom="paragraph">
                        <wp:posOffset>-3044058</wp:posOffset>
                      </wp:positionV>
                      <wp:extent cx="247015" cy="128905"/>
                      <wp:effectExtent l="0" t="0" r="0" b="0"/>
                      <wp:wrapSquare wrapText="bothSides"/>
                      <wp:docPr id="90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 cy="128905"/>
                              </a:xfrm>
                              <a:prstGeom prst="rect">
                                <a:avLst/>
                              </a:prstGeom>
                              <a:noFill/>
                              <a:ln w="9525">
                                <a:noFill/>
                                <a:miter lim="800000"/>
                                <a:headEnd/>
                                <a:tailEnd/>
                              </a:ln>
                            </wps:spPr>
                            <wps:txbx>
                              <w:txbxContent>
                                <w:p w14:paraId="2D7929A3" w14:textId="0E135040" w:rsidR="007E403F" w:rsidRPr="009F3ABA" w:rsidRDefault="007E403F">
                                  <w:pPr>
                                    <w:rPr>
                                      <w:b/>
                                      <w:bCs/>
                                      <w:sz w:val="16"/>
                                      <w:szCs w:val="16"/>
                                    </w:rPr>
                                  </w:pPr>
                                  <w:r w:rsidRPr="009F3ABA">
                                    <w:rPr>
                                      <w:b/>
                                      <w:bCs/>
                                      <w:sz w:val="16"/>
                                      <w:szCs w:val="16"/>
                                    </w:rPr>
                                    <w:t>07/0</w:t>
                                  </w:r>
                                  <w:r w:rsidR="00971041">
                                    <w:rPr>
                                      <w:b/>
                                      <w:bCs/>
                                      <w:sz w:val="16"/>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E7FFE8" id="_x0000_t202" coordsize="21600,21600" o:spt="202" path="m,l,21600r21600,l21600,xe">
                      <v:stroke joinstyle="miter"/>
                      <v:path gradientshapeok="t" o:connecttype="rect"/>
                    </v:shapetype>
                    <v:shape id="Text Box 2" o:spid="_x0000_s1026" type="#_x0000_t202" style="position:absolute;margin-left:389.7pt;margin-top:-212.7pt;width:38.9pt;height:20.3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" filled="f" stroked="f">
                      <v:textbox>
                        <w:txbxContent>
                          <w:p w14:paraId="2D7929A3" w14:textId="0E135040" w:rsidR="007E403F" w:rsidRPr="009F3ABA" w:rsidRDefault="007E403F">
                            <w:pPr>
                              <w:rPr>
                                <w:b/>
                                <w:bCs/>
                                <w:sz w:val="16"/>
                                <w:szCs w:val="16"/>
                              </w:rPr>
                            </w:pPr>
                            <w:r w:rsidRPr="009F3ABA">
                              <w:rPr>
                                <w:b/>
                                <w:bCs/>
                                <w:sz w:val="16"/>
                                <w:szCs w:val="16"/>
                              </w:rPr>
                              <w:t>07/0</w:t>
                            </w:r>
                            <w:r w:rsidR="00971041">
                              <w:rPr>
                                <w:b/>
                                <w:bCs/>
                                <w:sz w:val="16"/>
                                <w:szCs w:val="16"/>
                              </w:rPr>
                              <w:t>3</w:t>
                            </w:r>
                          </w:p>
                        </w:txbxContent>
                      </v:textbox>
                      <w10:wrap type="square"/>
                    </v:shape>
                  </w:pict>
                </mc:Fallback>
              </mc:AlternateContent>
            </w:r>
            <w:r w:rsidR="008176F6">
              <w:rPr>
                <w:noProof/>
              </w:rPr>
              <mc:AlternateContent>
                <mc:Choice Requires="wps">
                  <w:drawing>
                    <wp:anchor distT="45720" distB="45720" distL="114300" distR="114300" simplePos="0" relativeHeight="251658245" behindDoc="0" locked="0" layoutInCell="1" allowOverlap="1" wp14:anchorId="5AE7FFE8" wp14:editId="770AA1E7">
                      <wp:simplePos x="0" y="0"/>
                      <wp:positionH relativeFrom="column">
                        <wp:posOffset>4495745</wp:posOffset>
                      </wp:positionH>
                      <wp:positionV relativeFrom="paragraph">
                        <wp:posOffset>-2993166</wp:posOffset>
                      </wp:positionV>
                      <wp:extent cx="247015" cy="128905"/>
                      <wp:effectExtent l="0" t="0" r="0" b="0"/>
                      <wp:wrapSquare wrapText="bothSides"/>
                      <wp:docPr id="1821617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 cy="128905"/>
                              </a:xfrm>
                              <a:prstGeom prst="rect">
                                <a:avLst/>
                              </a:prstGeom>
                              <a:noFill/>
                              <a:ln w="9525">
                                <a:noFill/>
                                <a:miter lim="800000"/>
                                <a:headEnd/>
                                <a:tailEnd/>
                              </a:ln>
                            </wps:spPr>
                            <wps:txbx>
                              <w:txbxContent>
                                <w:p w14:paraId="2D7929A3" w14:textId="0E135040" w:rsidR="007E403F" w:rsidRPr="009F3ABA" w:rsidRDefault="007E403F">
                                  <w:pPr>
                                    <w:rPr>
                                      <w:b/>
                                      <w:bCs/>
                                      <w:sz w:val="16"/>
                                      <w:szCs w:val="16"/>
                                    </w:rPr>
                                  </w:pPr>
                                  <w:r w:rsidRPr="009F3ABA">
                                    <w:rPr>
                                      <w:b/>
                                      <w:bCs/>
                                      <w:sz w:val="16"/>
                                      <w:szCs w:val="16"/>
                                    </w:rPr>
                                    <w:t>07/09</w:t>
                                  </w:r>
                                  <w:r w:rsidR="00971041">
                                    <w:rPr>
                                      <w:b/>
                                      <w:bCs/>
                                      <w:sz w:val="16"/>
                                      <w:szCs w:val="16"/>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11C7A">
              <w:rPr>
                <w:noProof/>
              </w:rPr>
              <mc:AlternateContent>
                <mc:Choice Requires="wps">
                  <w:drawing>
                    <wp:anchor distT="0" distB="0" distL="114300" distR="114300" simplePos="0" relativeHeight="251658242" behindDoc="0" locked="0" layoutInCell="1" allowOverlap="1" wp14:anchorId="328FD247" wp14:editId="0961714A">
                      <wp:simplePos x="0" y="0"/>
                      <wp:positionH relativeFrom="column">
                        <wp:posOffset>4454345</wp:posOffset>
                      </wp:positionH>
                      <wp:positionV relativeFrom="paragraph">
                        <wp:posOffset>-2996726</wp:posOffset>
                      </wp:positionV>
                      <wp:extent cx="87782" cy="73152"/>
                      <wp:effectExtent l="0" t="0" r="0" b="6350"/>
                      <wp:wrapNone/>
                      <wp:docPr id="90001" name="Flowchart: Connector 23"/>
                      <wp:cNvGraphicFramePr/>
                      <a:graphic xmlns:a="http://schemas.openxmlformats.org/drawingml/2006/main">
                        <a:graphicData uri="http://schemas.microsoft.com/office/word/2010/wordprocessingShape">
                          <wps:wsp>
                            <wps:cNvSpPr/>
                            <wps:spPr>
                              <a:xfrm>
                                <a:off x="0" y="0"/>
                                <a:ext cx="87782" cy="73152"/>
                              </a:xfrm>
                              <a:prstGeom prst="flowChartConnector">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3534E3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3" o:spid="_x0000_s1026" type="#_x0000_t120" style="position:absolute;margin-left:418.35pt;margin-top:-205.25pt;width:13.8pt;height:11.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" fillcolor="#e00" stroked="f" strokeweight="1pt">
                      <v:stroke joinstyle="miter"/>
                    </v:shape>
                  </w:pict>
                </mc:Fallback>
              </mc:AlternateContent>
            </w:r>
            <w:r w:rsidR="00E11C7A">
              <w:rPr>
                <w:noProof/>
              </w:rPr>
              <mc:AlternateContent>
                <mc:Choice Requires="wps">
                  <w:drawing>
                    <wp:anchor distT="0" distB="0" distL="114300" distR="114300" simplePos="0" relativeHeight="251658242" behindDoc="0" locked="0" layoutInCell="1" allowOverlap="1" wp14:anchorId="328FD247" wp14:editId="0961714A">
                      <wp:simplePos x="0" y="0"/>
                      <wp:positionH relativeFrom="column">
                        <wp:posOffset>4677745</wp:posOffset>
                      </wp:positionH>
                      <wp:positionV relativeFrom="paragraph">
                        <wp:posOffset>-2945835</wp:posOffset>
                      </wp:positionV>
                      <wp:extent cx="87782" cy="73152"/>
                      <wp:effectExtent l="0" t="0" r="0" b="6350"/>
                      <wp:wrapNone/>
                      <wp:docPr id="1821617709" name="Flowchart: Connector 23"/>
                      <wp:cNvGraphicFramePr/>
                      <a:graphic xmlns:a="http://schemas.openxmlformats.org/drawingml/2006/main">
                        <a:graphicData uri="http://schemas.microsoft.com/office/word/2010/wordprocessingShape">
                          <wps:wsp>
                            <wps:cNvSpPr/>
                            <wps:spPr>
                              <a:xfrm>
                                <a:off x="0" y="0"/>
                                <a:ext cx="87782" cy="73152"/>
                              </a:xfrm>
                              <a:prstGeom prst="flowChartConnector">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AlternateContent>
            </w:r>
            <w:r w:rsidR="00E11C7A">
              <w:rPr>
                <w:noProof/>
              </w:rPr>
              <mc:AlternateContent>
                <mc:Choice Requires="wps">
                  <w:drawing>
                    <wp:anchor distT="0" distB="0" distL="114300" distR="114300" simplePos="0" relativeHeight="251658243" behindDoc="0" locked="0" layoutInCell="1" allowOverlap="1" wp14:anchorId="4EC959AF" wp14:editId="611428F5">
                      <wp:simplePos x="0" y="0"/>
                      <wp:positionH relativeFrom="column">
                        <wp:posOffset>4571005</wp:posOffset>
                      </wp:positionH>
                      <wp:positionV relativeFrom="paragraph">
                        <wp:posOffset>-2980024</wp:posOffset>
                      </wp:positionV>
                      <wp:extent cx="87782" cy="73152"/>
                      <wp:effectExtent l="0" t="0" r="0" b="6350"/>
                      <wp:wrapNone/>
                      <wp:docPr id="1640207056" name="Flowchart: Connector 23"/>
                      <wp:cNvGraphicFramePr/>
                      <a:graphic xmlns:a="http://schemas.openxmlformats.org/drawingml/2006/main">
                        <a:graphicData uri="http://schemas.microsoft.com/office/word/2010/wordprocessingShape">
                          <wps:wsp>
                            <wps:cNvSpPr/>
                            <wps:spPr>
                              <a:xfrm>
                                <a:off x="0" y="0"/>
                                <a:ext cx="87782" cy="73152"/>
                              </a:xfrm>
                              <a:prstGeom prst="flowChartConnector">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B92BF8" id="Flowchart: Connector 23" o:spid="_x0000_s1026" type="#_x0000_t120" style="position:absolute;margin-left:436.75pt;margin-top:-202.65pt;width:13.8pt;height:11.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" fillcolor="#0e2841 [3215]" stroked="f" strokeweight="1pt">
                      <v:stroke joinstyle="miter"/>
                    </v:shape>
                  </w:pict>
                </mc:Fallback>
              </mc:AlternateContent>
            </w:r>
            <w:r w:rsidR="00E11C7A" w:rsidRPr="002464A0">
              <w:rPr>
                <w:b/>
                <w:noProof/>
                <w:color w:val="7B2952"/>
              </w:rPr>
              <w:drawing>
                <wp:anchor distT="0" distB="0" distL="114300" distR="114300" simplePos="0" relativeHeight="251658240" behindDoc="1" locked="0" layoutInCell="1" allowOverlap="1" wp14:anchorId="53AAC1B5" wp14:editId="084B9119">
                  <wp:simplePos x="0" y="0"/>
                  <wp:positionH relativeFrom="column">
                    <wp:posOffset>3595489</wp:posOffset>
                  </wp:positionH>
                  <wp:positionV relativeFrom="paragraph">
                    <wp:posOffset>-3386670</wp:posOffset>
                  </wp:positionV>
                  <wp:extent cx="1578610" cy="1412558"/>
                  <wp:effectExtent l="0" t="0" r="5080" b="0"/>
                  <wp:wrapTight wrapText="bothSides">
                    <wp:wrapPolygon edited="0">
                      <wp:start x="0" y="0"/>
                      <wp:lineTo x="0" y="21411"/>
                      <wp:lineTo x="21504" y="21411"/>
                      <wp:lineTo x="21504" y="0"/>
                      <wp:lineTo x="0" y="0"/>
                    </wp:wrapPolygon>
                  </wp:wrapTight>
                  <wp:docPr id="164020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62556" name=""/>
                          <pic:cNvPicPr/>
                        </pic:nvPicPr>
                        <pic:blipFill>
                          <a:blip r:embed="rId11">
                            <a:extLst>
                              <a:ext uri="{28A0092B-C50C-407E-A947-70E740481C1C}">
                                <a14:useLocalDpi xmlns:a14="http://schemas.microsoft.com/office/drawing/2010/main" val="0"/>
                              </a:ext>
                            </a:extLst>
                          </a:blip>
                          <a:stretch>
                            <a:fillRect/>
                          </a:stretch>
                        </pic:blipFill>
                        <pic:spPr>
                          <a:xfrm>
                            <a:off x="0" y="0"/>
                            <a:ext cx="1578610" cy="1412558"/>
                          </a:xfrm>
                          <a:prstGeom prst="rect">
                            <a:avLst/>
                          </a:prstGeom>
                        </pic:spPr>
                      </pic:pic>
                    </a:graphicData>
                  </a:graphic>
                </wp:anchor>
              </w:drawing>
            </w:r>
            <w:r w:rsidR="00E11C7A">
              <w:rPr>
                <w:noProof/>
              </w:rPr>
              <mc:AlternateContent>
                <mc:Choice Requires="wps">
                  <w:drawing>
                    <wp:anchor distT="45720" distB="45720" distL="114300" distR="114300" simplePos="0" relativeHeight="251658246" behindDoc="0" locked="0" layoutInCell="1" allowOverlap="1" wp14:anchorId="301A804B" wp14:editId="77B53A3D">
                      <wp:simplePos x="0" y="0"/>
                      <wp:positionH relativeFrom="column">
                        <wp:posOffset>4593571</wp:posOffset>
                      </wp:positionH>
                      <wp:positionV relativeFrom="paragraph">
                        <wp:posOffset>-2907760</wp:posOffset>
                      </wp:positionV>
                      <wp:extent cx="271462" cy="120650"/>
                      <wp:effectExtent l="0" t="0" r="0" b="6350"/>
                      <wp:wrapSquare wrapText="bothSides"/>
                      <wp:docPr id="1640207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 cy="120650"/>
                              </a:xfrm>
                              <a:prstGeom prst="rect">
                                <a:avLst/>
                              </a:prstGeom>
                              <a:noFill/>
                              <a:ln w="9525">
                                <a:noFill/>
                                <a:miter lim="800000"/>
                                <a:headEnd/>
                                <a:tailEnd/>
                              </a:ln>
                            </wps:spPr>
                            <wps:txbx>
                              <w:txbxContent>
                                <w:p w14:paraId="1591B402" w14:textId="77777777" w:rsidR="007E403F" w:rsidRPr="009F3ABA" w:rsidRDefault="007E403F">
                                  <w:pPr>
                                    <w:rPr>
                                      <w:b/>
                                      <w:bCs/>
                                      <w:sz w:val="16"/>
                                      <w:szCs w:val="16"/>
                                    </w:rPr>
                                  </w:pPr>
                                  <w:r w:rsidRPr="009F3ABA">
                                    <w:rPr>
                                      <w:b/>
                                      <w:bCs/>
                                      <w:sz w:val="16"/>
                                      <w:szCs w:val="16"/>
                                    </w:rPr>
                                    <w:t>06/25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A804B" id="_x0000_s1027" type="#_x0000_t202" style="position:absolute;margin-left:440.3pt;margin-top:-191.25pt;width:42.75pt;height:19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" filled="f" stroked="f">
                      <v:textbox>
                        <w:txbxContent>
                          <w:p w14:paraId="1591B402" w14:textId="77777777" w:rsidR="007E403F" w:rsidRPr="009F3ABA" w:rsidRDefault="007E403F">
                            <w:pPr>
                              <w:rPr>
                                <w:b/>
                                <w:bCs/>
                                <w:sz w:val="16"/>
                                <w:szCs w:val="16"/>
                              </w:rPr>
                            </w:pPr>
                            <w:r w:rsidRPr="009F3ABA">
                              <w:rPr>
                                <w:b/>
                                <w:bCs/>
                                <w:sz w:val="16"/>
                                <w:szCs w:val="16"/>
                              </w:rPr>
                              <w:t>06/25</w:t>
                            </w:r>
                          </w:p>
                        </w:txbxContent>
                      </v:textbox>
                      <w10:wrap type="square"/>
                    </v:shape>
                  </w:pict>
                </mc:Fallback>
              </mc:AlternateContent>
            </w:r>
            <w:r w:rsidR="00E11C7A" w:rsidRPr="0074756B">
              <w:rPr>
                <w:b/>
                <w:noProof/>
                <w:color w:val="7B2952"/>
              </w:rPr>
              <w:drawing>
                <wp:anchor distT="0" distB="0" distL="114300" distR="114300" simplePos="0" relativeHeight="251658241" behindDoc="1" locked="0" layoutInCell="1" allowOverlap="1" wp14:anchorId="20F8B914" wp14:editId="2D4DCF5A">
                  <wp:simplePos x="0" y="0"/>
                  <wp:positionH relativeFrom="column">
                    <wp:posOffset>3793232</wp:posOffset>
                  </wp:positionH>
                  <wp:positionV relativeFrom="paragraph">
                    <wp:posOffset>-1974820</wp:posOffset>
                  </wp:positionV>
                  <wp:extent cx="1196022" cy="264795"/>
                  <wp:effectExtent l="0" t="0" r="8255" b="3810"/>
                  <wp:wrapTight wrapText="bothSides">
                    <wp:wrapPolygon edited="0">
                      <wp:start x="0" y="0"/>
                      <wp:lineTo x="0" y="20978"/>
                      <wp:lineTo x="21503" y="20978"/>
                      <wp:lineTo x="21503" y="0"/>
                      <wp:lineTo x="0" y="0"/>
                    </wp:wrapPolygon>
                  </wp:wrapTight>
                  <wp:docPr id="164020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96890" name=""/>
                          <pic:cNvPicPr/>
                        </pic:nvPicPr>
                        <pic:blipFill>
                          <a:blip r:embed="rId12">
                            <a:extLst>
                              <a:ext uri="{28A0092B-C50C-407E-A947-70E740481C1C}">
                                <a14:useLocalDpi xmlns:a14="http://schemas.microsoft.com/office/drawing/2010/main" val="0"/>
                              </a:ext>
                            </a:extLst>
                          </a:blip>
                          <a:stretch>
                            <a:fillRect/>
                          </a:stretch>
                        </pic:blipFill>
                        <pic:spPr>
                          <a:xfrm>
                            <a:off x="0" y="0"/>
                            <a:ext cx="1196022" cy="264795"/>
                          </a:xfrm>
                          <a:prstGeom prst="rect">
                            <a:avLst/>
                          </a:prstGeom>
                        </pic:spPr>
                      </pic:pic>
                    </a:graphicData>
                  </a:graphic>
                  <wp14:sizeRelH relativeFrom="margin">
                    <wp14:pctWidth>0</wp14:pctWidth>
                  </wp14:sizeRelH>
                  <wp14:sizeRelV relativeFrom="margin">
                    <wp14:pctHeight>0</wp14:pctHeight>
                  </wp14:sizeRelV>
                </wp:anchor>
              </w:drawing>
            </w:r>
          </w:p>
        </w:tc>
      </w:tr>
      <w:tr w:rsidR="00FC6619" w14:paraId="414036AB" w14:textId="77777777" w:rsidTr="00E11C7A">
        <w:trPr>
          <w:gridAfter w:val="1"/>
          <w:wAfter w:w="346" w:type="dxa"/>
          <w:trHeight w:val="900" w:hRule="atLeast"/>
        </w:trPr>
        <w:tc>
          <w:tcPr>
            <w:tcW w:w="10692" w:type="dxa"/>
            <w:gridSpan w:val="2"/>
          </w:tcPr>
          <w:tbl>
            <w:tblPr>
              <w:tblpPr w:leftFromText="180" w:rightFromText="180" w:vertAnchor="text" w:horzAnchor="margin" w:tblpY="-22"/>
              <w:tblOverlap w:val="never"/>
              <w:tblW w:w="0" w:type="auto"/>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CellMar>
                <w:right w:w="216" w:type="dxa"/>
              </w:tblCellMar>
              <w:tblLook w:val="04A0" w:firstRow="1" w:lastRow="0" w:firstColumn="1" w:lastColumn="0" w:noHBand="0" w:noVBand="1"/>
            </w:tblPr>
            <w:tblGrid>
              <w:gridCol w:w="2787"/>
              <w:gridCol w:w="1883"/>
              <w:gridCol w:w="5790"/>
            </w:tblGrid>
            <w:tr w:rsidR="00003CD1" w14:paraId="62C1CB6F" w14:textId="77777777" w:rsidTr="00964A16">
              <w:tc>
                <w:tcPr>
                  <w:tcW w:w="2787" w:type="dxa"/>
                  <w:shd w:val="clear" w:color="auto" w:fill="7B2952"/>
                </w:tcPr>
                <w:p w14:paraId="18D74D1F" w14:textId="77777777" w:rsidR="00003CD1" w:rsidRDefault="00003CD1" w:rsidP="00003CD1">
                  <w:pPr>
                    <w:spacing w:after="0"/>
                  </w:pPr>
                  <w:r>
                    <w:rPr>
                      <w:b/>
                      <w:color w:val="FFFFFF"/>
                      <w:sz w:val="19"/>
                    </w:rPr>
                    <w:lastRenderedPageBreak/>
                    <w:t>Theme</w:t>
                  </w:r>
                </w:p>
              </w:tc>
              <w:tc>
                <w:tcPr>
                  <w:tcW w:w="1883" w:type="dxa"/>
                  <w:shd w:val="clear" w:color="auto" w:fill="7B2952"/>
                </w:tcPr>
                <w:p w14:paraId="16B64AC6" w14:textId="77777777" w:rsidR="00003CD1" w:rsidRDefault="00003CD1" w:rsidP="00003CD1">
                  <w:pPr>
                    <w:spacing w:after="0"/>
                  </w:pPr>
                  <w:r>
                    <w:rPr>
                      <w:b/>
                      <w:color w:val="FFFFFF"/>
                      <w:sz w:val="19"/>
                    </w:rPr>
                    <w:t>Status</w:t>
                  </w:r>
                </w:p>
              </w:tc>
              <w:tc>
                <w:tcPr>
                  <w:tcW w:w="5791" w:type="dxa"/>
                  <w:shd w:val="clear" w:color="auto" w:fill="7B2952"/>
                </w:tcPr>
                <w:p w14:paraId="6A5F3D5B" w14:textId="77777777" w:rsidR="00003CD1" w:rsidRDefault="00003CD1" w:rsidP="00003CD1">
                  <w:pPr>
                    <w:spacing w:after="0"/>
                  </w:pPr>
                  <w:r>
                    <w:rPr>
                      <w:b/>
                      <w:color w:val="FFFFFF"/>
                      <w:sz w:val="19"/>
                    </w:rPr>
                    <w:t>One-line development</w:t>
                  </w:r>
                </w:p>
              </w:tc>
            </w:tr>
            <w:tr w:rsidR="00003CD1" w14:paraId="62B1C569" w14:textId="77777777" w:rsidTr="00964A16">
              <w:tc>
                <w:tcPr>
                  <w:tcW w:w="2787" w:type="dxa"/>
                </w:tcPr>
                <w:p w14:paraId="3FA6596F" w14:textId="77777777" w:rsidR="00003CD1" w:rsidRPr="00042A6F" w:rsidRDefault="00003CD1" w:rsidP="00003CD1">
                  <w:pPr>
                    <w:spacing w:after="0"/>
                    <w:rPr>
                      <w:szCs w:val="22"/>
                    </w:rPr>
                  </w:pPr>
                  <w:r w:rsidRPr="00042A6F">
                    <w:rPr>
                      <w:szCs w:val="22"/>
                    </w:rPr>
                    <w:t>1. Fiscal Expansion and Deregulation</w:t>
                  </w:r>
                </w:p>
              </w:tc>
              <w:tc>
                <w:tcPr>
                  <w:tcW w:w="1883" w:type="dxa"/>
                  <w:vAlign w:val="center"/>
                </w:tcPr>
                <w:p w14:paraId="6BC1D7AE" w14:textId="77777777" w:rsidR="00003CD1" w:rsidRDefault="002D275B" w:rsidP="00CF10D0">
                  <w:pPr>
                    <w:spacing w:after="0"/>
                  </w:pPr>
                  <w:r>
                    <w:rPr>
                      <w:noProof/>
                    </w:rPr>
                    <mc:AlternateContent>
                      <mc:Choice Requires="wps">
                        <w:drawing>
                          <wp:inline distT="0" distB="0" distL="0" distR="0" wp14:anchorId="270E2F4A" wp14:editId="6638F15D">
                            <wp:extent cx="146649" cy="154880"/>
                            <wp:effectExtent l="0" t="0" r="6350" b="0"/>
                            <wp:docPr id="164020706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4934051"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t xml:space="preserve">Escalating</w:t>
                  </w:r>
                </w:p>
              </w:tc>
              <w:tc>
                <w:tcPr>
                  <w:tcW w:w="5791" w:type="dxa"/>
                </w:tcPr>
                <w:p w14:paraId="067C1EAF" w14:textId="4268F49C" w:rsidR="00003CD1" w:rsidRDefault="00003CD1" w:rsidP="00003CD1">
                  <w:pPr>
                    <w:spacing w:after="0"/>
                  </w:pPr>
                  <w:r>
                    <w:rPr>
                      <w:color w:val="000000"/>
                    </w:rPr>
                    <w:t xml:space="preserve">NATO signed over $50B of procurement and €70B for Ukraine, and Canada bought German submarines; equities still sold the news.</w:t>
                  </w:r>
                </w:p>
              </w:tc>
            </w:tr>
            <w:tr w:rsidR="00003CD1" w14:paraId="2932BA28" w14:textId="77777777" w:rsidTr="00964A16">
              <w:tc>
                <w:tcPr>
                  <w:tcW w:w="2787" w:type="dxa"/>
                </w:tcPr>
                <w:p w14:paraId="58EF42EE" w14:textId="77777777" w:rsidR="00003CD1" w:rsidRPr="00042A6F" w:rsidRDefault="00003CD1" w:rsidP="00003CD1">
                  <w:pPr>
                    <w:spacing w:after="0"/>
                    <w:rPr>
                      <w:szCs w:val="22"/>
                    </w:rPr>
                  </w:pPr>
                  <w:r w:rsidRPr="00042A6F">
                    <w:rPr>
                      <w:szCs w:val="22"/>
                    </w:rPr>
                    <w:t>2. Currency Debasement</w:t>
                  </w:r>
                </w:p>
              </w:tc>
              <w:tc>
                <w:tcPr>
                  <w:tcW w:w="1883" w:type="dxa"/>
                  <w:vAlign w:val="center"/>
                </w:tcPr>
                <w:p w14:paraId="6DE792FA" w14:textId="77777777" w:rsidR="00003CD1" w:rsidRDefault="007E403F" w:rsidP="00CF10D0">
                  <w:pPr>
                    <w:spacing w:after="0"/>
                  </w:pPr>
                  <w:r>
                    <w:rPr>
                      <w:noProof/>
                    </w:rPr>
                    <mc:AlternateContent>
                      <mc:Choice Requires="wps">
                        <w:drawing>
                          <wp:inline distT="0" distB="0" distL="0" distR="0" wp14:anchorId="31906191" wp14:editId="0AFBB6EB">
                            <wp:extent cx="146649" cy="154880"/>
                            <wp:effectExtent l="0" t="0" r="6350" b="0"/>
                            <wp:docPr id="1640207062"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162C2F9C"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ffc000" stroked="f">
                            <w10:anchorlock/>
                          </v:oval>
                        </w:pict>
                      </mc:Fallback>
                    </mc:AlternateContent>
                  </w:r>
                  <w:r>
                    <w:t xml:space="preserve">Held</w:t>
                  </w:r>
                </w:p>
              </w:tc>
              <w:tc>
                <w:tcPr>
                  <w:tcW w:w="5791" w:type="dxa"/>
                </w:tcPr>
                <w:p w14:paraId="67FE7DF3" w14:textId="10FFF626" w:rsidR="00003CD1" w:rsidRDefault="007E403F" w:rsidP="00003CD1">
                  <w:pPr>
                    <w:spacing w:after="0"/>
                  </w:pPr>
                  <w:r>
                    <w:rPr>
                      <w:color w:val="000000"/>
                    </w:rPr>
                    <w:t xml:space="preserve">Gold fell to a one-week low and the dollar firmed despite the war on the hawkish Fed minutes; China's buying held the structural bid.</w:t>
                  </w:r>
                </w:p>
              </w:tc>
            </w:tr>
            <w:tr w:rsidR="00003CD1" w14:paraId="364DBB80" w14:textId="77777777" w:rsidTr="00964A16">
              <w:tc>
                <w:tcPr>
                  <w:tcW w:w="2787" w:type="dxa"/>
                </w:tcPr>
                <w:p w14:paraId="1A1C5312" w14:textId="77777777" w:rsidR="00003CD1" w:rsidRPr="00042A6F" w:rsidRDefault="00003CD1" w:rsidP="00003CD1">
                  <w:pPr>
                    <w:spacing w:after="0"/>
                    <w:rPr>
                      <w:szCs w:val="22"/>
                    </w:rPr>
                  </w:pPr>
                  <w:r w:rsidRPr="00042A6F">
                    <w:rPr>
                      <w:szCs w:val="22"/>
                    </w:rPr>
                    <w:t>3. Energy and the Energy Transition</w:t>
                  </w:r>
                </w:p>
              </w:tc>
              <w:tc>
                <w:tcPr>
                  <w:tcW w:w="1883" w:type="dxa"/>
                  <w:vAlign w:val="center"/>
                </w:tcPr>
                <w:p w14:paraId="4BAB9867" w14:textId="77777777" w:rsidR="00003CD1" w:rsidRDefault="002D275B" w:rsidP="00CF10D0">
                  <w:pPr>
                    <w:spacing w:after="0"/>
                  </w:pPr>
                  <w:r>
                    <w:rPr>
                      <w:noProof/>
                    </w:rPr>
                    <mc:AlternateContent>
                      <mc:Choice Requires="wps">
                        <w:drawing>
                          <wp:inline distT="0" distB="0" distL="0" distR="0" wp14:anchorId="75A51488" wp14:editId="5911AA54">
                            <wp:extent cx="146649" cy="154880"/>
                            <wp:effectExtent l="0" t="0" r="6350" b="0"/>
                            <wp:docPr id="164020706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5BFFC86F"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 xml:space="preserve">Held</w:t>
                  </w:r>
                </w:p>
              </w:tc>
              <w:tc>
                <w:tcPr>
                  <w:tcW w:w="5791" w:type="dxa"/>
                </w:tcPr>
                <w:p w14:paraId="2A6D1866" w14:textId="7F9678D6" w:rsidR="00003CD1" w:rsidRDefault="00003CD1" w:rsidP="00003CD1">
                  <w:pPr>
                    <w:spacing w:after="0"/>
                  </w:pPr>
                  <w:r>
                    <w:rPr>
                      <w:color w:val="000000"/>
                    </w:rPr>
                    <w:t xml:space="preserve">Grid strain eased and PJM prices normalised while data-centre power deals kept landing; the week's big move was oil.</w:t>
                  </w:r>
                </w:p>
              </w:tc>
            </w:tr>
            <w:tr w:rsidR="00003CD1" w14:paraId="36D5A70C" w14:textId="77777777" w:rsidTr="00964A16">
              <w:trPr>
                <w:trHeight w:val="1050"/>
              </w:trPr>
              <w:tc>
                <w:tcPr>
                  <w:tcW w:w="2787" w:type="dxa"/>
                </w:tcPr>
                <w:p w14:paraId="5F1EEB0D" w14:textId="77777777" w:rsidR="00003CD1" w:rsidRPr="00042A6F" w:rsidRDefault="00003CD1" w:rsidP="00003CD1">
                  <w:pPr>
                    <w:spacing w:after="0"/>
                    <w:rPr>
                      <w:szCs w:val="22"/>
                    </w:rPr>
                  </w:pPr>
                  <w:r w:rsidRPr="00042A6F">
                    <w:rPr>
                      <w:szCs w:val="22"/>
                    </w:rPr>
                    <w:t>4. Artificial Intelligence</w:t>
                  </w:r>
                </w:p>
              </w:tc>
              <w:tc>
                <w:tcPr>
                  <w:tcW w:w="1883" w:type="dxa"/>
                  <w:vAlign w:val="center"/>
                </w:tcPr>
                <w:p w14:paraId="402C2B7D" w14:textId="13AA8D08" w:rsidR="00003CD1" w:rsidRDefault="009D5A82" w:rsidP="00CF10D0">
                  <w:pPr>
                    <w:spacing w:after="0"/>
                  </w:pPr>
                  <w:r>
                    <w:rPr>
                      <w:noProof/>
                    </w:rPr>
                    <mc:AlternateContent>
                      <mc:Choice Requires="wps">
                        <w:drawing>
                          <wp:inline distT="0" distB="0" distL="0" distR="0" wp14:anchorId="10F12BAC" wp14:editId="0F252F11">
                            <wp:extent cx="146649" cy="154880"/>
                            <wp:effectExtent l="0" t="0" r="6350" b="0"/>
                            <wp:docPr id="1821617708"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00E7CE29"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 xml:space="preserve">Held</w:t>
                  </w:r>
                </w:p>
              </w:tc>
              <w:tc>
                <w:tcPr>
                  <w:tcW w:w="5791" w:type="dxa"/>
                </w:tcPr>
                <w:p w14:paraId="798D251C" w14:textId="3A9D8156" w:rsidR="00003CD1" w:rsidRDefault="007E403F" w:rsidP="00003CD1">
                  <w:pPr>
                    <w:spacing w:after="0"/>
                  </w:pPr>
                  <w:r>
                    <w:rPr>
                      <w:color w:val="000000"/>
                    </w:rPr>
                    <w:t xml:space="preserve">A memory rout reversed into SK Hynix's 7x-oversubscribed listing, but Amazon's $25B bond drew the weakest demand since October.</w:t>
                  </w:r>
                </w:p>
              </w:tc>
            </w:tr>
            <w:tr w:rsidR="00003CD1" w14:paraId="3A43893B" w14:textId="77777777" w:rsidTr="00964A16">
              <w:tc>
                <w:tcPr>
                  <w:tcW w:w="2787" w:type="dxa"/>
                </w:tcPr>
                <w:p w14:paraId="3D764536" w14:textId="77777777" w:rsidR="00003CD1" w:rsidRPr="00042A6F" w:rsidRDefault="00003CD1" w:rsidP="00003CD1">
                  <w:pPr>
                    <w:spacing w:after="0"/>
                    <w:rPr>
                      <w:szCs w:val="22"/>
                    </w:rPr>
                  </w:pPr>
                  <w:r w:rsidRPr="00042A6F">
                    <w:rPr>
                      <w:szCs w:val="22"/>
                    </w:rPr>
                    <w:t>5. Geopolitics and Trade</w:t>
                  </w:r>
                </w:p>
              </w:tc>
              <w:tc>
                <w:tcPr>
                  <w:tcW w:w="1883" w:type="dxa"/>
                  <w:vAlign w:val="center"/>
                </w:tcPr>
                <w:p w14:paraId="7D49F7E3" w14:textId="77777777" w:rsidR="00003CD1" w:rsidRDefault="002D275B" w:rsidP="00CF10D0">
                  <w:pPr>
                    <w:spacing w:after="0"/>
                  </w:pPr>
                  <w:r>
                    <w:rPr>
                      <w:noProof/>
                    </w:rPr>
                    <mc:AlternateContent>
                      <mc:Choice Requires="wps">
                        <w:drawing>
                          <wp:inline distT="0" distB="0" distL="0" distR="0" wp14:anchorId="7C43146B" wp14:editId="3473474E">
                            <wp:extent cx="146649" cy="154880"/>
                            <wp:effectExtent l="0" t="0" r="6350" b="0"/>
                            <wp:docPr id="164020706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434D136"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92d050" stroked="f">
                            <w10:anchorlock/>
                          </v:oval>
                        </w:pict>
                      </mc:Fallback>
                    </mc:AlternateContent>
                  </w:r>
                  <w:r>
                    <w:t xml:space="preserve">Escalating</w:t>
                  </w:r>
                </w:p>
              </w:tc>
              <w:tc>
                <w:tcPr>
                  <w:tcW w:w="5791" w:type="dxa"/>
                </w:tcPr>
                <w:p w14:paraId="19B7C66A" w14:textId="086FB889" w:rsidR="00003CD1" w:rsidRDefault="00237EED" w:rsidP="00003CD1">
                  <w:pPr>
                    <w:spacing w:after="0"/>
                  </w:pPr>
                  <w:r>
                    <w:rPr>
                      <w:color w:val="000000"/>
                    </w:rPr>
                    <w:t xml:space="preserve">The US-Iran ceasefire collapsed into the sharpest fighting of the war and oil ran to $78; Russia-Ukraine escalated in parallel.</w:t>
                  </w:r>
                </w:p>
              </w:tc>
            </w:tr>
            <w:tr w:rsidR="00003CD1" w14:paraId="49085743" w14:textId="77777777" w:rsidTr="00964A16">
              <w:tc>
                <w:tcPr>
                  <w:tcW w:w="2787" w:type="dxa"/>
                </w:tcPr>
                <w:p w14:paraId="4BF4632A" w14:textId="77777777" w:rsidR="00003CD1" w:rsidRPr="00042A6F" w:rsidRDefault="00003CD1" w:rsidP="00003CD1">
                  <w:pPr>
                    <w:spacing w:after="0"/>
                    <w:rPr>
                      <w:szCs w:val="22"/>
                    </w:rPr>
                  </w:pPr>
                  <w:r w:rsidRPr="00042A6F">
                    <w:rPr>
                      <w:szCs w:val="22"/>
                    </w:rPr>
                    <w:t>6. Domestic Investing Pressures</w:t>
                  </w:r>
                </w:p>
              </w:tc>
              <w:tc>
                <w:tcPr>
                  <w:tcW w:w="1883" w:type="dxa"/>
                  <w:vAlign w:val="center"/>
                </w:tcPr>
                <w:p w14:paraId="798D2E14" w14:textId="77777777" w:rsidR="00003CD1" w:rsidRDefault="002D275B" w:rsidP="00CF10D0">
                  <w:pPr>
                    <w:spacing w:after="0"/>
                  </w:pPr>
                  <w:r>
                    <w:rPr>
                      <w:noProof/>
                    </w:rPr>
                    <mc:AlternateContent>
                      <mc:Choice Requires="wps">
                        <w:drawing>
                          <wp:inline distT="0" distB="0" distL="0" distR="0" wp14:anchorId="45834D88" wp14:editId="59423E36">
                            <wp:extent cx="146649" cy="154880"/>
                            <wp:effectExtent l="0" t="0" r="6350" b="0"/>
                            <wp:docPr id="1640207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64B699D"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 xml:space="preserve">Held</w:t>
                  </w:r>
                </w:p>
              </w:tc>
              <w:tc>
                <w:tcPr>
                  <w:tcW w:w="5791" w:type="dxa"/>
                </w:tcPr>
                <w:p w14:paraId="382D9DB7" w14:textId="77777777" w:rsidR="00003CD1" w:rsidRDefault="00003CD1" w:rsidP="00003CD1">
                  <w:pPr>
                    <w:spacing w:after="0"/>
                  </w:pPr>
                  <w:r>
                    <w:rPr>
                      <w:color w:val="000000"/>
                    </w:rPr>
                    <w:t xml:space="preserve">Canada's defence build-out expanded, its largest-ever submarine buy and a new defence bank, while pension-steering stayed quiet.</w:t>
                  </w:r>
                </w:p>
              </w:tc>
            </w:tr>
          </w:tbl>
          <w:p w14:paraId="600880C0" w14:textId="77777777" w:rsidR="00003CD1" w:rsidRPr="00F521CB" w:rsidRDefault="00003CD1" w:rsidP="00F3452F">
            <w:pPr>
              <w:spacing w:after="120"/>
              <w:jc w:val="both"/>
              <w:rPr>
                <w:sz w:val="20"/>
                <w:szCs w:val="20"/>
              </w:rPr>
            </w:pPr>
          </w:p>
        </w:tc>
      </w:tr>
      <w:tr w:rsidR="00023C39" w14:paraId="4A615000" w14:textId="77777777" w:rsidTr="00E11C7A">
        <w:trPr>
          <w:trHeight w:val="788"/>
        </w:trPr>
        <w:tc>
          <w:tcPr>
            <w:tcW w:w="5361" w:type="dxa"/>
            <w:vAlign w:val="center"/>
          </w:tcPr>
          <w:p w14:paraId="577E0DB2" w14:textId="77777777" w:rsidR="007E403F" w:rsidRPr="00023C39" w:rsidRDefault="007E403F" w:rsidP="00023C39">
            <w:pPr>
              <w:pageBreakBefore/>
              <w:spacing w:before="80" w:after="40"/>
              <w:jc w:val="center"/>
            </w:pPr>
            <w:r>
              <w:rPr>
                <w:b/>
                <w:color w:val="7B2952"/>
                <w:sz w:val="25"/>
              </w:rPr>
              <w:t>Key Developments</w:t>
            </w:r>
          </w:p>
        </w:tc>
        <w:tc>
          <w:tcPr>
            <w:tcW w:w="5677" w:type="dxa"/>
            <w:gridSpan w:val="2"/>
            <w:vAlign w:val="center"/>
          </w:tcPr>
          <w:p w14:paraId="19E03BC2" w14:textId="77777777" w:rsidR="007E403F" w:rsidRPr="00023C39" w:rsidRDefault="007E403F" w:rsidP="00023C39">
            <w:pPr>
              <w:spacing w:before="120" w:after="40"/>
              <w:jc w:val="center"/>
            </w:pPr>
            <w:r>
              <w:rPr>
                <w:b/>
                <w:color w:val="7B2952"/>
                <w:sz w:val="25"/>
              </w:rPr>
              <w:t>Implication for Themes</w:t>
            </w:r>
          </w:p>
        </w:tc>
      </w:tr>
      <w:tr w:rsidR="00831451" w14:paraId="474E6A1C" w14:textId="77777777" w:rsidTr="00E11C7A">
        <w:trPr>
          <w:gridAfter w:val="1"/>
          <w:wAfter w:w="346" w:type="dxa"/>
          <w:trHeight w:val="1150" w:hRule="atLeast"/>
        </w:trPr>
        <w:tc>
          <w:tcPr>
            <w:tcW w:w="5361" w:type="dxa"/>
          </w:tcPr>
          <w:p w14:paraId="1246F7A1" w14:textId="77777777"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The US-Iran June ceasefire collapsed: Iran struck three Hormuz tankers, US Central Command hit more than 80 Iranian targets over two nights, and Iran hit three Gulf states (CENTCOM; Al Jazeera). Brent ran from about $72 to $78 and Hormuz traffic fell to roughly 34 transits a day.</w:t>
            </w:r>
          </w:p>
        </w:tc>
        <w:tc>
          <w:tcPr>
            <w:tcW w:w="5331" w:type="dxa"/>
          </w:tcPr>
          <w:p w14:paraId="479696FB" w14:textId="3D06F73E" w:rsidR="007E403F" w:rsidRPr="00596B28" w:rsidRDefault="007E403F" w:rsidP="00596B28">
            <w:pPr>
              <w:pStyle w:val="ListParagraph"/>
              <w:numPr>
                <w:ilvl w:val="0"/>
                <w:numId w:val="9"/>
              </w:numPr>
              <w:jc w:val="both"/>
              <w:rPr>
                <w:rFonts w:cstheme="minorBidi"/>
                <w:kern w:val="2"/>
                <w:lang w:eastAsia="en-CA"/>
                <w14:ligatures w14:val="standardContextual"/>
              </w:rPr>
              <w:spacing w:before="0" w:after="20"/>
            </w:pPr>
            <w:r w:rsidRPr="00596B28">
              <w:rPr>
                <w:rFonts w:cstheme="minorBidi"/>
                <w:color w:val="000000"/>
              </w:rPr>
              <w:lastRenderedPageBreak/>
              <w:t xml:space="preserve">The war premium rebuilt in days, pushing Geopolitics to Escalating and putting the oil passthrough back into July CPI.</w:t>
            </w:r>
          </w:p>
          <w:p w14:paraId="772AFD90" w14:textId="77777777" w:rsidR="00831451" w:rsidRDefault="00831451" w:rsidP="00023C39">
            <w:pPr>
              <w:pStyle w:val="ListParagraph"/>
              <w:ind w:left="360"/>
              <w:jc w:val="both"/>
              <w:spacing w:before="0" w:after="20"/>
            </w:pPr>
          </w:p>
        </w:tc>
      </w:tr>
      <w:tr w:rsidR="00831451" w14:paraId="474E6A1C" w14:textId="77777777" w:rsidTr="00E11C7A">
        <w:trPr>
          <w:gridAfter w:val="1"/>
          <w:wAfter w:w="346" w:type="dxa"/>
          <w:trHeight w:val="1150" w:hRule="atLeast"/>
        </w:trPr>
        <w:tc>
          <w:tcPr>
            <w:tcW w:w="5361" w:type="dxa"/>
          </w:tcPr>
          <w:p w14:paraId="1246F7A1" w14:textId="77777777"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The first Warsh-era FOMC minutes landed hawkish: nine of eighteen saw a hike by year-end and the statement promised to 'deliver price stability,' flagging May PCE up to 4.1% (Federal Reserve). The 2-year rose to 4.21% and the 10-year to a seven-week high near 4.57%.</w:t>
            </w:r>
          </w:p>
        </w:tc>
        <w:tc>
          <w:tcPr>
            <w:tcW w:w="5331" w:type="dxa"/>
          </w:tcPr>
          <w:p w14:paraId="479696FB" w14:textId="3D06F73E" w:rsidR="007E403F" w:rsidRPr="00596B28" w:rsidRDefault="007E403F" w:rsidP="00596B28">
            <w:pPr>
              <w:pStyle w:val="ListParagraph"/>
              <w:numPr>
                <w:ilvl w:val="0"/>
                <w:numId w:val="9"/>
              </w:numPr>
              <w:jc w:val="both"/>
              <w:rPr>
                <w:rFonts w:cstheme="minorBidi"/>
                <w:kern w:val="2"/>
                <w:lang w:eastAsia="en-CA"/>
                <w14:ligatures w14:val="standardContextual"/>
              </w:rPr>
              <w:spacing w:before="0" w:after="20"/>
            </w:pPr>
            <w:r w:rsidRPr="00596B28">
              <w:rPr>
                <w:rFonts w:cstheme="minorBidi"/>
                <w:color w:val="000000"/>
              </w:rPr>
              <w:lastRenderedPageBreak/>
              <w:t xml:space="preserve">A Fed priced to hold is again seen likely to hike, firming the dollar and lifting real yields, the main reason gold fell into the war.</w:t>
            </w:r>
          </w:p>
          <w:p w14:paraId="772AFD90" w14:textId="77777777" w:rsidR="00831451" w:rsidRDefault="00831451" w:rsidP="00023C39">
            <w:pPr>
              <w:pStyle w:val="ListParagraph"/>
              <w:ind w:left="360"/>
              <w:jc w:val="both"/>
              <w:spacing w:before="0" w:after="20"/>
            </w:pPr>
          </w:p>
        </w:tc>
      </w:tr>
      <w:tr w:rsidR="00831451" w14:paraId="474E6A1C" w14:textId="77777777" w:rsidTr="00E11C7A">
        <w:trPr>
          <w:gridAfter w:val="1"/>
          <w:wAfter w:w="346" w:type="dxa"/>
          <w:trHeight w:val="1150" w:hRule="atLeast"/>
        </w:trPr>
        <w:tc>
          <w:tcPr>
            <w:tcW w:w="5361" w:type="dxa"/>
          </w:tcPr>
          <w:p w14:paraId="1246F7A1" w14:textId="77777777"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NATO's Ankara summit signed over $50B of procurement and a €70B Ukraine pledge, and Germany set a path above €200B of defence by 2030 (NATO; Reuters). Trump ordered a trade cut-off with Spain over its refusal to reach 5% of GDP.</w:t>
            </w:r>
          </w:p>
        </w:tc>
        <w:tc>
          <w:tcPr>
            <w:tcW w:w="5331" w:type="dxa"/>
          </w:tcPr>
          <w:p w14:paraId="479696FB" w14:textId="3D06F73E" w:rsidR="007E403F" w:rsidRPr="00596B28" w:rsidRDefault="007E403F" w:rsidP="00596B28">
            <w:pPr>
              <w:pStyle w:val="ListParagraph"/>
              <w:numPr>
                <w:ilvl w:val="0"/>
                <w:numId w:val="9"/>
              </w:numPr>
              <w:jc w:val="both"/>
              <w:rPr>
                <w:rFonts w:cstheme="minorBidi"/>
                <w:kern w:val="2"/>
                <w:lang w:eastAsia="en-CA"/>
                <w14:ligatures w14:val="standardContextual"/>
              </w:rPr>
              <w:spacing w:before="0" w:after="20"/>
            </w:pPr>
            <w:r w:rsidRPr="00596B28">
              <w:rPr>
                <w:rFonts w:cstheme="minorBidi"/>
                <w:color w:val="000000"/>
              </w:rPr>
              <w:lastRenderedPageBreak/>
              <w:t xml:space="preserve">The defence-fiscal buildout hardened from roadmap to signed spending; the Spain order is the first Trump trade threat the tape reacted to this cycle.</w:t>
            </w:r>
          </w:p>
          <w:p w14:paraId="772AFD90" w14:textId="77777777" w:rsidR="00831451" w:rsidRDefault="00831451" w:rsidP="00023C39">
            <w:pPr>
              <w:pStyle w:val="ListParagraph"/>
              <w:ind w:left="360"/>
              <w:jc w:val="both"/>
              <w:spacing w:before="0" w:after="20"/>
            </w:pPr>
          </w:p>
        </w:tc>
      </w:tr>
      <w:tr w:rsidR="00831451" w14:paraId="474E6A1C" w14:textId="77777777" w:rsidTr="00E11C7A">
        <w:trPr>
          <w:gridAfter w:val="1"/>
          <w:wAfter w:w="346" w:type="dxa"/>
          <w:trHeight w:val="1150" w:hRule="atLeast"/>
        </w:trPr>
        <w:tc>
          <w:tcPr>
            <w:tcW w:w="5361" w:type="dxa"/>
          </w:tcPr>
          <w:p w14:paraId="1246F7A1" w14:textId="77777777"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The AI trade split: Samsung's record profit sold off 13% before Apple's $30B Broadcom deal sparked a rebound and SK Hynix's listing ran 7x oversubscribed, while Amazon's $25B bond drew the weakest hyperscaler demand since October (Bloomberg; Reuters).</w:t>
            </w:r>
          </w:p>
        </w:tc>
        <w:tc>
          <w:tcPr>
            <w:tcW w:w="5331" w:type="dxa"/>
          </w:tcPr>
          <w:p w14:paraId="479696FB" w14:textId="3D06F73E" w:rsidR="007E403F" w:rsidRPr="00596B28" w:rsidRDefault="007E403F" w:rsidP="00596B28">
            <w:pPr>
              <w:pStyle w:val="ListParagraph"/>
              <w:numPr>
                <w:ilvl w:val="0"/>
                <w:numId w:val="9"/>
              </w:numPr>
              <w:jc w:val="both"/>
              <w:rPr>
                <w:rFonts w:cstheme="minorBidi"/>
                <w:kern w:val="2"/>
                <w:lang w:eastAsia="en-CA"/>
                <w14:ligatures w14:val="standardContextual"/>
              </w:rPr>
              <w:spacing w:before="0" w:after="20"/>
            </w:pPr>
            <w:r w:rsidRPr="00596B28">
              <w:rPr>
                <w:rFonts w:cstheme="minorBidi"/>
                <w:color w:val="000000"/>
              </w:rPr>
              <w:lastRenderedPageBreak/>
              <w:t xml:space="preserve">Equity appetite for the buildout is intact while debt appetite thins, the first crack in the financing story; AI stays Held.</w:t>
            </w:r>
          </w:p>
          <w:p w14:paraId="772AFD90" w14:textId="77777777" w:rsidR="00831451" w:rsidRDefault="00831451" w:rsidP="00023C39">
            <w:pPr>
              <w:pStyle w:val="ListParagraph"/>
              <w:ind w:left="360"/>
              <w:jc w:val="both"/>
              <w:spacing w:before="0" w:after="20"/>
            </w:pPr>
          </w:p>
        </w:tc>
      </w:tr>
      <w:tr w:rsidR="00831451" w14:paraId="474E6A1C" w14:textId="77777777" w:rsidTr="00E11C7A">
        <w:trPr>
          <w:gridAfter w:val="1"/>
          <w:wAfter w:w="346" w:type="dxa"/>
          <w:trHeight w:val="1150" w:hRule="atLeast"/>
        </w:trPr>
        <w:tc>
          <w:tcPr>
            <w:tcW w:w="5361" w:type="dxa"/>
          </w:tcPr>
          <w:p w14:paraId="1246F7A1" w14:textId="77777777"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Canada made its largest-ever defence procurement, choosing Germany's TKMS for up to twelve submarines, and launched a Canada-Germany partnership and a Canada-chaired defence bank (PM.gc.ca).</w:t>
            </w:r>
          </w:p>
        </w:tc>
        <w:tc>
          <w:tcPr>
            <w:tcW w:w="5331" w:type="dxa"/>
          </w:tcPr>
          <w:p w14:paraId="479696FB" w14:textId="3D06F73E" w:rsidR="007E403F" w:rsidRPr="00596B28" w:rsidRDefault="007E403F" w:rsidP="00596B28">
            <w:pPr>
              <w:pStyle w:val="ListParagraph"/>
              <w:numPr>
                <w:ilvl w:val="0"/>
                <w:numId w:val="9"/>
              </w:numPr>
              <w:jc w:val="both"/>
              <w:rPr>
                <w:rFonts w:cstheme="minorBidi"/>
                <w:kern w:val="2"/>
                <w:lang w:eastAsia="en-CA"/>
                <w14:ligatures w14:val="standardContextual"/>
              </w:rPr>
              <w:spacing w:before="0" w:after="20"/>
            </w:pPr>
            <w:r w:rsidRPr="00596B28">
              <w:rPr>
                <w:rFonts w:cstheme="minorBidi"/>
                <w:color w:val="000000"/>
              </w:rPr>
              <w:lastRenderedPageBreak/>
              <w:t xml:space="preserve">The state is steering capital and industry toward domestic and allied resilience at scale, the structural tailwind behind Domestic.</w:t>
            </w:r>
          </w:p>
          <w:p w14:paraId="772AFD90" w14:textId="77777777" w:rsidR="00831451" w:rsidRDefault="00831451" w:rsidP="00023C39">
            <w:pPr>
              <w:pStyle w:val="ListParagraph"/>
              <w:ind w:left="360"/>
              <w:jc w:val="both"/>
              <w:spacing w:before="0" w:after="20"/>
            </w:pPr>
          </w:p>
        </w:tc>
      </w:tr>
      <w:tr w:rsidR="00831451" w14:paraId="474E6A1C" w14:textId="77777777" w:rsidTr="00E11C7A">
        <w:trPr>
          <w:gridAfter w:val="1"/>
          <w:wAfter w:w="346" w:type="dxa"/>
          <w:trHeight w:val="1150" w:hRule="atLeast"/>
        </w:trPr>
        <w:tc>
          <w:tcPr>
            <w:tcW w:w="5361" w:type="dxa"/>
          </w:tcPr>
          <w:p w14:paraId="1246F7A1" w14:textId="77777777"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Gold fell to a one-week low near $4,069 despite the war as the hawkish minutes and firmer dollar overrode the haven bid, with the weakest H1 North American ETF demand since 2013 (Reuters; WGC); China kept buying, a 20th straight month.</w:t>
            </w:r>
          </w:p>
        </w:tc>
        <w:tc>
          <w:tcPr>
            <w:tcW w:w="5331" w:type="dxa"/>
          </w:tcPr>
          <w:p w14:paraId="479696FB" w14:textId="3D06F73E" w:rsidR="007E403F" w:rsidRPr="00596B28" w:rsidRDefault="007E403F" w:rsidP="00596B28">
            <w:pPr>
              <w:pStyle w:val="ListParagraph"/>
              <w:numPr>
                <w:ilvl w:val="0"/>
                <w:numId w:val="9"/>
              </w:numPr>
              <w:jc w:val="both"/>
              <w:rPr>
                <w:rFonts w:cstheme="minorBidi"/>
                <w:kern w:val="2"/>
                <w:lang w:eastAsia="en-CA"/>
                <w14:ligatures w14:val="standardContextual"/>
              </w:rPr>
              <w:spacing w:before="0" w:after="20"/>
            </w:pPr>
            <w:r w:rsidRPr="00596B28">
              <w:rPr>
                <w:rFonts w:cstheme="minorBidi"/>
                <w:color w:val="000000"/>
              </w:rPr>
              <w:lastRenderedPageBreak/>
              <w:t xml:space="preserve">The structural bid is intact but the week's tape went against it as the dollar's rate support returned, capping Currency Debasement at Held.</w:t>
            </w:r>
          </w:p>
          <w:p w14:paraId="772AFD90" w14:textId="77777777" w:rsidR="00831451" w:rsidRDefault="00831451" w:rsidP="00023C39">
            <w:pPr>
              <w:pStyle w:val="ListParagraph"/>
              <w:ind w:left="360"/>
              <w:jc w:val="both"/>
              <w:spacing w:before="0" w:after="20"/>
            </w:pPr>
          </w:p>
        </w:tc>
      </w:tr>
    </w:tbl>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19"/>
        <w:gridCol w:w="5519"/>
      </w:tblGrid>
      <w:tr w:rsidR="00E706AF" w14:paraId="6159FA13" w14:textId="77777777" w:rsidTr="00502C47">
        <w:trPr>
          <w:trHeight w:val="771"/>
        </w:trPr>
        <w:tc>
          <w:tcPr>
            <w:tcW w:w="11038" w:type="dxa"/>
            <w:gridSpan w:val="2"/>
            <w:shd w:val="clear" w:color="auto" w:fill="7B2952"/>
          </w:tcPr>
          <w:p w14:paraId="1221E1F2" w14:textId="77777777" w:rsidR="00E706AF" w:rsidRDefault="00E706AF" w:rsidP="00502C47">
            <w:pPr>
              <w:pageBreakBefore/>
              <w:jc w:val="center"/>
              <w:rPr>
                <w:b/>
                <w:color w:val="FFFFFF" w:themeColor="background1"/>
                <w:sz w:val="32"/>
              </w:rPr>
              <w:spacing w:before="0" w:after="20"/>
            </w:pPr>
            <w:r w:rsidRPr="00280B12">
              <w:rPr>
                <w:b/>
                <w:color w:val="FFFFFF" w:themeColor="background1"/>
                <w:sz w:val="32"/>
              </w:rPr>
              <w:t>Theme 1 — Fiscal Expansion and Deregulation</w:t>
            </w:r>
          </w:p>
          <w:p w14:paraId="38E5C241" w14:textId="7DCAD8F4" w:rsidR="003C74DB" w:rsidRPr="00280B12" w:rsidRDefault="003C74DB" w:rsidP="00502C47">
            <w:pPr>
              <w:jc w:val="center"/>
              <w:rPr>
                <w:color w:val="FFFFFF" w:themeColor="background1"/>
              </w:rPr>
              <w:spacing w:before="0" w:after="20"/>
            </w:pPr>
            <w:r w:rsidRPr="003C74DB">
              <w:rPr>
                <w:b/>
                <w:color w:val="FFFFFF" w:themeColor="background1"/>
                <w:szCs w:val="22"/>
              </w:rPr>
              <w:t xml:space="preserve">(As of 2026_07_09</w:t>
            </w:r>
            <w:r w:rsidR="00205A60">
              <w:rPr>
                <w:b/>
                <w:color w:val="FFFFFF" w:themeColor="background1"/>
                <w:szCs w:val="22"/>
              </w:rPr>
              <w:t xml:space="preserve"/>
            </w:r>
            <w:r w:rsidRPr="003C74DB">
              <w:rPr>
                <w:b/>
                <w:color w:val="FFFFFF" w:themeColor="background1"/>
                <w:szCs w:val="22"/>
              </w:rPr>
              <w:t>)</w:t>
            </w:r>
          </w:p>
        </w:tc>
      </w:tr>
      <w:tr w:rsidR="00E706AF" w14:paraId="682C739A" w14:textId="77777777" w:rsidTr="00502C47">
        <w:trPr>
          <w:trHeight w:val="771"/>
        </w:trPr>
        <w:tc>
          <w:tcPr>
            <w:tcW w:w="11038" w:type="dxa"/>
            <w:gridSpan w:val="2"/>
          </w:tcPr>
          <w:p w14:paraId="53DB8929" w14:textId="77777777" w:rsidR="00E706AF" w:rsidRDefault="00E706AF" w:rsidP="00502C47">
            <w:pPr>
              <w:spacing w:after="20" w:before="0"/>
            </w:pPr>
            <w:r>
              <w:rPr>
                <w:b/>
                <w:color w:val="7B2952"/>
              </w:rPr>
              <w:lastRenderedPageBreak/>
              <w:t>Status:</w:t>
            </w:r>
          </w:p>
          <w:p w14:paraId="2829D711" w14:textId="5ED5BC91" w:rsidR="00E706AF" w:rsidRPr="00F521CB" w:rsidRDefault="00106E61"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1" name="Status Ball 1821617711"/>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sidR="00E706AF" w:rsidRPr="00F521CB">
              <w:rPr>
                <w:color w:val="000000"/>
                <w:sz w:val="20"/>
                <w:szCs w:val="20"/>
              </w:rPr>
              <w:t xml:space="preserve"> </w:t>
            </w:r>
            <w:r w:rsidR="00E706AF" w:rsidRPr="00F521CB">
              <w:rPr>
                <w:color w:val="000000"/>
                <w:sz w:val="20"/>
                <w:szCs w:val="20"/>
              </w:rPr>
              <w:t xml:space="preserve">Escalating ▸ NATO's Ankara summit turned defence pledges into over $50B of signed procurement and a €70B Ukraine pledge, Germany set a path above €200B by 2030, and Canada bought German submarines; the fiscal impulse widened even as crowded defence equities sold the news.</w:t>
            </w:r>
          </w:p>
        </w:tc>
      </w:tr>
      <w:tr w:rsidR="00E706AF" w14:paraId="39AE2C0C" w14:textId="77777777" w:rsidTr="00502C47">
        <w:trPr>
          <w:trHeight w:val="700" w:hRule="atLeast"/>
        </w:trPr>
        <w:tc>
          <w:tcPr>
            <w:tcW w:w="5519" w:type="dxa"/>
          </w:tcPr>
          <w:p>
            <w:pPr>
              <w:jc w:val="center"/>
              <w:spacing w:before="0" w:after="20"/>
            </w:pPr>
            <w:r>
              <w:t xml:space="preserve">Insert fiscal_chart_1</w:t>
            </w:r>
          </w:p>
        </w:tc>
        <w:tc>
          <w:tcPr>
            <w:tcW w:w="5519" w:type="dxa"/>
            <w:vMerge w:val="restart"/>
          </w:tcPr>
          <w:p w14:paraId="749BA7E9" w14:textId="77777777" w:rsidR="00E706AF" w:rsidRDefault="00E706AF" w:rsidP="00502C47">
            <w:pPr>
              <w:spacing w:before="0" w:after="20"/>
              <w:jc w:val="center"/>
            </w:pPr>
            <w:r>
              <w:rPr>
                <w:b/>
                <w:color w:val="7B2952"/>
              </w:rPr>
              <w:t>What changed this week</w:t>
            </w:r>
          </w:p>
          <w:p w14:paraId="12280386" w14:textId="5D100BB7" w:rsidR="006C1FE9" w:rsidRPr="006C1FE9" w:rsidRDefault="006C1FE9">
            <w:pPr>
              <w:pStyle w:val="ListParagraph"/>
              <w:numPr>
                <w:ilvl w:val="1"/>
                <w:numId w:val="3"/>
              </w:numPr>
              <w:spacing w:after="20" w:before="0"/>
              <w:jc w:val="both"/>
              <w:rPr>
                <w:sz w:val="20"/>
                <w:szCs w:val="20"/>
              </w:rPr>
            </w:pPr>
            <w:r>
              <w:rPr>
                <w:sz w:val="20"/>
                <w:szCs w:val="20"/>
              </w:rPr>
              <w:t xml:space="preserve">NATO's 32 leaders adopted the Ankara Declaration on July 8, reaffirming Article 5 and announcing more than $50B in new procurement plus a €70B pledge in 2026 Ukraine aid, led by about $40B for counter-drone capability and $26B for air and missile defence.</w:t>
            </w:r>
          </w:p>
          <w:p w14:paraId="12280386" w14:textId="5D100BB7" w:rsidR="006C1FE9" w:rsidRPr="006C1FE9" w:rsidRDefault="006C1FE9">
            <w:pPr>
              <w:pStyle w:val="ListParagraph"/>
              <w:numPr>
                <w:ilvl w:val="1"/>
                <w:numId w:val="3"/>
              </w:numPr>
              <w:spacing w:after="20" w:before="0"/>
              <w:jc w:val="both"/>
              <w:rPr>
                <w:sz w:val="20"/>
                <w:szCs w:val="20"/>
              </w:rPr>
            </w:pPr>
            <w:r>
              <w:rPr>
                <w:sz w:val="20"/>
                <w:szCs w:val="20"/>
              </w:rPr>
              <w:t xml:space="preserve">Germany approved a 2027 budget lifting core defence spending to about €109B, a third higher than this year, on a path above €200B by 2030, with net borrowing rising to about €204B.</w:t>
            </w:r>
          </w:p>
          <w:p w14:paraId="12280386" w14:textId="5D100BB7" w:rsidR="006C1FE9" w:rsidRPr="006C1FE9" w:rsidRDefault="006C1FE9">
            <w:pPr>
              <w:pStyle w:val="ListParagraph"/>
              <w:numPr>
                <w:ilvl w:val="1"/>
                <w:numId w:val="3"/>
              </w:numPr>
              <w:spacing w:after="20" w:before="0"/>
              <w:jc w:val="both"/>
              <w:rPr>
                <w:sz w:val="20"/>
                <w:szCs w:val="20"/>
              </w:rPr>
            </w:pPr>
            <w:r>
              <w:rPr>
                <w:sz w:val="20"/>
                <w:szCs w:val="20"/>
              </w:rPr>
              <w:t xml:space="preserve">Trump ordered a trade cut-off with Spain over its refusal to hit the 5% target, and the tape reacted, with Spain's IBEX 35 down about 2% and Bono yields up 9 basis points. The bond market funded heavier supply, the thirty-year trading above 5%, while defence equities sold the news, Rheinmetall down about 4%.</w:t>
            </w:r>
          </w:p>
        </w:tc>
      </w:tr>
      <w:tr w:rsidR="00E706AF" w14:paraId="57E797A0" w14:textId="77777777" w:rsidTr="00502C47">
        <w:trPr>
          <w:trHeight w:val="700" w:hRule="atLeast"/>
        </w:trPr>
        <w:tc>
          <w:tcPr>
            <w:tcW w:w="5519" w:type="dxa"/>
          </w:tcPr>
          <w:p>
            <w:pPr>
              <w:jc w:val="center"/>
              <w:spacing w:before="0" w:after="20"/>
            </w:pPr>
            <w:r>
              <w:t xml:space="preserve">Insert fiscal_chart_2</w:t>
            </w:r>
          </w:p>
        </w:tc>
        <w:tc>
          <w:tcPr>
            <w:tcW w:w="5519" w:type="dxa"/>
            <w:vMerge/>
          </w:tcPr>
          <w:p w14:paraId="1697C830" w14:textId="77777777" w:rsidR="00E706AF" w:rsidRDefault="00E706AF" w:rsidP="00502C47">
            <w:pPr>
              <w:spacing w:after="20" w:before="0"/>
              <w:jc w:val="both"/>
            </w:pPr>
          </w:p>
        </w:tc>
      </w:tr>
      <w:tr w:rsidR="00006A38" w14:paraId="1FA0D00A" w14:textId="77777777" w:rsidTr="00502C47">
        <w:trPr>
          <w:trHeight w:val="700" w:hRule="atLeast"/>
        </w:trPr>
        <w:tc>
          <w:tcPr>
            <w:tcW w:w="11038" w:type="dxa"/>
            <w:gridSpan w:val="2"/>
          </w:tcPr>
          <w:p w14:paraId="0560B7AF" w14:textId="273A36F9" w:rsidR="002B3A12" w:rsidRPr="00EC715A" w:rsidRDefault="00006A38" w:rsidP="00EC715A">
            <w:pPr>
              <w:jc w:val="center"/>
              <w:rPr>
                <w:b/>
                <w:bCs/>
                <w:color w:val="7B2952"/>
              </w:rPr>
              <w:spacing w:before="0" w:after="20"/>
            </w:pPr>
            <w:r w:rsidRPr="00483440">
              <w:rPr>
                <w:b/>
                <w:bCs/>
                <w:color w:val="7B2952"/>
              </w:rPr>
              <w:t>Key Development of the Week:</w:t>
            </w:r>
          </w:p>
          <w:p>
            <w:pPr>
              <w:spacing w:before="0" w:after="20"/>
              <w:jc w:val="both"/>
            </w:pPr>
            <w:r>
              <w:rPr>
                <w:color w:val="000000"/>
                <w:sz w:val="20"/>
                <w:szCs w:val="20"/>
              </w:rPr>
              <w:t xml:space="preserve">The Ankara summit is the week the 5% era stopped being roadmaps and became signed contracts, but the sharper signal is where the constraint has moved. The forum itself flagged multi-year production lead-times, and defence stocks fell on the day the orders were announced, which together say the market has shifted from asking whether governments will spend to whether industry can build fast enough and whether the trade is already priced. Money is no longer the binding constraint on this theme; industrial capacity is. Suggested chart: NATO Europe and Canada core defence spending as a share of GDP, 2014 to 2026. (Insert fiscal_keydev_chart.)</w:t>
            </w:r>
          </w:p>
          <w:p>
            <w:pPr>
              <w:spacing w:before="0" w:after="20"/>
            </w:pPr>
          </w:p>
        </w:tc>
      </w:tr>
      <w:tr w:rsidR="00E706AF" w14:paraId="0B5BD94E" w14:textId="77777777" w:rsidTr="00502C47">
        <w:trPr>
          <w:trHeight w:val="700" w:hRule="atLeast"/>
        </w:trPr>
        <w:tc>
          <w:tcPr>
            <w:tcW w:w="5519" w:type="dxa"/>
          </w:tcPr>
          <w:p w14:paraId="752E4AEA" w14:textId="77777777" w:rsidR="00E706AF" w:rsidRDefault="00E706AF" w:rsidP="00502C47">
            <w:pPr>
              <w:spacing w:before="0" w:after="20"/>
            </w:pPr>
            <w:r>
              <w:rPr>
                <w:b/>
                <w:color w:val="7B2952"/>
              </w:rPr>
              <w:lastRenderedPageBreak/>
              <w:t>Implication for the theme</w:t>
            </w:r>
          </w:p>
          <w:p w14:paraId="0BFCECB2" w14:textId="50DDE74A" w:rsidR="00E706AF" w:rsidRPr="00F521CB" w:rsidRDefault="00E00D53" w:rsidP="00502C47">
            <w:pPr>
              <w:spacing w:after="20" w:before="0"/>
              <w:jc w:val="both"/>
              <w:rPr>
                <w:sz w:val="20"/>
                <w:szCs w:val="20"/>
              </w:rPr>
            </w:pPr>
            <w:r>
              <w:rPr>
                <w:color w:val="000000"/>
                <w:sz w:val="20"/>
                <w:szCs w:val="20"/>
              </w:rPr>
              <w:t xml:space="preserve">Defence-industrial demand now has signed, multi-year funding across NATO's larger spenders and Canada, supporting medium-term growth and the equipment exposures. The near-term caution is the crowded equities selling the news; the impulse is mildly inflationary through heavier issuance, with higher long-end yields the price.</w:t>
            </w:r>
          </w:p>
          <w:p w14:paraId="01111B8B" w14:textId="77777777" w:rsidR="00E706AF" w:rsidRDefault="00E706AF" w:rsidP="00502C47">
            <w:pPr>
              <w:spacing w:after="20" w:before="0"/>
              <w:jc w:val="both"/>
            </w:pPr>
          </w:p>
        </w:tc>
        <w:tc>
          <w:tcPr>
            <w:tcW w:w="5519" w:type="dxa"/>
          </w:tcPr>
          <w:p w14:paraId="085A63CA" w14:textId="77777777" w:rsidR="00E706AF" w:rsidRDefault="00E706AF" w:rsidP="00502C47">
            <w:pPr>
              <w:spacing w:before="0" w:after="20"/>
            </w:pPr>
            <w:r>
              <w:rPr>
                <w:b/>
                <w:color w:val="7B2952"/>
              </w:rPr>
              <w:t>Watch next week</w:t>
            </w:r>
          </w:p>
          <w:p w14:paraId="0EB2EA05" w14:textId="77777777" w:rsidR="00E706AF" w:rsidRPr="00F521CB" w:rsidRDefault="00E706AF">
            <w:pPr>
              <w:pStyle w:val="ListParagraph"/>
              <w:numPr>
                <w:ilvl w:val="0"/>
                <w:numId w:val="5"/>
              </w:numPr>
              <w:spacing w:after="20" w:before="0"/>
              <w:jc w:val="both"/>
              <w:rPr>
                <w:sz w:val="20"/>
                <w:szCs w:val="20"/>
              </w:rPr>
            </w:pPr>
            <w:r w:rsidRPr="00F521CB">
              <w:rPr>
                <w:color w:val="000000"/>
                <w:sz w:val="20"/>
                <w:szCs w:val="20"/>
              </w:rPr>
              <w:t xml:space="preserve">US June CPI July 14 for the oil passthrough; the thirty-year auction result and the next Treasury refunding.</w:t>
            </w:r>
          </w:p>
          <w:p w14:paraId="0EB2EA05" w14:textId="77777777" w:rsidR="00E706AF" w:rsidRPr="00F521CB" w:rsidRDefault="00E706AF">
            <w:pPr>
              <w:pStyle w:val="ListParagraph"/>
              <w:numPr>
                <w:ilvl w:val="0"/>
                <w:numId w:val="5"/>
              </w:numPr>
              <w:spacing w:after="20" w:before="0"/>
              <w:jc w:val="both"/>
              <w:rPr>
                <w:sz w:val="20"/>
                <w:szCs w:val="20"/>
              </w:rPr>
            </w:pPr>
            <w:r w:rsidRPr="00F521CB">
              <w:rPr>
                <w:color w:val="000000"/>
                <w:sz w:val="20"/>
                <w:szCs w:val="20"/>
              </w:rPr>
              <w:t xml:space="preserve">National 5% roadmaps and Germany's parliamentary budget debate from September; whether the Spain trade order is implemented.</w:t>
            </w:r>
          </w:p>
          <w:p w14:paraId="24D14549" w14:textId="77777777" w:rsidR="00E706AF" w:rsidRDefault="00E706AF" w:rsidP="00502C47">
            <w:pPr>
              <w:spacing w:after="20" w:before="0"/>
              <w:jc w:val="both"/>
            </w:pPr>
          </w:p>
        </w:tc>
      </w:tr>
    </w:tbl>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46"/>
        <w:gridCol w:w="5392"/>
      </w:tblGrid>
      <w:tr w:rsidR="003C74DB" w14:paraId="190F5D4A" w14:textId="77777777" w:rsidTr="00502C47">
        <w:trPr>
          <w:trHeight w:val="771"/>
        </w:trPr>
        <w:tc>
          <w:tcPr>
            <w:tcW w:w="11038" w:type="dxa"/>
            <w:gridSpan w:val="2"/>
            <w:shd w:val="clear" w:color="auto" w:fill="7B2952"/>
          </w:tcPr>
          <w:p w14:paraId="30B39044" w14:textId="77777777" w:rsidR="003C74DB" w:rsidRDefault="003C74DB" w:rsidP="00502C47">
            <w:pPr>
              <w:pageBreakBefore/>
              <w:jc w:val="center"/>
              <w:rPr>
                <w:b/>
                <w:color w:val="FFFFFF" w:themeColor="background1"/>
                <w:sz w:val="32"/>
              </w:rPr>
              <w:spacing w:before="0" w:after="20"/>
            </w:pPr>
            <w:r w:rsidRPr="00280B12">
              <w:rPr>
                <w:b/>
                <w:color w:val="FFFFFF" w:themeColor="background1"/>
                <w:sz w:val="32"/>
              </w:rPr>
              <w:t xml:space="preserve">Theme </w:t>
            </w:r>
            <w:r w:rsidR="003B6356">
              <w:rPr>
                <w:b/>
                <w:color w:val="FFFFFF" w:themeColor="background1"/>
                <w:sz w:val="32"/>
              </w:rPr>
              <w:t>1 (Appendix)</w:t>
            </w:r>
            <w:r w:rsidRPr="00280B12">
              <w:rPr>
                <w:b/>
                <w:color w:val="FFFFFF" w:themeColor="background1"/>
                <w:sz w:val="32"/>
              </w:rPr>
              <w:t xml:space="preserve"> — </w:t>
            </w:r>
            <w:r>
              <w:rPr>
                <w:b/>
                <w:color w:val="FFFFFF" w:themeColor="background1"/>
                <w:sz w:val="32"/>
              </w:rPr>
              <w:t>Monetary Policy Tracker</w:t>
            </w:r>
          </w:p>
          <w:p w14:paraId="73B24509" w14:textId="02C35565" w:rsidR="003C74DB" w:rsidRPr="00280B12" w:rsidRDefault="003C74DB" w:rsidP="00502C47">
            <w:pPr>
              <w:jc w:val="center"/>
              <w:rPr>
                <w:color w:val="FFFFFF" w:themeColor="background1"/>
              </w:rPr>
              <w:spacing w:before="0" w:after="20"/>
            </w:pPr>
            <w:r w:rsidRPr="003C74DB">
              <w:rPr>
                <w:b/>
                <w:color w:val="FFFFFF" w:themeColor="background1"/>
                <w:szCs w:val="22"/>
              </w:rPr>
              <w:t xml:space="preserve">(As of 2026_07_09</w:t>
            </w:r>
            <w:r w:rsidR="00205A60">
              <w:rPr>
                <w:b/>
                <w:color w:val="FFFFFF" w:themeColor="background1"/>
                <w:szCs w:val="22"/>
              </w:rPr>
              <w:t xml:space="preserve"/>
            </w:r>
            <w:r w:rsidRPr="003C74DB">
              <w:rPr>
                <w:b/>
                <w:color w:val="FFFFFF" w:themeColor="background1"/>
                <w:szCs w:val="22"/>
              </w:rPr>
              <w:t>)</w:t>
            </w:r>
          </w:p>
        </w:tc>
      </w:tr>
      <w:tr w:rsidR="003C74DB" w14:paraId="76331E2A" w14:textId="77777777" w:rsidTr="00502C47">
        <w:trPr>
          <w:trHeight w:val="771"/>
        </w:trPr>
        <w:tc>
          <w:tcPr>
            <w:tcW w:w="11038" w:type="dxa"/>
            <w:gridSpan w:val="2"/>
          </w:tcPr>
          <w:p w14:paraId="7D7A8C76" w14:textId="77777777" w:rsidR="003C74DB" w:rsidRDefault="003C74DB" w:rsidP="00502C47">
            <w:pPr>
              <w:spacing w:after="20" w:before="0"/>
            </w:pPr>
            <w:r>
              <w:rPr>
                <w:b/>
                <w:color w:val="7B2952"/>
              </w:rPr>
              <w:t>Status:</w:t>
            </w:r>
          </w:p>
          <w:p w14:paraId="616B8DFD" w14:textId="13A68CE9" w:rsidR="003C74DB" w:rsidRPr="00F521CB" w:rsidRDefault="00214215" w:rsidP="00502C47">
            <w:pPr>
              <w:spacing w:after="20" w:before="0"/>
              <w:jc w:val="both"/>
              <w:rPr>
                <w:sz w:val="20"/>
                <w:szCs w:val="20"/>
              </w:rPr>
            </w:pPr>
            <w:r>
              <w:rPr>
                <w:color w:val="000000"/>
                <w:sz w:val="20"/>
                <w:szCs w:val="20"/>
              </w:rPr>
              <w:t xml:space="preserve">Nobody moved, but the first Warsh-era minutes put the hike back on the table: a hawkish committee, a firmer dollar and a seven-week high in yields undid June's dovish repricing, with the oil shock reinforcing it.</w:t>
            </w:r>
          </w:p>
        </w:tc>
      </w:tr>
      <w:tr w:rsidR="003C74DB" w14:paraId="4399E3BA" w14:textId="77777777" w:rsidTr="00E62075">
        <w:trPr>
          <w:trHeight w:val="700" w:hRule="atLeast"/>
        </w:trPr>
        <w:tc>
          <w:tcPr>
            <w:tcW w:w="5646" w:type="dxa"/>
          </w:tcPr>
          <w:p>
            <w:pPr>
              <w:jc w:val="center"/>
              <w:spacing w:before="0" w:after="20"/>
            </w:pPr>
            <w:r>
              <w:t xml:space="preserve">Insert monetary_1</w:t>
            </w:r>
          </w:p>
        </w:tc>
        <w:tc>
          <w:tcPr>
            <w:tcW w:w="5392" w:type="dxa"/>
            <w:vMerge w:val="restart"/>
          </w:tcPr>
          <w:p w14:paraId="27DD1E06" w14:textId="77777777" w:rsidR="003C74DB" w:rsidRDefault="003C74DB" w:rsidP="00502C47">
            <w:pPr>
              <w:spacing w:before="0" w:after="20"/>
              <w:jc w:val="center"/>
            </w:pPr>
            <w:r>
              <w:rPr>
                <w:b/>
                <w:color w:val="7B2952"/>
              </w:rPr>
              <w:t>What changed this week</w:t>
            </w:r>
          </w:p>
          <w:p w14:paraId="68D58306" w14:textId="64832B88" w:rsidR="003C74DB" w:rsidRPr="00590348" w:rsidRDefault="003C74DB">
            <w:pPr>
              <w:pStyle w:val="ListParagraph"/>
              <w:numPr>
                <w:ilvl w:val="1"/>
                <w:numId w:val="3"/>
              </w:numPr>
              <w:spacing w:after="20" w:before="0"/>
              <w:jc w:val="both"/>
              <w:rPr>
                <w:sz w:val="20"/>
                <w:szCs w:val="20"/>
              </w:rPr>
            </w:pPr>
            <w:r w:rsidRPr="00590348">
              <w:rPr>
                <w:color w:val="000000"/>
                <w:sz w:val="20"/>
                <w:szCs w:val="20"/>
              </w:rPr>
              <w:t xml:space="preserve">The Fed held at 3.50 to 3.75% a fourth time, but its first Warsh-era minutes read hawkish: nine of eighteen saw a hike by year-end, the 132-word statement promised to deliver price stability, and it cited May PCE up to 4.1% with AI-datacentre electricity, tariffs and energy as pressures.</w:t>
            </w:r>
          </w:p>
          <w:p w14:paraId="68D58306" w14:textId="64832B88" w:rsidR="003C74DB" w:rsidRPr="00590348" w:rsidRDefault="003C74DB">
            <w:pPr>
              <w:pStyle w:val="ListParagraph"/>
              <w:numPr>
                <w:ilvl w:val="1"/>
                <w:numId w:val="3"/>
              </w:numPr>
              <w:spacing w:after="20" w:before="0"/>
              <w:jc w:val="both"/>
              <w:rPr>
                <w:sz w:val="20"/>
                <w:szCs w:val="20"/>
              </w:rPr>
            </w:pPr>
            <w:r w:rsidRPr="00590348">
              <w:rPr>
                <w:color w:val="000000"/>
                <w:sz w:val="20"/>
                <w:szCs w:val="20"/>
              </w:rPr>
              <w:t xml:space="preserve">The two-year rose to 4.21% and the ten-year to a seven-week high near 4.57%, and the dollar firmed while gold fell. Japan's bank lending grew at its fastest since 2020 and New Zealand hiked, while the ECB leans to a July pause.</w:t>
            </w:r>
          </w:p>
          <w:p w14:paraId="3552C69A" w14:textId="77777777" w:rsidR="003C74DB" w:rsidRDefault="003C74DB" w:rsidP="00502C47">
            <w:pPr>
              <w:spacing w:after="20" w:before="0"/>
              <w:jc w:val="both"/>
            </w:pPr>
          </w:p>
        </w:tc>
      </w:tr>
      <w:tr w:rsidR="003C74DB" w14:paraId="003FE270" w14:textId="77777777" w:rsidTr="00E62075">
        <w:trPr>
          <w:trHeight w:val="700" w:hRule="atLeast"/>
        </w:trPr>
        <w:tc>
          <w:tcPr>
            <w:tcW w:w="5646"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864"/>
              <w:gridCol w:w="1778"/>
              <w:gridCol w:w="1778"/>
            </w:tblGrid>
            <w:tr w:rsidR="00943ED1" w:rsidRPr="00E6304E" w14:paraId="2C97E0EA" w14:textId="77777777" w:rsidTr="00FC063F">
              <w:trPr>
                <w:trHeight w:val="250" w:hRule="atLeast"/>
              </w:trPr>
              <w:tc>
                <w:tcPr>
                  <w:tcW w:w="1866" w:type="dxa"/>
                </w:tcPr>
                <w:p w14:paraId="01C231FD" w14:textId="77777777" w:rsidR="007E403F" w:rsidRPr="00E6304E" w:rsidRDefault="007E403F" w:rsidP="00943ED1">
                  <w:pPr>
                    <w:spacing w:after="20" w:before="0"/>
                    <w:jc w:val="center"/>
                    <w:rPr>
                      <w:b/>
                      <w:color w:val="7B2952"/>
                      <w:sz w:val="16"/>
                    </w:rPr>
                  </w:pPr>
                  <w:r w:rsidRPr="00E6304E">
                    <w:rPr>
                      <w:b/>
                      <w:color w:val="7B2952"/>
                      <w:sz w:val="16"/>
                    </w:rPr>
                    <w:t>Central Bank</w:t>
                  </w:r>
                </w:p>
              </w:tc>
              <w:tc>
                <w:tcPr>
                  <w:tcW w:w="1779" w:type="dxa"/>
                </w:tcPr>
                <w:p w14:paraId="12045B1B" w14:textId="77777777" w:rsidR="007E403F" w:rsidRPr="00E6304E" w:rsidRDefault="007E403F" w:rsidP="00943ED1">
                  <w:pPr>
                    <w:spacing w:after="20" w:before="0"/>
                    <w:jc w:val="center"/>
                    <w:rPr>
                      <w:b/>
                      <w:color w:val="7B2952"/>
                      <w:sz w:val="16"/>
                    </w:rPr>
                  </w:pPr>
                  <w:r>
                    <w:rPr>
                      <w:b/>
                      <w:color w:val="7B2952"/>
                      <w:sz w:val="16"/>
                    </w:rPr>
                    <w:t>Key Policy Rate</w:t>
                  </w:r>
                </w:p>
              </w:tc>
              <w:tc>
                <w:tcPr>
                  <w:tcW w:w="1779" w:type="dxa"/>
                </w:tcPr>
                <w:p w14:paraId="4C27C405" w14:textId="77777777" w:rsidR="007E403F" w:rsidRPr="00E6304E" w:rsidRDefault="007E403F" w:rsidP="00943ED1">
                  <w:pPr>
                    <w:spacing w:after="20" w:before="0"/>
                    <w:jc w:val="center"/>
                    <w:rPr>
                      <w:b/>
                      <w:color w:val="7B2952"/>
                      <w:sz w:val="16"/>
                    </w:rPr>
                  </w:pPr>
                  <w:r>
                    <w:rPr>
                      <w:b/>
                      <w:color w:val="7B2952"/>
                      <w:sz w:val="16"/>
                    </w:rPr>
                    <w:t>Expected Cycle</w:t>
                  </w:r>
                </w:p>
              </w:tc>
            </w:tr>
            <w:tr w:rsidR="00943ED1" w:rsidRPr="00F521CB" w14:paraId="0C7A02B0" w14:textId="77777777" w:rsidTr="00FC063F">
              <w:trPr>
                <w:trHeight w:val="250" w:hRule="atLeast"/>
              </w:trPr>
              <w:tc>
                <w:tcPr>
                  <w:tcW w:w="1866" w:type="dxa"/>
                </w:tcPr>
                <w:p w14:paraId="599C3677" w14:textId="77777777" w:rsidR="007E403F" w:rsidRDefault="007E403F" w:rsidP="00943ED1">
                  <w:pPr>
                    <w:spacing w:after="20" w:before="0"/>
                    <w:rPr>
                      <w:sz w:val="20"/>
                      <w:szCs w:val="20"/>
                    </w:rPr>
                  </w:pPr>
                  <w:r>
                    <w:rPr>
                      <w:sz w:val="20"/>
                      <w:szCs w:val="20"/>
                    </w:rPr>
                    <w:t xml:space="preserve">US (Fed)</w:t>
                  </w:r>
                </w:p>
              </w:tc>
              <w:tc>
                <w:tcPr>
                  <w:tcW w:w="1779" w:type="dxa"/>
                </w:tcPr>
                <w:p w14:paraId="58E25BAE" w14:textId="77777777" w:rsidR="007E403F" w:rsidRPr="00F521CB" w:rsidRDefault="007E403F" w:rsidP="00943ED1">
                  <w:pPr>
                    <w:spacing w:after="20" w:before="0"/>
                  </w:pPr>
                  <w:r>
                    <w:rPr>
                      <w:sz w:val="20"/>
                      <w:szCs w:val="20"/>
                    </w:rPr>
                    <w:t xml:space="preserve">3.50-3.75%</w:t>
                  </w:r>
                </w:p>
              </w:tc>
              <w:tc>
                <w:tcPr>
                  <w:tcW w:w="1779" w:type="dxa"/>
                </w:tcPr>
                <w:p w14:paraId="7EE403FD" w14:textId="77777777" w:rsidR="007E403F" w:rsidRPr="00F521CB" w:rsidRDefault="007E403F" w:rsidP="00943ED1">
                  <w:pPr>
                    <w:spacing w:after="20" w:before="0"/>
                  </w:pPr>
                  <w:r>
                    <w:rPr>
                      <w:sz w:val="20"/>
                      <w:szCs w:val="20"/>
                    </w:rPr>
                    <w:t xml:space="preserve">Hold; hike bias back (minutes)</w:t>
                  </w:r>
                </w:p>
              </w:tc>
            </w:tr>
            <w:tr w:rsidR="00943ED1" w:rsidRPr="00F521CB" w14:paraId="0C7A02B0" w14:textId="77777777" w:rsidTr="00FC063F">
              <w:trPr>
                <w:trHeight w:val="250" w:hRule="atLeast"/>
              </w:trPr>
              <w:tc>
                <w:tcPr>
                  <w:tcW w:w="1866" w:type="dxa"/>
                </w:tcPr>
                <w:p w14:paraId="599C3677" w14:textId="77777777" w:rsidR="007E403F" w:rsidRDefault="007E403F" w:rsidP="00943ED1">
                  <w:pPr>
                    <w:spacing w:after="20" w:before="0"/>
                    <w:rPr>
                      <w:sz w:val="20"/>
                      <w:szCs w:val="20"/>
                    </w:rPr>
                  </w:pPr>
                  <w:r>
                    <w:rPr>
                      <w:sz w:val="20"/>
                      <w:szCs w:val="20"/>
                    </w:rPr>
                    <w:t xml:space="preserve">Canada (BoC)</w:t>
                  </w:r>
                </w:p>
              </w:tc>
              <w:tc>
                <w:tcPr>
                  <w:tcW w:w="1779" w:type="dxa"/>
                </w:tcPr>
                <w:p w14:paraId="58E25BAE" w14:textId="77777777" w:rsidR="007E403F" w:rsidRPr="00F521CB" w:rsidRDefault="007E403F" w:rsidP="00943ED1">
                  <w:pPr>
                    <w:spacing w:after="20" w:before="0"/>
                  </w:pPr>
                  <w:r>
                    <w:rPr>
                      <w:sz w:val="20"/>
                      <w:szCs w:val="20"/>
                    </w:rPr>
                    <w:t xml:space="preserve">2.25%</w:t>
                  </w:r>
                </w:p>
              </w:tc>
              <w:tc>
                <w:tcPr>
                  <w:tcW w:w="1779" w:type="dxa"/>
                </w:tcPr>
                <w:p w14:paraId="7EE403FD" w14:textId="77777777" w:rsidR="007E403F" w:rsidRPr="00F521CB" w:rsidRDefault="007E403F" w:rsidP="00943ED1">
                  <w:pPr>
                    <w:spacing w:after="20" w:before="0"/>
                  </w:pPr>
                  <w:r>
                    <w:rPr>
                      <w:sz w:val="20"/>
                      <w:szCs w:val="20"/>
                    </w:rPr>
                    <w:t xml:space="preserve">Hold expected July 15</w:t>
                  </w:r>
                </w:p>
              </w:tc>
            </w:tr>
            <w:tr w:rsidR="00943ED1" w:rsidRPr="00F521CB" w14:paraId="0C7A02B0" w14:textId="77777777" w:rsidTr="00FC063F">
              <w:trPr>
                <w:trHeight w:val="250" w:hRule="atLeast"/>
              </w:trPr>
              <w:tc>
                <w:tcPr>
                  <w:tcW w:w="1866" w:type="dxa"/>
                </w:tcPr>
                <w:p w14:paraId="599C3677" w14:textId="77777777" w:rsidR="007E403F" w:rsidRDefault="007E403F" w:rsidP="00943ED1">
                  <w:pPr>
                    <w:spacing w:after="20" w:before="0"/>
                    <w:rPr>
                      <w:sz w:val="20"/>
                      <w:szCs w:val="20"/>
                    </w:rPr>
                  </w:pPr>
                  <w:r>
                    <w:rPr>
                      <w:sz w:val="20"/>
                      <w:szCs w:val="20"/>
                    </w:rPr>
                    <w:t xml:space="preserve">ECB</w:t>
                  </w:r>
                </w:p>
              </w:tc>
              <w:tc>
                <w:tcPr>
                  <w:tcW w:w="1779" w:type="dxa"/>
                </w:tcPr>
                <w:p w14:paraId="58E25BAE" w14:textId="77777777" w:rsidR="007E403F" w:rsidRPr="00F521CB" w:rsidRDefault="007E403F" w:rsidP="00943ED1">
                  <w:pPr>
                    <w:spacing w:after="20" w:before="0"/>
                  </w:pPr>
                  <w:r>
                    <w:rPr>
                      <w:sz w:val="20"/>
                      <w:szCs w:val="20"/>
                    </w:rPr>
                    <w:t xml:space="preserve">2.25%</w:t>
                  </w:r>
                </w:p>
              </w:tc>
              <w:tc>
                <w:tcPr>
                  <w:tcW w:w="1779" w:type="dxa"/>
                </w:tcPr>
                <w:p w14:paraId="7EE403FD" w14:textId="77777777" w:rsidR="007E403F" w:rsidRPr="00F521CB" w:rsidRDefault="007E403F" w:rsidP="00943ED1">
                  <w:pPr>
                    <w:spacing w:after="20" w:before="0"/>
                  </w:pPr>
                  <w:r>
                    <w:rPr>
                      <w:sz w:val="20"/>
                      <w:szCs w:val="20"/>
                    </w:rPr>
                    <w:t xml:space="preserve">Leaning to a July pause</w:t>
                  </w:r>
                </w:p>
              </w:tc>
            </w:tr>
            <w:tr w:rsidR="00943ED1" w:rsidRPr="00F521CB" w14:paraId="0C7A02B0" w14:textId="77777777" w:rsidTr="00FC063F">
              <w:trPr>
                <w:trHeight w:val="250" w:hRule="atLeast"/>
              </w:trPr>
              <w:tc>
                <w:tcPr>
                  <w:tcW w:w="1866" w:type="dxa"/>
                </w:tcPr>
                <w:p w14:paraId="599C3677" w14:textId="77777777" w:rsidR="007E403F" w:rsidRDefault="007E403F" w:rsidP="00943ED1">
                  <w:pPr>
                    <w:spacing w:after="20" w:before="0"/>
                    <w:rPr>
                      <w:sz w:val="20"/>
                      <w:szCs w:val="20"/>
                    </w:rPr>
                  </w:pPr>
                  <w:r>
                    <w:rPr>
                      <w:sz w:val="20"/>
                      <w:szCs w:val="20"/>
                    </w:rPr>
                    <w:t xml:space="preserve">Japan (BoJ)</w:t>
                  </w:r>
                </w:p>
              </w:tc>
              <w:tc>
                <w:tcPr>
                  <w:tcW w:w="1779" w:type="dxa"/>
                </w:tcPr>
                <w:p w14:paraId="58E25BAE" w14:textId="77777777" w:rsidR="007E403F" w:rsidRPr="00F521CB" w:rsidRDefault="007E403F" w:rsidP="00943ED1">
                  <w:pPr>
                    <w:spacing w:after="20" w:before="0"/>
                  </w:pPr>
                  <w:r>
                    <w:rPr>
                      <w:sz w:val="20"/>
                      <w:szCs w:val="20"/>
                    </w:rPr>
                    <w:t xml:space="preserve">1.00%</w:t>
                  </w:r>
                </w:p>
              </w:tc>
              <w:tc>
                <w:tcPr>
                  <w:tcW w:w="1779" w:type="dxa"/>
                </w:tcPr>
                <w:p w14:paraId="7EE403FD" w14:textId="77777777" w:rsidR="007E403F" w:rsidRPr="00F521CB" w:rsidRDefault="007E403F" w:rsidP="00943ED1">
                  <w:pPr>
                    <w:spacing w:after="20" w:before="0"/>
                  </w:pPr>
                  <w:r>
                    <w:rPr>
                      <w:sz w:val="20"/>
                      <w:szCs w:val="20"/>
                    </w:rPr>
                    <w:t xml:space="preserve">Hiking; lending at post-2020 high</w:t>
                  </w:r>
                </w:p>
              </w:tc>
            </w:tr>
            <w:tr w:rsidR="00943ED1" w:rsidRPr="00F521CB" w14:paraId="0C7A02B0" w14:textId="77777777" w:rsidTr="00FC063F">
              <w:trPr>
                <w:trHeight w:val="250" w:hRule="atLeast"/>
              </w:trPr>
              <w:tc>
                <w:tcPr>
                  <w:tcW w:w="1866" w:type="dxa"/>
                </w:tcPr>
                <w:p w14:paraId="599C3677" w14:textId="77777777" w:rsidR="007E403F" w:rsidRDefault="007E403F" w:rsidP="00943ED1">
                  <w:pPr>
                    <w:spacing w:after="20" w:before="0"/>
                    <w:rPr>
                      <w:sz w:val="20"/>
                      <w:szCs w:val="20"/>
                    </w:rPr>
                  </w:pPr>
                  <w:r>
                    <w:rPr>
                      <w:sz w:val="20"/>
                      <w:szCs w:val="20"/>
                    </w:rPr>
                    <w:t xml:space="preserve">China (PBoC)</w:t>
                  </w:r>
                </w:p>
              </w:tc>
              <w:tc>
                <w:tcPr>
                  <w:tcW w:w="1779" w:type="dxa"/>
                </w:tcPr>
                <w:p w14:paraId="58E25BAE" w14:textId="77777777" w:rsidR="007E403F" w:rsidRPr="00F521CB" w:rsidRDefault="007E403F" w:rsidP="00943ED1">
                  <w:pPr>
                    <w:spacing w:after="20" w:before="0"/>
                  </w:pPr>
                  <w:r>
                    <w:rPr>
                      <w:sz w:val="20"/>
                      <w:szCs w:val="20"/>
                    </w:rPr>
                    <w:t xml:space="preserve">3.00%</w:t>
                  </w:r>
                </w:p>
              </w:tc>
              <w:tc>
                <w:tcPr>
                  <w:tcW w:w="1779" w:type="dxa"/>
                </w:tcPr>
                <w:p w14:paraId="7EE403FD" w14:textId="77777777" w:rsidR="007E403F" w:rsidRPr="00F521CB" w:rsidRDefault="007E403F" w:rsidP="00943ED1">
                  <w:pPr>
                    <w:spacing w:after="20" w:before="0"/>
                  </w:pPr>
                  <w:r>
                    <w:rPr>
                      <w:sz w:val="20"/>
                      <w:szCs w:val="20"/>
                    </w:rPr>
                    <w:t xml:space="preserve">Easing; 'appropriately loose'</w:t>
                  </w:r>
                </w:p>
              </w:tc>
            </w:tr>
            <w:tr w:rsidR="00943ED1" w:rsidRPr="00F521CB" w14:paraId="0C7A02B0" w14:textId="77777777" w:rsidTr="00FC063F">
              <w:trPr>
                <w:trHeight w:val="250" w:hRule="atLeast"/>
              </w:trPr>
              <w:tc>
                <w:tcPr>
                  <w:tcW w:w="1866" w:type="dxa"/>
                </w:tcPr>
                <w:p w14:paraId="599C3677" w14:textId="77777777" w:rsidR="007E403F" w:rsidRDefault="007E403F" w:rsidP="00943ED1">
                  <w:pPr>
                    <w:spacing w:after="20" w:before="0"/>
                    <w:rPr>
                      <w:sz w:val="20"/>
                      <w:szCs w:val="20"/>
                    </w:rPr>
                  </w:pPr>
                  <w:r>
                    <w:rPr>
                      <w:sz w:val="20"/>
                      <w:szCs w:val="20"/>
                    </w:rPr>
                    <w:t xml:space="preserve">New Zealand (RBNZ)</w:t>
                  </w:r>
                </w:p>
              </w:tc>
              <w:tc>
                <w:tcPr>
                  <w:tcW w:w="1779" w:type="dxa"/>
                </w:tcPr>
                <w:p w14:paraId="58E25BAE" w14:textId="77777777" w:rsidR="007E403F" w:rsidRPr="00F521CB" w:rsidRDefault="007E403F" w:rsidP="00943ED1">
                  <w:pPr>
                    <w:spacing w:after="20" w:before="0"/>
                  </w:pPr>
                  <w:r>
                    <w:rPr>
                      <w:sz w:val="20"/>
                      <w:szCs w:val="20"/>
                    </w:rPr>
                    <w:t xml:space="preserve">2.50%</w:t>
                  </w:r>
                </w:p>
              </w:tc>
              <w:tc>
                <w:tcPr>
                  <w:tcW w:w="1779" w:type="dxa"/>
                </w:tcPr>
                <w:p w14:paraId="7EE403FD" w14:textId="77777777" w:rsidR="007E403F" w:rsidRPr="00F521CB" w:rsidRDefault="007E403F" w:rsidP="00943ED1">
                  <w:pPr>
                    <w:spacing w:after="20" w:before="0"/>
                  </w:pPr>
                  <w:r>
                    <w:rPr>
                      <w:sz w:val="20"/>
                      <w:szCs w:val="20"/>
                    </w:rPr>
                    <w:t xml:space="preserve">Hiked 25bp July 8</w:t>
                  </w:r>
                </w:p>
              </w:tc>
            </w:tr>
          </w:tbl>
        </w:tc>
        <w:tc>
          <w:tcPr>
            <w:tcW w:w="5392" w:type="dxa"/>
            <w:vMerge/>
          </w:tcPr>
          <w:p w14:paraId="5445439E" w14:textId="77777777" w:rsidR="003C74DB" w:rsidRDefault="003C74DB" w:rsidP="00502C47">
            <w:pPr>
              <w:spacing w:after="20" w:before="0"/>
              <w:jc w:val="both"/>
            </w:pPr>
          </w:p>
        </w:tc>
      </w:tr>
      <w:tr w:rsidR="00006A38" w14:paraId="1FA0D00A" w14:textId="77777777" w:rsidTr="00502C47">
        <w:trPr>
          <w:trHeight w:val="700" w:hRule="atLeast"/>
        </w:trPr>
        <w:tc>
          <w:tcPr>
            <w:tcW w:w="11038" w:type="dxa"/>
            <w:gridSpan w:val="2"/>
          </w:tcPr>
          <w:p w14:paraId="0560B7AF" w14:textId="273A36F9" w:rsidR="002B3A12" w:rsidRPr="00EC715A" w:rsidRDefault="00006A38" w:rsidP="00EC715A">
            <w:pPr>
              <w:jc w:val="center"/>
              <w:rPr>
                <w:b/>
                <w:bCs/>
                <w:color w:val="7B2952"/>
              </w:rPr>
              <w:spacing w:before="0" w:after="20"/>
            </w:pPr>
            <w:r w:rsidRPr="00483440">
              <w:rPr>
                <w:b/>
                <w:bCs/>
                <w:color w:val="7B2952"/>
              </w:rPr>
              <w:t>Key Development of the Week:</w:t>
            </w:r>
          </w:p>
          <w:p>
            <w:pPr>
              <w:spacing w:before="0" w:after="20"/>
              <w:jc w:val="both"/>
            </w:pPr>
            <w:r>
              <w:rPr>
                <w:color w:val="000000"/>
                <w:sz w:val="20"/>
                <w:szCs w:val="20"/>
              </w:rPr>
              <w:t xml:space="preserve">The minutes' telling detail is what they named as an inflation source: electricity demand from the AI-datacentre buildout, alongside tariffs and oil. That ties Theme 4 to the rate path, a structural pressure policy cannot easily offset, and it is why June CPI on July 14 is the next test. Suggested chart: 2-year and 10-year UST yields, 2 to 9 July. (Insert monetary_keydev_chart.)</w:t>
            </w:r>
          </w:p>
          <w:p>
            <w:pPr>
              <w:spacing w:before="0" w:after="20"/>
            </w:pPr>
          </w:p>
        </w:tc>
      </w:tr>
      <w:tr w:rsidR="00E706AF" w14:paraId="0B5BD94E" w14:textId="77777777" w:rsidTr="00502C47">
        <w:trPr>
          <w:trHeight w:val="700" w:hRule="atLeast"/>
        </w:trPr>
        <w:tc>
          <w:tcPr>
            <w:tcW w:w="5519" w:type="dxa"/>
          </w:tcPr>
          <w:p w14:paraId="752E4AEA" w14:textId="77777777" w:rsidR="00E706AF" w:rsidRDefault="00E706AF" w:rsidP="00502C47">
            <w:pPr>
              <w:spacing w:before="0" w:after="20"/>
            </w:pPr>
            <w:r>
              <w:rPr>
                <w:b/>
                <w:color w:val="7B2952"/>
              </w:rPr>
              <w:lastRenderedPageBreak/>
              <w:t>Implication for the theme</w:t>
            </w:r>
          </w:p>
          <w:p w14:paraId="0BFCECB2" w14:textId="50DDE74A" w:rsidR="00E706AF" w:rsidRPr="00F521CB" w:rsidRDefault="00E00D53" w:rsidP="00502C47">
            <w:pPr>
              <w:spacing w:after="20" w:before="0"/>
              <w:jc w:val="both"/>
              <w:rPr>
                <w:sz w:val="20"/>
                <w:szCs w:val="20"/>
              </w:rPr>
            </w:pPr>
            <w:r>
              <w:rPr>
                <w:color w:val="000000"/>
                <w:sz w:val="20"/>
                <w:szCs w:val="20"/>
              </w:rPr>
              <w:t xml:space="preserve">A Fed leaning back toward a hike against an oil shock and 4.1% PCE means a firmer dollar and higher real yields, capping risk assets and pressuring gold. For a Canadian plan it keeps the loonie soft into the July 15 Bank of Canada hold; the next move is data-dependent on June CPI.</w:t>
            </w:r>
          </w:p>
          <w:p w14:paraId="01111B8B" w14:textId="77777777" w:rsidR="00E706AF" w:rsidRDefault="00E706AF" w:rsidP="00502C47">
            <w:pPr>
              <w:spacing w:after="20" w:before="0"/>
              <w:jc w:val="both"/>
            </w:pPr>
          </w:p>
        </w:tc>
        <w:tc>
          <w:tcPr>
            <w:tcW w:w="5519" w:type="dxa"/>
          </w:tcPr>
          <w:p w14:paraId="085A63CA" w14:textId="77777777" w:rsidR="00E706AF" w:rsidRDefault="00E706AF" w:rsidP="00502C47">
            <w:pPr>
              <w:spacing w:before="0" w:after="20"/>
            </w:pPr>
            <w:r>
              <w:rPr>
                <w:b/>
                <w:color w:val="7B2952"/>
              </w:rPr>
              <w:t>Watch next week</w:t>
            </w:r>
          </w:p>
          <w:p w14:paraId="0EB2EA05" w14:textId="77777777" w:rsidR="00E706AF" w:rsidRPr="00F521CB" w:rsidRDefault="00E706AF">
            <w:pPr>
              <w:pStyle w:val="ListParagraph"/>
              <w:numPr>
                <w:ilvl w:val="0"/>
                <w:numId w:val="5"/>
              </w:numPr>
              <w:spacing w:after="20" w:before="0"/>
              <w:jc w:val="both"/>
              <w:rPr>
                <w:sz w:val="20"/>
                <w:szCs w:val="20"/>
              </w:rPr>
            </w:pPr>
            <w:r w:rsidRPr="00F521CB">
              <w:rPr>
                <w:color w:val="000000"/>
                <w:sz w:val="20"/>
                <w:szCs w:val="20"/>
              </w:rPr>
              <w:t xml:space="preserve">US June CPI July 14; the thirty-year auction and TIC data July 14.</w:t>
            </w:r>
          </w:p>
          <w:p w14:paraId="0EB2EA05" w14:textId="77777777" w:rsidR="00E706AF" w:rsidRPr="00F521CB" w:rsidRDefault="00E706AF">
            <w:pPr>
              <w:pStyle w:val="ListParagraph"/>
              <w:numPr>
                <w:ilvl w:val="0"/>
                <w:numId w:val="5"/>
              </w:numPr>
              <w:spacing w:after="20" w:before="0"/>
              <w:jc w:val="both"/>
              <w:rPr>
                <w:sz w:val="20"/>
                <w:szCs w:val="20"/>
              </w:rPr>
            </w:pPr>
            <w:r w:rsidRPr="00F521CB">
              <w:rPr>
                <w:color w:val="000000"/>
                <w:sz w:val="20"/>
                <w:szCs w:val="20"/>
              </w:rPr>
              <w:t xml:space="preserve">Bank of Canada decision July 15; ECB July 23; whether the oil spike lifts inflation expectations.</w:t>
            </w:r>
          </w:p>
          <w:p w14:paraId="24D14549" w14:textId="77777777" w:rsidR="00E706AF" w:rsidRDefault="00E706AF" w:rsidP="00502C47">
            <w:pPr>
              <w:spacing w:after="20" w:before="0"/>
              <w:jc w:val="both"/>
            </w:pPr>
          </w:p>
        </w:tc>
      </w:tr>
    </w:tbl>
    <w:tbl>
      <w:tblPr>
        <w:tblStyle w:val="TableGrid"/>
        <w:tblW w:w="11226"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193"/>
        <w:gridCol w:w="6033"/>
      </w:tblGrid>
      <w:tr w:rsidR="00280B12" w14:paraId="69A49FAC" w14:textId="77777777" w:rsidTr="005D21D6">
        <w:trPr>
          <w:trHeight w:val="771"/>
        </w:trPr>
        <w:tc>
          <w:tcPr>
            <w:tcW w:w="11226" w:type="dxa"/>
            <w:gridSpan w:val="2"/>
            <w:shd w:val="clear" w:color="auto" w:fill="7B2952"/>
          </w:tcPr>
          <w:p w14:paraId="7EF18DAB" w14:textId="77777777" w:rsidR="00280B12" w:rsidRDefault="00280B12" w:rsidP="00E72E8A">
            <w:pPr>
              <w:pageBreakBefore/>
              <w:jc w:val="center"/>
              <w:rPr>
                <w:b/>
                <w:color w:val="FFFFFF" w:themeColor="background1"/>
                <w:sz w:val="32"/>
              </w:rPr>
              <w:spacing w:before="0" w:after="20"/>
            </w:pPr>
            <w:r w:rsidRPr="00280B12">
              <w:rPr>
                <w:b/>
                <w:color w:val="FFFFFF" w:themeColor="background1"/>
                <w:sz w:val="32"/>
              </w:rPr>
              <w:t xml:space="preserve">Theme </w:t>
            </w:r>
            <w:r w:rsidR="003C74DB">
              <w:rPr>
                <w:b/>
                <w:color w:val="FFFFFF" w:themeColor="background1"/>
                <w:sz w:val="32"/>
              </w:rPr>
              <w:t>2</w:t>
            </w:r>
            <w:r w:rsidRPr="00280B12">
              <w:rPr>
                <w:b/>
                <w:color w:val="FFFFFF" w:themeColor="background1"/>
                <w:sz w:val="32"/>
              </w:rPr>
              <w:t xml:space="preserve"> </w:t>
            </w:r>
            <w:r w:rsidR="007A5D4E">
              <w:rPr>
                <w:b/>
                <w:color w:val="FFFFFF" w:themeColor="background1"/>
                <w:sz w:val="32"/>
              </w:rPr>
              <w:t xml:space="preserve">- </w:t>
            </w:r>
            <w:r w:rsidR="00B1267E">
              <w:rPr>
                <w:b/>
                <w:color w:val="FFFFFF" w:themeColor="background1"/>
                <w:sz w:val="32"/>
              </w:rPr>
              <w:t>Currency Debasement</w:t>
            </w:r>
          </w:p>
          <w:p w14:paraId="13D4E6BD" w14:textId="5F527DFB" w:rsidR="003C74DB" w:rsidRPr="003C74DB" w:rsidRDefault="003C74DB" w:rsidP="00E72E8A">
            <w:pPr>
              <w:jc w:val="center"/>
              <w:rPr>
                <w:color w:val="FFFFFF" w:themeColor="background1"/>
                <w:szCs w:val="22"/>
              </w:rPr>
              <w:spacing w:before="0" w:after="20"/>
            </w:pPr>
            <w:r w:rsidRPr="003C74DB">
              <w:rPr>
                <w:b/>
                <w:color w:val="FFFFFF" w:themeColor="background1"/>
                <w:szCs w:val="22"/>
              </w:rPr>
              <w:t xml:space="preserve">(As of 2026_07_09</w:t>
            </w:r>
            <w:r w:rsidR="00205A60">
              <w:rPr>
                <w:b/>
                <w:color w:val="FFFFFF" w:themeColor="background1"/>
                <w:szCs w:val="22"/>
              </w:rPr>
              <w:t xml:space="preserve"/>
            </w:r>
            <w:r w:rsidRPr="003C74DB">
              <w:rPr>
                <w:b/>
                <w:color w:val="FFFFFF" w:themeColor="background1"/>
                <w:szCs w:val="22"/>
              </w:rPr>
              <w:t>)</w:t>
            </w:r>
          </w:p>
        </w:tc>
      </w:tr>
      <w:tr w:rsidR="00E72E8A" w14:paraId="32E0B796" w14:textId="77777777" w:rsidTr="005D21D6">
        <w:trPr>
          <w:trHeight w:val="771"/>
        </w:trPr>
        <w:tc>
          <w:tcPr>
            <w:tcW w:w="11226" w:type="dxa"/>
            <w:gridSpan w:val="2"/>
          </w:tcPr>
          <w:p w14:paraId="6B8E8078" w14:textId="77777777" w:rsidR="00E72E8A" w:rsidRDefault="00E72E8A" w:rsidP="00E72E8A">
            <w:pPr>
              <w:spacing w:after="20" w:before="0"/>
            </w:pPr>
            <w:r>
              <w:rPr>
                <w:b/>
                <w:color w:val="7B2952"/>
              </w:rPr>
              <w:t>Status:</w:t>
            </w:r>
          </w:p>
          <w:p w14:paraId="54E36684" w14:textId="7149F2DC" w:rsidR="00E72E8A" w:rsidRPr="00F521CB" w:rsidRDefault="00711884" w:rsidP="00E72E8A">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2" name="Status Ball 1821617712"/>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sidR="00E72E8A" w:rsidRPr="00F521CB">
              <w:rPr>
                <w:color w:val="000000"/>
                <w:sz w:val="20"/>
                <w:szCs w:val="20"/>
              </w:rPr>
              <w:t xml:space="preserve"> </w:t>
            </w:r>
            <w:r w:rsidR="00E72E8A" w:rsidRPr="00F521CB">
              <w:rPr>
                <w:color w:val="000000"/>
                <w:sz w:val="20"/>
                <w:szCs w:val="20"/>
              </w:rPr>
              <w:t xml:space="preserve">Held ▸ Gold fell to a one-week low and the dollar firmed to a two-week high even as the war escalated, the hawkish Fed minutes reasserting the rate prop, while China's 20th month of buying kept the structural bid intact; the debasement trade went quiet on higher real yields, not a structural break.</w:t>
            </w:r>
          </w:p>
        </w:tc>
      </w:tr>
      <w:tr w:rsidR="00CD3760" w14:paraId="6B898B7B" w14:textId="77777777" w:rsidTr="005D21D6">
        <w:trPr>
          <w:trHeight w:val="700" w:hRule="atLeast"/>
        </w:trPr>
        <w:tc>
          <w:tcPr>
            <w:tcW w:w="5193" w:type="dxa"/>
          </w:tcPr>
          <w:p w14:paraId="71EFC2F7" w14:textId="77777777" w:rsidR="00B1267E" w:rsidRDefault="00B1267E" w:rsidP="00B1267E">
            <w:pPr>
              <w:spacing w:before="0" w:after="20"/>
              <w:jc w:val="center"/>
            </w:pPr>
            <w:r>
              <w:rPr>
                <w:b/>
                <w:color w:val="7B2952"/>
              </w:rPr>
              <w:t>What changed this week</w:t>
            </w:r>
          </w:p>
          <w:p w14:paraId="161776E4" w14:textId="60574B7A" w:rsidR="00B1267E" w:rsidRPr="00590348" w:rsidRDefault="00F7530F">
            <w:pPr>
              <w:pStyle w:val="ListParagraph"/>
              <w:numPr>
                <w:ilvl w:val="1"/>
                <w:numId w:val="3"/>
              </w:numPr>
              <w:spacing w:after="20" w:before="0"/>
              <w:jc w:val="both"/>
              <w:rPr>
                <w:sz w:val="20"/>
                <w:szCs w:val="20"/>
              </w:rPr>
            </w:pPr>
            <w:r>
              <w:rPr>
                <w:color w:val="000000"/>
                <w:sz w:val="20"/>
                <w:szCs w:val="20"/>
              </w:rPr>
              <w:t xml:space="preserve">Gold did the opposite of what a war week implies, falling to a one-week low near $4,069 even as the US struck Iran a second night, before recovering to about $4,110; the driver was the Fed, not the Strait. Higher oil lifts inflation expectations and hike odds, which lift real yields, and a higher real yield is a direct headwind for gold.</w:t>
            </w:r>
            <w:proofErr w:type="gramStart"/>
            <w:proofErr w:type="gramEnd"/>
          </w:p>
          <w:p w14:paraId="161776E4" w14:textId="60574B7A" w:rsidR="00B1267E" w:rsidRPr="00590348" w:rsidRDefault="00F7530F">
            <w:pPr>
              <w:pStyle w:val="ListParagraph"/>
              <w:numPr>
                <w:ilvl w:val="1"/>
                <w:numId w:val="3"/>
              </w:numPr>
              <w:spacing w:after="20" w:before="0"/>
              <w:jc w:val="both"/>
              <w:rPr>
                <w:sz w:val="20"/>
                <w:szCs w:val="20"/>
              </w:rPr>
            </w:pPr>
            <w:r>
              <w:rPr>
                <w:color w:val="000000"/>
                <w:sz w:val="20"/>
                <w:szCs w:val="20"/>
              </w:rPr>
              <w:t xml:space="preserve">The dollar firmed to about 101, its strongest since July 2, while the yen held near a 40-year low. The structural case did not reverse, China's central bank buying gold a 20th straight month, but the flows went the other way, the weakest first-half North American gold-ETF demand since 2013.</w:t>
            </w:r>
            <w:proofErr w:type="gramStart"/>
            <w:proofErr w:type="gramEnd"/>
          </w:p>
        </w:tc>
        <w:tc>
          <w:tcPr>
            <w:tcW w:w="6033" w:type="dxa"/>
          </w:tcPr>
          <w:p>
            <w:pPr>
              <w:jc w:val="center"/>
              <w:spacing w:before="0" w:after="20"/>
            </w:pPr>
            <w:r>
              <w:t xml:space="preserve">Insert currency_1.png</w:t>
            </w:r>
          </w:p>
        </w:tc>
      </w:tr>
      <w:tr w:rsidR="00CD3760" w14:paraId="69E27118" w14:textId="77777777" w:rsidTr="005D21D6">
        <w:trPr>
          <w:trHeight w:val="700" w:hRule="atLeast"/>
        </w:trPr>
        <w:tc>
          <w:tcPr>
            <w:tcW w:w="5193" w:type="dxa"/>
          </w:tcPr>
          <w:p>
            <w:pPr>
              <w:jc w:val="center"/>
              <w:spacing w:before="0" w:after="20"/>
            </w:pPr>
            <w:r>
              <w:t xml:space="preserve">Insert currency_2.png</w:t>
            </w:r>
          </w:p>
        </w:tc>
        <w:tc>
          <w:tcPr>
            <w:tcW w:w="6033" w:type="dxa"/>
          </w:tcPr>
          <w:p>
            <w:pPr>
              <w:jc w:val="center"/>
              <w:spacing w:before="0" w:after="20"/>
            </w:pPr>
            <w:r>
              <w:t xml:space="preserve">Insert currency_3.png</w:t>
            </w:r>
          </w:p>
        </w:tc>
      </w:tr>
      <w:tr w:rsidR="00006A38" w14:paraId="1FA0D00A" w14:textId="77777777" w:rsidTr="00502C47">
        <w:trPr>
          <w:trHeight w:val="700" w:hRule="atLeast"/>
        </w:trPr>
        <w:tc>
          <w:tcPr>
            <w:tcW w:w="11038" w:type="dxa"/>
            <w:gridSpan w:val="2"/>
          </w:tcPr>
          <w:p w14:paraId="0560B7AF" w14:textId="273A36F9" w:rsidR="002B3A12" w:rsidRPr="00EC715A" w:rsidRDefault="00006A38" w:rsidP="00EC715A">
            <w:pPr>
              <w:jc w:val="center"/>
              <w:rPr>
                <w:b/>
                <w:bCs/>
                <w:color w:val="7B2952"/>
              </w:rPr>
              <w:spacing w:before="0" w:after="20"/>
            </w:pPr>
            <w:r w:rsidRPr="00483440">
              <w:rPr>
                <w:b/>
                <w:bCs/>
                <w:color w:val="7B2952"/>
              </w:rPr>
              <w:t>Key Development of the Week:</w:t>
            </w:r>
          </w:p>
          <w:tbl>
            <w:tblPr>
              <w:tblW w:w="10800" w:type="dxa"/>
              <w:tblBorders>
                <w:top w:val="none" w:sz="0" w:space="0"/>
                <w:left w:val="none" w:sz="0" w:space="0"/>
                <w:bottom w:val="none" w:sz="0" w:space="0"/>
                <w:right w:val="none" w:sz="0" w:space="0"/>
                <w:insideH w:val="none" w:sz="0" w:space="0"/>
                <w:insideV w:val="none" w:sz="0" w:space="0"/>
              </w:tblBorders>
              <w:tblLayout w:type="fixed"/>
              <w:tblCellMar>
                <w:top w:w="20" w:type="dxa"/>
                <w:left w:w="40" w:type="dxa"/>
                <w:bottom w:w="20" w:type="dxa"/>
                <w:right w:w="216" w:type="dxa"/>
              </w:tblCellMar>
            </w:tblPr>
            <w:tblGrid>
              <w:gridCol w:w="5950"/>
              <w:gridCol w:w="4850"/>
            </w:tblGrid>
            <w:tr>
              <w:trPr>
                <w:trHeight w:val="250" w:hRule="atLeast"/>
              </w:trPr>
              <w:tc>
                <w:tcPr>
                  <w:tcW w:w="5950" w:type="dxa"/>
                  <w:vAlign w:val="top"/>
                </w:tcPr>
                <w:p>
                  <w:pPr>
                    <w:spacing w:before="0" w:after="20"/>
                    <w:jc w:val="both"/>
                  </w:pPr>
                  <w:r>
                    <w:rPr>
                      <w:color w:val="000000"/>
                      <w:sz w:val="20"/>
                      <w:szCs w:val="20"/>
                    </w:rPr>
                    <w:t xml:space="preserve">Gold's break from the war is the tell, and the counterintuitive lesson is the point: in 2026's regime a Middle East escalation is bearish for gold, not bullish. The chain runs oil up, inflation expectations up, hike odds up, real yields up, and gold, which pays nothing, falls. The haven bid lost to the rate bid in a week with three Gulf states hit. The structural buyers, led by China's central bank, are still there underneath, which is why this is the bid going quiet, not breaking.</w:t>
                  </w:r>
                </w:p>
              </w:tc>
              <w:tc>
                <w:tcPr>
                  <w:tcW w:w="4850" w:type="dxa"/>
                  <w:vAlign w:val="top"/>
                </w:tcPr>
                <w:p xmlns:a="http://schemas.openxmlformats.org/drawingml/2006/main" xmlns:pic="http://schemas.openxmlformats.org/drawingml/2006/picture">
                  <w:pPr>
                    <w:spacing w:before="0" w:after="20"/>
                    <w:jc w:val="center"/>
                  </w:pPr>
                  <w:r>
                    <w:drawing>
                      <wp:inline distT="0" distB="0" distL="0" distR="0">
                        <wp:extent cx="2500000" cy="1458333"/>
                        <wp:docPr id="1821617713" name="keydev_chart_1821617713"/>
                        <a:graphic>
                          <a:graphicData uri="http://schemas.openxmlformats.org/drawingml/2006/picture">
                            <pic:pic>
                              <pic:nvPicPr>
                                <pic:cNvPr id="1821617713" name="keydev_chart_1821617713"/>
                                <pic:cNvPicPr/>
                              </pic:nvPicPr>
                              <pic:blipFill>
                                <a:blip r:embed="rId37"/>
                                <a:stretch>
                                  <a:fillRect/>
                                </a:stretch>
                              </pic:blipFill>
                              <pic:spPr>
                                <a:xfrm>
                                  <a:off x="0" y="0"/>
                                  <a:ext cx="2500000" cy="1458333"/>
                                </a:xfrm>
                                <a:prstGeom prst="rect">
                                  <a:avLst/>
                                </a:prstGeom>
                              </pic:spPr>
                            </pic:pic>
                          </a:graphicData>
                        </a:graphic>
                      </wp:inline>
                    </w:drawing>
                  </w:r>
                </w:p>
                <w:p>
                  <w:pPr>
                    <w:spacing w:before="0" w:after="20"/>
                    <w:jc w:val="both"/>
                  </w:pPr>
                  <w:r>
                    <w:rPr>
                      <w:i/>
                      <w:color w:val="7F7F7F"/>
                      <w:sz w:val="14"/>
                      <w:szCs w:val="14"/>
                    </w:rPr>
                    <w:t xml:space="preserve">Chart: daily spot gold, 2 to 9 July 2026, from Reuters and Trading Economics. The shaded band marks the July 7-8 re-escalation of the US-Iran conflict, over which gold fell rather than rose.</w:t>
                  </w:r>
                </w:p>
              </w:tc>
            </w:tr>
          </w:tbl>
          <w:p>
            <w:pPr>
              <w:spacing w:before="0" w:after="20"/>
              <w:rPr>
                <w:sz w:val="2"/>
              </w:rPr>
            </w:pPr>
          </w:p>
          <w:p>
            <w:pPr>
              <w:spacing w:before="0" w:after="20"/>
            </w:pPr>
          </w:p>
        </w:tc>
      </w:tr>
      <w:tr w:rsidR="006945C6" w14:paraId="7379BB39" w14:textId="77777777" w:rsidTr="005D21D6">
        <w:trPr>
          <w:trHeight w:val="700" w:hRule="atLeast"/>
        </w:trPr>
        <w:tc>
          <w:tcPr>
            <w:tcW w:w="5193" w:type="dxa"/>
          </w:tcPr>
          <w:p w14:paraId="1856DC55" w14:textId="77777777" w:rsidR="00925849" w:rsidRDefault="00925849" w:rsidP="00925849">
            <w:pPr>
              <w:spacing w:before="0" w:after="20"/>
            </w:pPr>
            <w:r>
              <w:rPr>
                <w:b/>
                <w:color w:val="7B2952"/>
              </w:rPr>
              <w:t>Implication for the theme</w:t>
            </w:r>
          </w:p>
          <w:p w14:paraId="574F7A7A" w14:textId="77777777" w:rsidR="00925849" w:rsidRPr="00F521CB" w:rsidRDefault="00925849" w:rsidP="00925849">
            <w:pPr>
              <w:spacing w:after="20" w:before="0"/>
              <w:jc w:val="both"/>
              <w:rPr>
                <w:sz w:val="20"/>
                <w:szCs w:val="20"/>
              </w:rPr>
            </w:pPr>
            <w:r w:rsidRPr="00F521CB">
              <w:rPr>
                <w:color w:val="000000"/>
                <w:sz w:val="20"/>
                <w:szCs w:val="20"/>
              </w:rPr>
              <w:t xml:space="preserve">Gold stays the cleanest expression, but it is a two-way trade tied to the dollar's rate support, which returned this week; the structural case is intact and slow, the near-term price a real-yield story. The read for a plan is a strategic allocation, not a tactical one at these real yields.</w:t>
            </w:r>
          </w:p>
          <w:p w14:paraId="1F1A6CBE" w14:textId="77777777" w:rsidR="006945C6" w:rsidRDefault="006945C6" w:rsidP="00E72E8A">
            <w:pPr>
              <w:spacing w:after="20" w:before="0"/>
              <w:jc w:val="both"/>
            </w:pPr>
          </w:p>
        </w:tc>
        <w:tc>
          <w:tcPr>
            <w:tcW w:w="6033" w:type="dxa"/>
          </w:tcPr>
          <w:p w14:paraId="53CA875E" w14:textId="77777777" w:rsidR="00925849" w:rsidRDefault="00925849" w:rsidP="00925849">
            <w:pPr>
              <w:spacing w:before="0" w:after="20"/>
            </w:pPr>
            <w:r>
              <w:rPr>
                <w:b/>
                <w:color w:val="7B2952"/>
              </w:rPr>
              <w:t>Watch next week</w:t>
            </w:r>
          </w:p>
          <w:p w14:paraId="1BB812E4" w14:textId="77777777" w:rsidR="00925849" w:rsidRPr="00F521CB" w:rsidRDefault="00925849">
            <w:pPr>
              <w:pStyle w:val="ListParagraph"/>
              <w:numPr>
                <w:ilvl w:val="0"/>
                <w:numId w:val="5"/>
              </w:numPr>
              <w:spacing w:after="20" w:before="0"/>
              <w:jc w:val="both"/>
              <w:rPr>
                <w:sz w:val="20"/>
                <w:szCs w:val="20"/>
              </w:rPr>
            </w:pPr>
            <w:r w:rsidRPr="00F521CB">
              <w:rPr>
                <w:color w:val="000000"/>
                <w:sz w:val="20"/>
                <w:szCs w:val="20"/>
              </w:rPr>
              <w:t xml:space="preserve">IMF COFER for Q2 against the 56.77% dollar share; TIC data July 14 for China and Japan holdings.</w:t>
            </w:r>
          </w:p>
          <w:p w14:paraId="1BB812E4" w14:textId="77777777" w:rsidR="00925849" w:rsidRPr="00F521CB" w:rsidRDefault="00925849">
            <w:pPr>
              <w:pStyle w:val="ListParagraph"/>
              <w:numPr>
                <w:ilvl w:val="0"/>
                <w:numId w:val="5"/>
              </w:numPr>
              <w:spacing w:after="20" w:before="0"/>
              <w:jc w:val="both"/>
              <w:rPr>
                <w:sz w:val="20"/>
                <w:szCs w:val="20"/>
              </w:rPr>
            </w:pPr>
            <w:r w:rsidRPr="00F521CB">
              <w:rPr>
                <w:color w:val="000000"/>
                <w:sz w:val="20"/>
                <w:szCs w:val="20"/>
              </w:rPr>
              <w:t xml:space="preserve">USD/JPY against the 40-year low and any confirmed Tokyo intervention; gold against the July CPI and the dollar.</w:t>
            </w:r>
          </w:p>
          <w:p w14:paraId="0B1659A5" w14:textId="77777777" w:rsidR="006945C6" w:rsidRDefault="006945C6" w:rsidP="00E72E8A">
            <w:pPr>
              <w:spacing w:after="20" w:before="0"/>
              <w:jc w:val="both"/>
            </w:pPr>
          </w:p>
        </w:tc>
      </w:tr>
    </w:tbl>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22"/>
        <w:gridCol w:w="5416"/>
      </w:tblGrid>
      <w:tr w:rsidR="00006A38" w14:paraId="728451A0" w14:textId="77777777" w:rsidTr="00502C47">
        <w:trPr>
          <w:trHeight w:val="771"/>
        </w:trPr>
        <w:tc>
          <w:tcPr>
            <w:tcW w:w="11038" w:type="dxa"/>
            <w:gridSpan w:val="2"/>
            <w:shd w:val="clear" w:color="auto" w:fill="7B2952"/>
          </w:tcPr>
          <w:p w14:paraId="2F647C62" w14:textId="77777777" w:rsidR="00006A38" w:rsidRDefault="00006A38" w:rsidP="00502C47">
            <w:pPr>
              <w:pageBreakBefore/>
              <w:jc w:val="center"/>
              <w:rPr>
                <w:b/>
                <w:color w:val="FFFFFF" w:themeColor="background1"/>
                <w:sz w:val="32"/>
              </w:rPr>
              <w:spacing w:before="0" w:after="20"/>
            </w:pPr>
            <w:r w:rsidRPr="00280B12">
              <w:rPr>
                <w:b/>
                <w:color w:val="FFFFFF" w:themeColor="background1"/>
                <w:sz w:val="32"/>
              </w:rPr>
              <w:t xml:space="preserve">Theme </w:t>
            </w:r>
            <w:r w:rsidR="007A5D4E">
              <w:rPr>
                <w:b/>
                <w:color w:val="FFFFFF" w:themeColor="background1"/>
                <w:sz w:val="32"/>
              </w:rPr>
              <w:t>3 - Energy and the Clean transition</w:t>
            </w:r>
            <w:r w:rsidRPr="00280B12">
              <w:rPr>
                <w:b/>
                <w:color w:val="FFFFFF" w:themeColor="background1"/>
                <w:sz w:val="32"/>
              </w:rPr>
              <w:t xml:space="preserve"> </w:t>
            </w:r>
          </w:p>
          <w:p w14:paraId="3D048C3A" w14:textId="7A901E0E" w:rsidR="00006A38" w:rsidRPr="003C74DB" w:rsidRDefault="00006A38" w:rsidP="00502C47">
            <w:pPr>
              <w:jc w:val="center"/>
              <w:rPr>
                <w:color w:val="FFFFFF" w:themeColor="background1"/>
                <w:szCs w:val="22"/>
              </w:rPr>
              <w:spacing w:before="0" w:after="20"/>
            </w:pPr>
            <w:r w:rsidRPr="003C74DB">
              <w:rPr>
                <w:b/>
                <w:color w:val="FFFFFF" w:themeColor="background1"/>
                <w:szCs w:val="22"/>
              </w:rPr>
              <w:t xml:space="preserve">(As of 2026_07_09</w:t>
            </w:r>
            <w:r w:rsidR="00205A60">
              <w:rPr>
                <w:b/>
                <w:color w:val="FFFFFF" w:themeColor="background1"/>
                <w:szCs w:val="22"/>
              </w:rPr>
              <w:t xml:space="preserve"/>
            </w:r>
            <w:r w:rsidRPr="003C74DB">
              <w:rPr>
                <w:b/>
                <w:color w:val="FFFFFF" w:themeColor="background1"/>
                <w:szCs w:val="22"/>
              </w:rPr>
              <w:t>)</w:t>
            </w:r>
          </w:p>
        </w:tc>
      </w:tr>
      <w:tr w:rsidR="00006A38" w14:paraId="188B4C91" w14:textId="77777777" w:rsidTr="00502C47">
        <w:trPr>
          <w:trHeight w:val="771"/>
        </w:trPr>
        <w:tc>
          <w:tcPr>
            <w:tcW w:w="11038" w:type="dxa"/>
            <w:gridSpan w:val="2"/>
          </w:tcPr>
          <w:p w14:paraId="593C6F0B" w14:textId="77777777" w:rsidR="00006A38" w:rsidRDefault="00006A38" w:rsidP="00502C47">
            <w:pPr>
              <w:spacing w:after="20" w:before="0"/>
            </w:pPr>
            <w:r>
              <w:rPr>
                <w:b/>
                <w:color w:val="7B2952"/>
              </w:rPr>
              <w:t>Status:</w:t>
            </w:r>
          </w:p>
          <w:p w14:paraId="7E7CE5DD" w14:textId="7F900E1B" w:rsidR="00006A38" w:rsidRPr="00F521CB" w:rsidRDefault="00B50FEC"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4" name="Status Ball 1821617714"/>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sidR="00006A38" w:rsidRPr="00F521CB">
              <w:rPr>
                <w:color w:val="000000"/>
                <w:sz w:val="20"/>
                <w:szCs w:val="20"/>
              </w:rPr>
              <w:t xml:space="preserve"> </w:t>
            </w:r>
            <w:r w:rsidR="00006A38" w:rsidRPr="00F521CB">
              <w:rPr>
                <w:color w:val="000000"/>
                <w:sz w:val="20"/>
                <w:szCs w:val="20"/>
              </w:rPr>
              <w:t xml:space="preserve">Held ▸ Grid strain eased as the heat broke and PJM prices normalised while data-centre power deals kept landing; the transition's structural demand is intact but nothing in-window moved the grid thesis, and summer power costs are set to ease.</w:t>
            </w:r>
          </w:p>
        </w:tc>
      </w:tr>
      <w:tr w:rsidR="00006A38" w14:paraId="3E9FFCF1" w14:textId="77777777" w:rsidTr="00785F51">
        <w:trPr>
          <w:trHeight w:val="700" w:hRule="atLeast"/>
        </w:trPr>
        <w:tc>
          <w:tcPr>
            <w:tcW w:w="5586" w:type="dxa"/>
          </w:tcPr>
          <w:p>
            <w:pPr>
              <w:jc w:val="center"/>
              <w:spacing w:before="0" w:after="20"/>
            </w:pPr>
            <w:r>
              <w:t xml:space="preserve">Insert energy1.png</w:t>
            </w:r>
          </w:p>
        </w:tc>
        <w:tc>
          <w:tcPr>
            <w:tcW w:w="5452" w:type="dxa"/>
            <w:vMerge w:val="restart"/>
          </w:tcPr>
          <w:p w14:paraId="1AAAAF5C" w14:textId="77777777" w:rsidR="00006A38" w:rsidRDefault="00006A38" w:rsidP="00502C47">
            <w:pPr>
              <w:spacing w:before="0" w:after="20"/>
              <w:jc w:val="center"/>
            </w:pPr>
            <w:r>
              <w:rPr>
                <w:b/>
                <w:color w:val="7B2952"/>
              </w:rPr>
              <w:t>What changed this week</w:t>
            </w:r>
          </w:p>
          <w:p w14:paraId="21162661" w14:textId="465BF9B9" w:rsidR="00006A38" w:rsidRPr="00E87A7B" w:rsidRDefault="00006A38">
            <w:pPr>
              <w:pStyle w:val="ListParagraph"/>
              <w:numPr>
                <w:ilvl w:val="1"/>
                <w:numId w:val="3"/>
              </w:numPr>
              <w:spacing w:after="20" w:before="0"/>
              <w:jc w:val="both"/>
              <w:rPr>
                <w:sz w:val="20"/>
                <w:szCs w:val="20"/>
              </w:rPr>
            </w:pPr>
            <w:r w:rsidRPr="00590348">
              <w:rPr>
                <w:color w:val="000000"/>
                <w:sz w:val="20"/>
                <w:szCs w:val="20"/>
              </w:rPr>
              <w:t xml:space="preserve">The grid stress that defined last week eased: PJM demand and prices fell back to normal after the heat broke, the wholesale price down to about $30 a megawatt-hour from peak spikes above $2,000, and the federal emergency order that had let it curtail data centres lapsed on July 7.</w:t>
            </w:r>
          </w:p>
          <w:p w14:paraId="21162661" w14:textId="465BF9B9" w:rsidR="00006A38" w:rsidRPr="00E87A7B" w:rsidRDefault="00006A38">
            <w:pPr>
              <w:pStyle w:val="ListParagraph"/>
              <w:numPr>
                <w:ilvl w:val="1"/>
                <w:numId w:val="3"/>
              </w:numPr>
              <w:spacing w:after="20" w:before="0"/>
              <w:jc w:val="both"/>
              <w:rPr>
                <w:sz w:val="20"/>
                <w:szCs w:val="20"/>
              </w:rPr>
            </w:pPr>
            <w:r w:rsidRPr="00590348">
              <w:rPr>
                <w:color w:val="000000"/>
                <w:sz w:val="20"/>
                <w:szCs w:val="20"/>
              </w:rPr>
              <w:t xml:space="preserve">The structural demand kept building: TeraWulf's twenty-year, roughly $19B lease to power an Anthropic data centre was the week's largest, though its stock fell on an unfinalized-credit caveat, and SunZia, a 3,650-megawatt wind and transmission project, reached full operation.</w:t>
            </w:r>
          </w:p>
          <w:p w14:paraId="21162661" w14:textId="465BF9B9" w:rsidR="00006A38" w:rsidRPr="00E87A7B" w:rsidRDefault="00006A38">
            <w:pPr>
              <w:pStyle w:val="ListParagraph"/>
              <w:numPr>
                <w:ilvl w:val="1"/>
                <w:numId w:val="3"/>
              </w:numPr>
              <w:spacing w:after="20" w:before="0"/>
              <w:jc w:val="both"/>
              <w:rPr>
                <w:sz w:val="20"/>
                <w:szCs w:val="20"/>
              </w:rPr>
            </w:pPr>
            <w:r w:rsidRPr="00590348">
              <w:rPr>
                <w:color w:val="000000"/>
                <w:sz w:val="20"/>
                <w:szCs w:val="20"/>
              </w:rPr>
              <w:t xml:space="preserve">The government's forecaster cut its summer power outlook to about $45 a megawatt-hour, some $4 below last summer, on cheaper gas and more renewables. Copper, the transition's metal proxy, held near $6.10 a pound and firmed on AI-demand optimism.</w:t>
            </w:r>
          </w:p>
          <w:p w14:paraId="47F9362B" w14:textId="77777777" w:rsidR="00006A38" w:rsidRDefault="00006A38" w:rsidP="00502C47">
            <w:pPr>
              <w:spacing w:after="20" w:before="0"/>
              <w:jc w:val="both"/>
            </w:pPr>
          </w:p>
        </w:tc>
      </w:tr>
      <w:tr w:rsidR="00006A38" w14:paraId="72E9B2EB" w14:textId="77777777" w:rsidTr="00785F51">
        <w:trPr>
          <w:trHeight w:val="700" w:hRule="atLeast"/>
        </w:trPr>
        <w:tc>
          <w:tcPr>
            <w:tcW w:w="5586" w:type="dxa"/>
          </w:tcPr>
          <w:p>
            <w:pPr>
              <w:jc w:val="center"/>
              <w:spacing w:before="0" w:after="20"/>
            </w:pPr>
            <w:r>
              <w:t xml:space="preserve">Insert energy2.png</w:t>
            </w:r>
          </w:p>
        </w:tc>
        <w:tc>
          <w:tcPr>
            <w:tcW w:w="5452" w:type="dxa"/>
            <w:vMerge/>
          </w:tcPr>
          <w:p w14:paraId="4CEB1DF9" w14:textId="77777777" w:rsidR="00006A38" w:rsidRDefault="00006A38" w:rsidP="00502C47">
            <w:pPr>
              <w:spacing w:after="20" w:before="0"/>
              <w:jc w:val="both"/>
            </w:pPr>
          </w:p>
        </w:tc>
      </w:tr>
      <w:tr w:rsidR="00006A38" w14:paraId="1FA0D00A" w14:textId="77777777" w:rsidTr="00502C47">
        <w:trPr>
          <w:trHeight w:val="700" w:hRule="atLeast"/>
        </w:trPr>
        <w:tc>
          <w:tcPr>
            <w:tcW w:w="11038" w:type="dxa"/>
            <w:gridSpan w:val="2"/>
          </w:tcPr>
          <w:p w14:paraId="0560B7AF" w14:textId="273A36F9" w:rsidR="002B3A12" w:rsidRPr="00EC715A" w:rsidRDefault="00006A38" w:rsidP="00EC715A">
            <w:pPr>
              <w:jc w:val="center"/>
              <w:rPr>
                <w:b/>
                <w:bCs/>
                <w:color w:val="7B2952"/>
              </w:rPr>
              <w:spacing w:before="0" w:after="20"/>
            </w:pPr>
            <w:r w:rsidRPr="00483440">
              <w:rPr>
                <w:b/>
                <w:bCs/>
                <w:color w:val="7B2952"/>
              </w:rPr>
              <w:t>Key Development of the Week:</w:t>
            </w:r>
          </w:p>
          <w:p>
            <w:pPr>
              <w:spacing w:before="0" w:after="20"/>
              <w:jc w:val="both"/>
            </w:pPr>
            <w:r>
              <w:rPr>
                <w:color w:val="000000"/>
                <w:sz w:val="20"/>
                <w:szCs w:val="20"/>
              </w:rPr>
              <w:t xml:space="preserve">The grid bottleneck is the running topic, and this week it eased on the demand side while the more telling move was on the supply of capital. The acute, weather-driven stress faded and the forecaster even cut summer power prices, but the structural data-centre demand kept landing, led by TeraWulf's $19B Anthropic lease, and the stock fell on an unfinalized-credit caveat. That caveat is the tell: the constraint on the transition is shifting from building wires to financing the buildout, the same circular question the AI theme is pricing from the other side. Suggested chart: PJM day-ahead peak load, late June to early July 2026, against the 2006 record. (Insert energy_keydev_chart.)</w:t>
            </w:r>
          </w:p>
          <w:p>
            <w:pPr>
              <w:spacing w:before="0" w:after="20"/>
            </w:pPr>
          </w:p>
        </w:tc>
      </w:tr>
      <w:tr w:rsidR="00006A38" w14:paraId="7010A229" w14:textId="77777777" w:rsidTr="00B16B68">
        <w:trPr>
          <w:trHeight w:val="700" w:hRule="atLeast"/>
        </w:trPr>
        <w:tc>
          <w:tcPr>
            <w:tcW w:w="5586" w:type="dxa"/>
          </w:tcPr>
          <w:p w14:paraId="47A5D6FA" w14:textId="77777777" w:rsidR="00006A38" w:rsidRDefault="00006A38" w:rsidP="00502C47">
            <w:pPr>
              <w:spacing w:before="0" w:after="20"/>
            </w:pPr>
            <w:r>
              <w:rPr>
                <w:b/>
                <w:color w:val="7B2952"/>
              </w:rPr>
              <w:t>Implication for the theme</w:t>
            </w:r>
          </w:p>
          <w:p w14:paraId="40351BEC" w14:textId="165CD08A" w:rsidR="00006A38" w:rsidRPr="00F521CB" w:rsidRDefault="00006A38" w:rsidP="00502C47">
            <w:pPr>
              <w:spacing w:after="20" w:before="0"/>
              <w:jc w:val="both"/>
              <w:rPr>
                <w:sz w:val="20"/>
                <w:szCs w:val="20"/>
              </w:rPr>
            </w:pPr>
            <w:r w:rsidRPr="00F521CB">
              <w:rPr>
                <w:color w:val="000000"/>
                <w:sz w:val="20"/>
                <w:szCs w:val="20"/>
              </w:rPr>
              <w:t xml:space="preserve">Grid-enabling assets stay the cleanest expression of the transition, and the data-centre demand behind them keeps compounding. The near-term read is neutral for growth and mildly disinflationary for power this summer; the risk to watch is financing, where the TeraWulf credit question echoes the AI buildout.</w:t>
            </w:r>
            <w:proofErr w:type="gramStart"/>
            <w:proofErr w:type="gramEnd"/>
          </w:p>
          <w:p w14:paraId="507D042D" w14:textId="77777777" w:rsidR="00006A38" w:rsidRDefault="00006A38" w:rsidP="00502C47">
            <w:pPr>
              <w:spacing w:after="20" w:before="0"/>
              <w:jc w:val="both"/>
            </w:pPr>
          </w:p>
        </w:tc>
        <w:tc>
          <w:tcPr>
            <w:tcW w:w="5452" w:type="dxa"/>
          </w:tcPr>
          <w:p w14:paraId="67160B36" w14:textId="77777777" w:rsidR="00006A38" w:rsidRDefault="00006A38" w:rsidP="00502C47">
            <w:pPr>
              <w:spacing w:before="0" w:after="20"/>
            </w:pPr>
            <w:r>
              <w:rPr>
                <w:b/>
                <w:color w:val="7B2952"/>
              </w:rPr>
              <w:t>Watch next week</w:t>
            </w:r>
          </w:p>
          <w:p w14:paraId="53B900CA" w14:textId="77777777" w:rsidR="00006A38" w:rsidRPr="00F521CB" w:rsidRDefault="00006A38">
            <w:pPr>
              <w:pStyle w:val="ListParagraph"/>
              <w:numPr>
                <w:ilvl w:val="0"/>
                <w:numId w:val="5"/>
              </w:numPr>
              <w:spacing w:after="20" w:before="0"/>
              <w:jc w:val="both"/>
              <w:rPr>
                <w:sz w:val="20"/>
                <w:szCs w:val="20"/>
              </w:rPr>
            </w:pPr>
            <w:r w:rsidRPr="00F521CB">
              <w:rPr>
                <w:color w:val="000000"/>
                <w:sz w:val="20"/>
                <w:szCs w:val="20"/>
              </w:rPr>
              <w:t xml:space="preserve">FERC action on large-load interconnection; any grid tender or power-purchase deal with dated capacity.</w:t>
            </w:r>
          </w:p>
          <w:p w14:paraId="53B900CA" w14:textId="77777777" w:rsidR="00006A38" w:rsidRPr="00F521CB" w:rsidRDefault="00006A38">
            <w:pPr>
              <w:pStyle w:val="ListParagraph"/>
              <w:numPr>
                <w:ilvl w:val="0"/>
                <w:numId w:val="5"/>
              </w:numPr>
              <w:spacing w:after="20" w:before="0"/>
              <w:jc w:val="both"/>
              <w:rPr>
                <w:sz w:val="20"/>
                <w:szCs w:val="20"/>
              </w:rPr>
            </w:pPr>
            <w:r w:rsidRPr="00F521CB">
              <w:rPr>
                <w:color w:val="000000"/>
                <w:sz w:val="20"/>
                <w:szCs w:val="20"/>
              </w:rPr>
              <w:t xml:space="preserve">PJM's 60-day confirmation of the July 2 peak; the IEA mid-year electricity update.</w:t>
            </w:r>
          </w:p>
          <w:p w14:paraId="33D0E5E7" w14:textId="77777777" w:rsidR="00006A38" w:rsidRDefault="00006A38" w:rsidP="00502C47">
            <w:pPr>
              <w:spacing w:after="20" w:before="0"/>
              <w:jc w:val="both"/>
            </w:pPr>
          </w:p>
        </w:tc>
      </w:tr>
    </w:tbl>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19"/>
        <w:gridCol w:w="5519"/>
      </w:tblGrid>
      <w:tr w:rsidR="00006A38" w14:paraId="33CA1A9C" w14:textId="77777777" w:rsidTr="00502C47">
        <w:trPr>
          <w:trHeight w:val="771"/>
        </w:trPr>
        <w:tc>
          <w:tcPr>
            <w:tcW w:w="11038" w:type="dxa"/>
            <w:gridSpan w:val="2"/>
            <w:shd w:val="clear" w:color="auto" w:fill="7B2952"/>
          </w:tcPr>
          <w:p w14:paraId="6A09E0D0" w14:textId="77777777" w:rsidR="00006A38" w:rsidRDefault="00006A38" w:rsidP="00502C47">
            <w:pPr>
              <w:pageBreakBefore/>
              <w:jc w:val="center"/>
              <w:rPr>
                <w:b/>
                <w:color w:val="FFFFFF" w:themeColor="background1"/>
                <w:sz w:val="32"/>
              </w:rPr>
              <w:spacing w:before="0" w:after="20"/>
            </w:pPr>
            <w:r w:rsidRPr="00280B12">
              <w:rPr>
                <w:b/>
                <w:color w:val="FFFFFF" w:themeColor="background1"/>
                <w:sz w:val="32"/>
              </w:rPr>
              <w:t xml:space="preserve">Theme </w:t>
            </w:r>
            <w:r w:rsidR="00DF41EB">
              <w:rPr>
                <w:b/>
                <w:color w:val="FFFFFF" w:themeColor="background1"/>
                <w:sz w:val="32"/>
              </w:rPr>
              <w:t>4</w:t>
            </w:r>
            <w:r w:rsidRPr="00280B12">
              <w:rPr>
                <w:b/>
                <w:color w:val="FFFFFF" w:themeColor="background1"/>
                <w:sz w:val="32"/>
              </w:rPr>
              <w:t xml:space="preserve"> </w:t>
            </w:r>
            <w:r w:rsidR="00DF41EB">
              <w:rPr>
                <w:b/>
                <w:color w:val="FFFFFF" w:themeColor="background1"/>
                <w:sz w:val="32"/>
              </w:rPr>
              <w:t xml:space="preserve">– Artificial </w:t>
            </w:r>
            <w:r w:rsidR="00104C28">
              <w:rPr>
                <w:b/>
                <w:color w:val="FFFFFF" w:themeColor="background1"/>
                <w:sz w:val="32"/>
              </w:rPr>
              <w:t>Intelligence</w:t>
            </w:r>
            <w:r w:rsidRPr="00280B12">
              <w:rPr>
                <w:b/>
                <w:color w:val="FFFFFF" w:themeColor="background1"/>
                <w:sz w:val="32"/>
              </w:rPr>
              <w:t xml:space="preserve"> </w:t>
            </w:r>
          </w:p>
          <w:p w14:paraId="1802858C" w14:textId="317201CD" w:rsidR="00006A38" w:rsidRPr="003C74DB" w:rsidRDefault="00006A38" w:rsidP="00502C47">
            <w:pPr>
              <w:jc w:val="center"/>
              <w:rPr>
                <w:color w:val="FFFFFF" w:themeColor="background1"/>
                <w:szCs w:val="22"/>
              </w:rPr>
              <w:spacing w:before="0" w:after="20"/>
            </w:pPr>
            <w:r w:rsidRPr="003C74DB">
              <w:rPr>
                <w:b/>
                <w:color w:val="FFFFFF" w:themeColor="background1"/>
                <w:szCs w:val="22"/>
              </w:rPr>
              <w:t xml:space="preserve">(As of 2026_07_09</w:t>
            </w:r>
            <w:r w:rsidR="00205A60">
              <w:rPr>
                <w:b/>
                <w:color w:val="FFFFFF" w:themeColor="background1"/>
                <w:szCs w:val="22"/>
              </w:rPr>
              <w:t xml:space="preserve"/>
            </w:r>
            <w:r w:rsidRPr="003C74DB">
              <w:rPr>
                <w:b/>
                <w:color w:val="FFFFFF" w:themeColor="background1"/>
                <w:szCs w:val="22"/>
              </w:rPr>
              <w:t>)</w:t>
            </w:r>
          </w:p>
        </w:tc>
      </w:tr>
      <w:tr w:rsidR="00006A38" w14:paraId="54FE7229" w14:textId="77777777" w:rsidTr="00502C47">
        <w:trPr>
          <w:trHeight w:val="771"/>
        </w:trPr>
        <w:tc>
          <w:tcPr>
            <w:tcW w:w="11038" w:type="dxa"/>
            <w:gridSpan w:val="2"/>
          </w:tcPr>
          <w:p w14:paraId="6B6BA8D6" w14:textId="77777777" w:rsidR="00006A38" w:rsidRDefault="00006A38" w:rsidP="00502C47">
            <w:pPr>
              <w:spacing w:after="20" w:before="0"/>
            </w:pPr>
            <w:r>
              <w:rPr>
                <w:b/>
                <w:color w:val="7B2952"/>
              </w:rPr>
              <w:t>Status:</w:t>
            </w:r>
          </w:p>
          <w:p w14:paraId="1C39159A" w14:textId="7E946DA7" w:rsidR="00006A38" w:rsidRPr="00F521CB" w:rsidRDefault="00FB4631"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5" name="Status Ball 1821617715"/>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sz w:val="20"/>
                <w:szCs w:val="20"/>
                <w:color w:val="000000"/>
              </w:rPr>
              <w:t xml:space="preserve"> </w:t>
            </w:r>
            <w:r>
              <w:rPr>
                <w:sz w:val="20"/>
                <w:szCs w:val="20"/>
                <w:color w:val="000000"/>
              </w:rPr>
              <w:t xml:space="preserve">Held ▸ A memory-led rout, Samsung down almost 13% despite a record quarter with Seoul circuit breakers, reversed into a Friday rebound and a 7x-oversubscribed SK Hynix listing, but Amazon's $25B bond drew the weakest hyperscaler demand since October; equity appetite for the buildout is intact while debt appetite is turning choosier.</w:t>
            </w:r>
          </w:p>
        </w:tc>
      </w:tr>
      <w:tr w:rsidR="00006A38" w14:paraId="5250B5CD" w14:textId="77777777" w:rsidTr="00502C47">
        <w:trPr>
          <w:trHeight w:val="700" w:hRule="atLeast"/>
        </w:trPr>
        <w:tc>
          <w:tcPr>
            <w:tcW w:w="5519" w:type="dxa"/>
          </w:tcPr>
          <w:p>
            <w:pPr>
              <w:jc w:val="center"/>
              <w:spacing w:before="0" w:after="20"/>
            </w:pPr>
            <w:r>
              <w:t xml:space="preserve">Insert AI_vs_snp500</w:t>
            </w:r>
          </w:p>
        </w:tc>
        <w:tc>
          <w:tcPr>
            <w:tcW w:w="5519" w:type="dxa"/>
            <w:vMerge w:val="restart"/>
          </w:tcPr>
          <w:p w14:paraId="213860D7" w14:textId="77777777" w:rsidR="00006A38" w:rsidRDefault="00006A38" w:rsidP="00502C47">
            <w:pPr>
              <w:spacing w:before="0" w:after="20"/>
              <w:jc w:val="center"/>
            </w:pPr>
            <w:r>
              <w:rPr>
                <w:b/>
                <w:color w:val="7B2952"/>
              </w:rPr>
              <w:t>What changed this week</w:t>
            </w:r>
          </w:p>
          <w:p w14:paraId="0AE7EAD4" w14:textId="77777777" w:rsidR="00006A38" w:rsidRPr="00590348" w:rsidRDefault="00006A38">
            <w:pPr>
              <w:pStyle w:val="ListParagraph"/>
              <w:numPr>
                <w:ilvl w:val="1"/>
                <w:numId w:val="3"/>
              </w:numPr>
              <w:spacing w:after="20" w:before="0"/>
              <w:jc w:val="both"/>
              <w:rPr>
                <w:sz w:val="20"/>
                <w:szCs w:val="20"/>
              </w:rPr>
            </w:pPr>
            <w:r w:rsidRPr="00590348">
              <w:rPr>
                <w:color w:val="000000"/>
                <w:sz w:val="20"/>
                <w:szCs w:val="20"/>
              </w:rPr>
              <w:t xml:space="preserve">The week opened with the memory trade breaking down: Samsung's record profit, up nineteen-fold, fell almost 13% over two sessions on peak-cycle fears with Seoul circuit breakers, before Apple's $30B Broadcom deal and SK Hynix's oversubscribed listing turned the tape by Friday.</w:t>
            </w:r>
          </w:p>
          <w:p w14:paraId="0AE7EAD4" w14:textId="77777777" w:rsidR="00006A38" w:rsidRPr="00590348" w:rsidRDefault="00006A38">
            <w:pPr>
              <w:pStyle w:val="ListParagraph"/>
              <w:numPr>
                <w:ilvl w:val="1"/>
                <w:numId w:val="3"/>
              </w:numPr>
              <w:spacing w:after="20" w:before="0"/>
              <w:jc w:val="both"/>
              <w:rPr>
                <w:sz w:val="20"/>
                <w:szCs w:val="20"/>
              </w:rPr>
            </w:pPr>
            <w:r w:rsidRPr="00590348">
              <w:rPr>
                <w:color w:val="000000"/>
                <w:sz w:val="20"/>
                <w:szCs w:val="20"/>
              </w:rPr>
              <w:t xml:space="preserve">The financing test split: SK Hynix's Nasdaq listing closed more than seven times oversubscribed, but Amazon's $25B AI bond drew orders only about 2.5 times the paper, the weakest hyperscaler reception since October, and added up to 21 basis points of yield to clear. The six largest tech firms have sold about $182B of IG bonds this year against under $13B a year ago.</w:t>
            </w:r>
          </w:p>
        </w:tc>
      </w:tr>
      <w:tr w:rsidR="00006A38" w14:paraId="1524F5AB" w14:textId="77777777" w:rsidTr="00502C47">
        <w:trPr>
          <w:trHeight w:val="700" w:hRule="atLeast"/>
        </w:trPr>
        <w:tc>
          <w:tcPr>
            <w:tcW w:w="5519" w:type="dxa"/>
          </w:tcPr>
          <w:p>
            <w:pPr>
              <w:jc w:val="center"/>
              <w:spacing w:before="0" w:after="20"/>
            </w:pPr>
            <w:r>
              <w:t xml:space="preserve">Insert AI_forward_pe</w:t>
            </w:r>
          </w:p>
        </w:tc>
        <w:tc>
          <w:tcPr>
            <w:tcW w:w="5519" w:type="dxa"/>
            <w:vMerge/>
          </w:tcPr>
          <w:p w14:paraId="6FC28994" w14:textId="77777777" w:rsidR="00006A38" w:rsidRDefault="00006A38" w:rsidP="00502C47">
            <w:pPr>
              <w:spacing w:after="20" w:before="0"/>
              <w:jc w:val="both"/>
            </w:pPr>
          </w:p>
        </w:tc>
      </w:tr>
      <w:tr w:rsidR="00006A38" w14:paraId="1FA0D00A" w14:textId="77777777" w:rsidTr="00502C47">
        <w:trPr>
          <w:trHeight w:val="700" w:hRule="atLeast"/>
        </w:trPr>
        <w:tc>
          <w:tcPr>
            <w:tcW w:w="11038" w:type="dxa"/>
            <w:gridSpan w:val="2"/>
          </w:tcPr>
          <w:p w14:paraId="0560B7AF" w14:textId="273A36F9" w:rsidR="002B3A12" w:rsidRPr="00EC715A" w:rsidRDefault="00006A38" w:rsidP="00EC715A">
            <w:pPr>
              <w:jc w:val="center"/>
              <w:rPr>
                <w:b/>
                <w:bCs/>
                <w:color w:val="7B2952"/>
              </w:rPr>
              <w:spacing w:before="0" w:after="20"/>
            </w:pPr>
            <w:r w:rsidRPr="00483440">
              <w:rPr>
                <w:b/>
                <w:bCs/>
                <w:color w:val="7B2952"/>
              </w:rPr>
              <w:t>Key Development of the Week:</w:t>
            </w:r>
          </w:p>
          <w:tbl>
            <w:tblPr>
              <w:tblW w:w="10800" w:type="dxa"/>
              <w:tblBorders>
                <w:top w:val="none" w:sz="0" w:space="0"/>
                <w:left w:val="none" w:sz="0" w:space="0"/>
                <w:bottom w:val="none" w:sz="0" w:space="0"/>
                <w:right w:val="none" w:sz="0" w:space="0"/>
                <w:insideH w:val="none" w:sz="0" w:space="0"/>
                <w:insideV w:val="none" w:sz="0" w:space="0"/>
              </w:tblBorders>
              <w:tblLayout w:type="fixed"/>
              <w:tblCellMar>
                <w:top w:w="20" w:type="dxa"/>
                <w:left w:w="40" w:type="dxa"/>
                <w:bottom w:w="20" w:type="dxa"/>
                <w:right w:w="216" w:type="dxa"/>
              </w:tblCellMar>
            </w:tblPr>
            <w:tblGrid>
              <w:gridCol w:w="5950"/>
              <w:gridCol w:w="4850"/>
            </w:tblGrid>
            <w:tr>
              <w:trPr>
                <w:trHeight w:val="250" w:hRule="atLeast"/>
              </w:trPr>
              <w:tc>
                <w:tcPr>
                  <w:tcW w:w="5950" w:type="dxa"/>
                  <w:vAlign w:val="top"/>
                </w:tcPr>
                <w:p>
                  <w:pPr>
                    <w:spacing w:before="0" w:after="20"/>
                    <w:jc w:val="both"/>
                  </w:pPr>
                  <w:r>
                    <w:rPr>
                      <w:color w:val="000000"/>
                      <w:sz w:val="20"/>
                      <w:szCs w:val="20"/>
                    </w:rPr>
                    <w:t xml:space="preserve">The buildout's running question is whether it stays funded, and this week it answered in two directions at once. Equity investors could not get enough, taking SK Hynix's listing more than seven times over, while bond investors made Amazon pay up and still gave it the thinnest coverage of any hyperscaler deal since October. That divergence is the insight: the market is beginning to price the buildout's debt and its equity differently, and debt is where an over-supplied buildout shows stress first. The flood of issuance, roughly fourteen times last year's pace, is finally large enough that lenders can be choosy.</w:t>
                  </w:r>
                </w:p>
              </w:tc>
              <w:tc>
                <w:tcPr>
                  <w:tcW w:w="4850" w:type="dxa"/>
                  <w:vAlign w:val="top"/>
                </w:tcPr>
                <w:p xmlns:a="http://schemas.openxmlformats.org/drawingml/2006/main" xmlns:pic="http://schemas.openxmlformats.org/drawingml/2006/picture">
                  <w:pPr>
                    <w:spacing w:before="0" w:after="20"/>
                    <w:jc w:val="center"/>
                  </w:pPr>
                  <w:r>
                    <w:drawing>
                      <wp:inline distT="0" distB="0" distL="0" distR="0">
                        <wp:extent cx="2500000" cy="1458333"/>
                        <wp:docPr id="1821617716" name="keydev_chart_1821617716"/>
                        <a:graphic>
                          <a:graphicData uri="http://schemas.openxmlformats.org/drawingml/2006/picture">
                            <pic:pic>
                              <pic:nvPicPr>
                                <pic:cNvPr id="1821617716" name="keydev_chart_1821617716"/>
                                <pic:cNvPicPr/>
                              </pic:nvPicPr>
                              <pic:blipFill>
                                <a:blip r:embed="rId38"/>
                                <a:stretch>
                                  <a:fillRect/>
                                </a:stretch>
                              </pic:blipFill>
                              <pic:spPr>
                                <a:xfrm>
                                  <a:off x="0" y="0"/>
                                  <a:ext cx="2500000" cy="1458333"/>
                                </a:xfrm>
                                <a:prstGeom prst="rect">
                                  <a:avLst/>
                                </a:prstGeom>
                              </pic:spPr>
                            </pic:pic>
                          </a:graphicData>
                        </a:graphic>
                      </wp:inline>
                    </w:drawing>
                  </w:r>
                </w:p>
                <w:p>
                  <w:pPr>
                    <w:spacing w:before="0" w:after="20"/>
                    <w:jc w:val="both"/>
                  </w:pPr>
                  <w:r>
                    <w:rPr>
                      <w:i/>
                      <w:color w:val="7F7F7F"/>
                      <w:sz w:val="14"/>
                      <w:szCs w:val="14"/>
                    </w:rPr>
                    <w:t xml:space="preserve">Chart: US investment-grade bond issuance by the six largest technology companies, year-to-date 2026 versus the same period in 2025, from Bloomberg reporting. The 2026 pace is roughly fourteen times the prior year.</w:t>
                  </w:r>
                </w:p>
              </w:tc>
            </w:tr>
          </w:tbl>
          <w:p>
            <w:pPr>
              <w:spacing w:before="0" w:after="20"/>
              <w:rPr>
                <w:sz w:val="2"/>
              </w:rPr>
            </w:pPr>
          </w:p>
          <w:p>
            <w:pPr>
              <w:spacing w:before="0" w:after="20"/>
            </w:pPr>
          </w:p>
        </w:tc>
      </w:tr>
      <w:tr w:rsidR="00006A38" w14:paraId="480B6668" w14:textId="77777777" w:rsidTr="000C45D4">
        <w:trPr>
          <w:trHeight w:val="700" w:hRule="atLeast"/>
        </w:trPr>
        <w:tc>
          <w:tcPr>
            <w:tcW w:w="5519" w:type="dxa"/>
          </w:tcPr>
          <w:p w14:paraId="7759DEAE" w14:textId="77777777" w:rsidR="00006A38" w:rsidRDefault="00006A38" w:rsidP="00502C47">
            <w:pPr>
              <w:spacing w:before="0" w:after="20"/>
            </w:pPr>
            <w:r>
              <w:rPr>
                <w:b/>
                <w:color w:val="7B2952"/>
              </w:rPr>
              <w:t>Implication for the theme</w:t>
            </w:r>
          </w:p>
          <w:p w14:paraId="4DC0AB40" w14:textId="3BCA58F7" w:rsidR="00006A38" w:rsidRPr="00F521CB" w:rsidRDefault="002D4DED" w:rsidP="00502C47">
            <w:pPr>
              <w:spacing w:after="20" w:before="0"/>
              <w:jc w:val="both"/>
              <w:rPr>
                <w:sz w:val="20"/>
                <w:szCs w:val="20"/>
              </w:rPr>
            </w:pPr>
            <w:r>
              <w:rPr>
                <w:color w:val="000000"/>
                <w:sz w:val="20"/>
                <w:szCs w:val="20"/>
              </w:rPr>
              <w:t xml:space="preserve">Infrastructure enablers, memory, power and chips, stay where the spend lands whichever platform wins, and equity is still funding them. The new caution is credit: softer bond demand and the widening weak-versus-strong high-yield gap argue for staying up the quality curve.</w:t>
            </w:r>
          </w:p>
          <w:p w14:paraId="7376A19F" w14:textId="77777777" w:rsidR="00006A38" w:rsidRDefault="00006A38" w:rsidP="00502C47">
            <w:pPr>
              <w:spacing w:after="20" w:before="0"/>
              <w:jc w:val="both"/>
            </w:pPr>
          </w:p>
        </w:tc>
        <w:tc>
          <w:tcPr>
            <w:tcW w:w="5519" w:type="dxa"/>
          </w:tcPr>
          <w:p w14:paraId="292335C4" w14:textId="77777777" w:rsidR="00006A38" w:rsidRDefault="00006A38" w:rsidP="00502C47">
            <w:pPr>
              <w:spacing w:before="0" w:after="20"/>
            </w:pPr>
            <w:r>
              <w:rPr>
                <w:b/>
                <w:color w:val="7B2952"/>
              </w:rPr>
              <w:t>Watch next week</w:t>
            </w:r>
          </w:p>
          <w:p w14:paraId="46D27459" w14:textId="77777777" w:rsidR="00006A38" w:rsidRPr="00F521CB" w:rsidRDefault="00006A38">
            <w:pPr>
              <w:pStyle w:val="ListParagraph"/>
              <w:numPr>
                <w:ilvl w:val="0"/>
                <w:numId w:val="5"/>
              </w:numPr>
              <w:spacing w:after="20" w:before="0"/>
              <w:jc w:val="both"/>
              <w:rPr>
                <w:sz w:val="20"/>
                <w:szCs w:val="20"/>
              </w:rPr>
            </w:pPr>
            <w:r w:rsidRPr="00F521CB">
              <w:rPr>
                <w:color w:val="000000"/>
                <w:sz w:val="20"/>
                <w:szCs w:val="20"/>
              </w:rPr>
              <w:t xml:space="preserve">SK Hynix's July 10 Nasdaq debut, the cleanest financing-appetite read; hyperscaler Q2 capex guidance from late July.</w:t>
            </w:r>
          </w:p>
          <w:p w14:paraId="46D27459" w14:textId="77777777" w:rsidR="00006A38" w:rsidRPr="00F521CB" w:rsidRDefault="00006A38">
            <w:pPr>
              <w:pStyle w:val="ListParagraph"/>
              <w:numPr>
                <w:ilvl w:val="0"/>
                <w:numId w:val="5"/>
              </w:numPr>
              <w:spacing w:after="20" w:before="0"/>
              <w:jc w:val="both"/>
              <w:rPr>
                <w:sz w:val="20"/>
                <w:szCs w:val="20"/>
              </w:rPr>
            </w:pPr>
            <w:r w:rsidRPr="00F521CB">
              <w:rPr>
                <w:color w:val="000000"/>
                <w:sz w:val="20"/>
                <w:szCs w:val="20"/>
              </w:rPr>
              <w:t xml:space="preserve">AI-issuer credit spreads and new-issue reception; the CCC-versus-single-B high-yield gap.</w:t>
            </w:r>
          </w:p>
          <w:p w14:paraId="5D7E0ED2" w14:textId="77777777" w:rsidR="00006A38" w:rsidRDefault="00006A38" w:rsidP="00502C47">
            <w:pPr>
              <w:spacing w:after="20" w:before="0"/>
              <w:jc w:val="both"/>
            </w:pPr>
          </w:p>
        </w:tc>
      </w:tr>
    </w:tbl>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19"/>
        <w:gridCol w:w="5519"/>
      </w:tblGrid>
      <w:tr w:rsidR="00104C28" w14:paraId="1CB63F28" w14:textId="77777777" w:rsidTr="00502C47">
        <w:trPr>
          <w:trHeight w:val="771"/>
        </w:trPr>
        <w:tc>
          <w:tcPr>
            <w:tcW w:w="11038" w:type="dxa"/>
            <w:gridSpan w:val="2"/>
            <w:shd w:val="clear" w:color="auto" w:fill="7B2952"/>
          </w:tcPr>
          <w:p w14:paraId="3FF5284D" w14:textId="77777777" w:rsidR="00104C28" w:rsidRDefault="00104C28" w:rsidP="00502C47">
            <w:pPr>
              <w:pageBreakBefore/>
              <w:jc w:val="center"/>
              <w:rPr>
                <w:b/>
                <w:color w:val="FFFFFF" w:themeColor="background1"/>
                <w:sz w:val="32"/>
              </w:rPr>
              <w:spacing w:before="0" w:after="20"/>
            </w:pPr>
            <w:r w:rsidRPr="00280B12">
              <w:rPr>
                <w:b/>
                <w:color w:val="FFFFFF" w:themeColor="background1"/>
                <w:sz w:val="32"/>
              </w:rPr>
              <w:t xml:space="preserve">Theme </w:t>
            </w:r>
            <w:r>
              <w:rPr>
                <w:b/>
                <w:color w:val="FFFFFF" w:themeColor="background1"/>
                <w:sz w:val="32"/>
              </w:rPr>
              <w:t>5</w:t>
            </w:r>
            <w:r w:rsidRPr="00280B12">
              <w:rPr>
                <w:b/>
                <w:color w:val="FFFFFF" w:themeColor="background1"/>
                <w:sz w:val="32"/>
              </w:rPr>
              <w:t xml:space="preserve"> </w:t>
            </w:r>
            <w:r>
              <w:rPr>
                <w:b/>
                <w:color w:val="FFFFFF" w:themeColor="background1"/>
                <w:sz w:val="32"/>
              </w:rPr>
              <w:t>– Geopolitics and Trade</w:t>
            </w:r>
            <w:r w:rsidRPr="00280B12">
              <w:rPr>
                <w:b/>
                <w:color w:val="FFFFFF" w:themeColor="background1"/>
                <w:sz w:val="32"/>
              </w:rPr>
              <w:t xml:space="preserve"> </w:t>
            </w:r>
          </w:p>
          <w:p w14:paraId="3B17D795" w14:textId="2DE14159" w:rsidR="00104C28" w:rsidRPr="003C74DB" w:rsidRDefault="00104C28" w:rsidP="00502C47">
            <w:pPr>
              <w:jc w:val="center"/>
              <w:rPr>
                <w:color w:val="FFFFFF" w:themeColor="background1"/>
                <w:szCs w:val="22"/>
              </w:rPr>
              <w:spacing w:before="0" w:after="20"/>
            </w:pPr>
            <w:r w:rsidRPr="003C74DB">
              <w:rPr>
                <w:b/>
                <w:color w:val="FFFFFF" w:themeColor="background1"/>
                <w:szCs w:val="22"/>
              </w:rPr>
              <w:t xml:space="preserve">(As of 2026_07_09</w:t>
            </w:r>
            <w:r w:rsidR="00205A60">
              <w:rPr>
                <w:b/>
                <w:color w:val="FFFFFF" w:themeColor="background1"/>
                <w:szCs w:val="22"/>
              </w:rPr>
              <w:t xml:space="preserve"/>
            </w:r>
            <w:r w:rsidRPr="003C74DB">
              <w:rPr>
                <w:b/>
                <w:color w:val="FFFFFF" w:themeColor="background1"/>
                <w:szCs w:val="22"/>
              </w:rPr>
              <w:t>)</w:t>
            </w:r>
          </w:p>
        </w:tc>
      </w:tr>
      <w:tr w:rsidR="00104C28" w14:paraId="63195DE1" w14:textId="77777777" w:rsidTr="00502C47">
        <w:trPr>
          <w:trHeight w:val="771"/>
        </w:trPr>
        <w:tc>
          <w:tcPr>
            <w:tcW w:w="11038" w:type="dxa"/>
            <w:gridSpan w:val="2"/>
          </w:tcPr>
          <w:p w14:paraId="16A194B6" w14:textId="77777777" w:rsidR="00104C28" w:rsidRDefault="00104C28" w:rsidP="00502C47">
            <w:pPr>
              <w:spacing w:after="20" w:before="0"/>
            </w:pPr>
            <w:r>
              <w:rPr>
                <w:b/>
                <w:color w:val="7B2952"/>
              </w:rPr>
              <w:t>Status:</w:t>
            </w:r>
          </w:p>
          <w:p w14:paraId="4FD2BFEA" w14:textId="5E766A5E" w:rsidR="00104C28" w:rsidRPr="00F521CB" w:rsidRDefault="00CA7973"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7" name="Status Ball 1821617717"/>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sidR="00104C28" w:rsidRPr="00F521CB">
              <w:rPr>
                <w:color w:val="000000"/>
                <w:sz w:val="20"/>
                <w:szCs w:val="20"/>
              </w:rPr>
              <w:t xml:space="preserve"> </w:t>
            </w:r>
            <w:r w:rsidR="00104C28" w:rsidRPr="00F521CB">
              <w:rPr>
                <w:color w:val="000000"/>
                <w:sz w:val="20"/>
                <w:szCs w:val="20"/>
              </w:rPr>
              <w:t xml:space="preserve">Escalating ▸ The US-Iran June ceasefire collapsed into the sharpest fighting of the war, with tanker strikes, two nights of US strikes and Iran hitting three Gulf states, and oil ran back to $78; Russia-Ukraine escalated in parallel, and the rebuilt war premium reverses the disinflation impulse.</w:t>
            </w:r>
          </w:p>
        </w:tc>
      </w:tr>
      <w:tr w:rsidR="00104C28" w14:paraId="23AD9B28" w14:textId="77777777" w:rsidTr="00502C47">
        <w:trPr>
          <w:trHeight w:val="700" w:hRule="atLeast"/>
        </w:trPr>
        <w:tc>
          <w:tcPr>
            <w:tcW w:w="5519" w:type="dxa"/>
          </w:tcPr>
          <w:p>
            <w:pPr>
              <w:jc w:val="center"/>
              <w:spacing w:before="0" w:after="20"/>
            </w:pPr>
            <w:r>
              <w:t xml:space="preserve">Insert geo1.png</w:t>
            </w:r>
          </w:p>
        </w:tc>
        <w:tc>
          <w:tcPr>
            <w:tcW w:w="5519" w:type="dxa"/>
            <w:vMerge w:val="restart"/>
          </w:tcPr>
          <w:p w14:paraId="406334D3" w14:textId="77777777" w:rsidR="00104C28" w:rsidRDefault="00104C28" w:rsidP="00502C47">
            <w:pPr>
              <w:spacing w:before="0" w:after="20"/>
              <w:jc w:val="center"/>
            </w:pPr>
            <w:r>
              <w:rPr>
                <w:b/>
                <w:color w:val="7B2952"/>
              </w:rPr>
              <w:t>What changed this week</w:t>
            </w:r>
          </w:p>
          <w:p w14:paraId="38EE50E1" w14:textId="4976D363" w:rsidR="00104C28" w:rsidRPr="00590348" w:rsidRDefault="00104C28">
            <w:pPr>
              <w:pStyle w:val="ListParagraph"/>
              <w:numPr>
                <w:ilvl w:val="1"/>
                <w:numId w:val="3"/>
              </w:numPr>
              <w:spacing w:after="20" w:before="0"/>
              <w:jc w:val="both"/>
              <w:rPr>
                <w:sz w:val="20"/>
                <w:szCs w:val="20"/>
              </w:rPr>
            </w:pPr>
            <w:r w:rsidRPr="00590348">
              <w:rPr>
                <w:color w:val="000000"/>
                <w:sz w:val="20"/>
                <w:szCs w:val="20"/>
              </w:rPr>
              <w:t xml:space="preserve">The US-Iran ceasefire that had taken oil back to pre-war levels collapsed in three days: Iran struck three Hormuz vessels on July 7, US Central Command answered with strikes on more than 80 targets over two nights, and Iran hit Bahrain, Kuwait and Qatar, with Jordan intercepting eight missiles. Brent ran from about $72 to settle near $78, Strait traffic down to about 34 vessels a day from a normal 88.</w:t>
            </w:r>
          </w:p>
          <w:p w14:paraId="38EE50E1" w14:textId="4976D363" w:rsidR="00104C28" w:rsidRPr="00590348" w:rsidRDefault="00104C28">
            <w:pPr>
              <w:pStyle w:val="ListParagraph"/>
              <w:numPr>
                <w:ilvl w:val="1"/>
                <w:numId w:val="3"/>
              </w:numPr>
              <w:spacing w:after="20" w:before="0"/>
              <w:jc w:val="both"/>
              <w:rPr>
                <w:sz w:val="20"/>
                <w:szCs w:val="20"/>
              </w:rPr>
            </w:pPr>
            <w:r w:rsidRPr="00590348">
              <w:rPr>
                <w:color w:val="000000"/>
                <w:sz w:val="20"/>
                <w:szCs w:val="20"/>
              </w:rPr>
              <w:t xml:space="preserve">The Russia-Ukraine leg escalated in parallel, Russia hitting Kyiv on successive nights with zero of 29 ballistic missiles intercepted, and Ukraine pressing its deepest strikes of the war on Russian refineries. The trade leg stayed quiet, and the war's food channel did not re-light: urea sat flat near $377 a tonne, so the fertilizer-to-food transmission is dormant.</w:t>
            </w:r>
          </w:p>
        </w:tc>
      </w:tr>
      <w:tr w:rsidR="00104C28" w14:paraId="38EBF091" w14:textId="77777777" w:rsidTr="0002130F">
        <w:trPr>
          <w:trHeight w:val="700" w:hRule="atLeast"/>
        </w:trPr>
        <w:tc>
          <w:tcPr>
            <w:tcW w:w="5519" w:type="dxa"/>
          </w:tcPr>
          <w:p>
            <w:pPr>
              <w:jc w:val="center"/>
              <w:spacing w:before="0" w:after="20"/>
            </w:pPr>
            <w:r>
              <w:t xml:space="preserve">Insert geo2.png</w:t>
            </w:r>
          </w:p>
        </w:tc>
        <w:tc>
          <w:tcPr>
            <w:tcW w:w="5519" w:type="dxa"/>
            <w:vMerge/>
          </w:tcPr>
          <w:p w14:paraId="31418083" w14:textId="77777777" w:rsidR="00104C28" w:rsidRDefault="00104C28" w:rsidP="00502C47">
            <w:pPr>
              <w:spacing w:after="20" w:before="0"/>
              <w:jc w:val="both"/>
            </w:pPr>
          </w:p>
        </w:tc>
      </w:tr>
      <w:tr w:rsidR="00104C28" w14:paraId="3ECBD900" w14:textId="77777777" w:rsidTr="00502C47">
        <w:trPr>
          <w:trHeight w:val="700" w:hRule="atLeast"/>
        </w:trPr>
        <w:tc>
          <w:tcPr>
            <w:tcW w:w="11038" w:type="dxa"/>
            <w:gridSpan w:val="2"/>
          </w:tcPr>
          <w:p w14:paraId="4E78AF62" w14:textId="290FD51A" w:rsidR="00104C28" w:rsidRPr="00483440" w:rsidRDefault="00104C28" w:rsidP="00502C47">
            <w:pPr>
              <w:jc w:val="center"/>
              <w:rPr>
                <w:b/>
                <w:bCs/>
                <w:color w:val="7B2952"/>
              </w:rPr>
              <w:spacing w:before="0" w:after="20"/>
            </w:pPr>
            <w:r w:rsidRPr="00483440">
              <w:rPr>
                <w:b/>
                <w:bCs/>
                <w:color w:val="7B2952"/>
              </w:rPr>
              <w:t>Key Development of the Week:</w:t>
            </w:r>
          </w:p>
          <w:tbl>
            <w:tblPr>
              <w:tblW w:w="10800" w:type="dxa"/>
              <w:tblBorders>
                <w:top w:val="none" w:sz="0" w:space="0"/>
                <w:left w:val="none" w:sz="0" w:space="0"/>
                <w:bottom w:val="none" w:sz="0" w:space="0"/>
                <w:right w:val="none" w:sz="0" w:space="0"/>
                <w:insideH w:val="none" w:sz="0" w:space="0"/>
                <w:insideV w:val="none" w:sz="0" w:space="0"/>
              </w:tblBorders>
              <w:tblLayout w:type="fixed"/>
              <w:tblCellMar>
                <w:top w:w="20" w:type="dxa"/>
                <w:left w:w="40" w:type="dxa"/>
                <w:bottom w:w="20" w:type="dxa"/>
                <w:right w:w="216" w:type="dxa"/>
              </w:tblCellMar>
            </w:tblPr>
            <w:tblGrid>
              <w:gridCol w:w="5950"/>
              <w:gridCol w:w="4850"/>
            </w:tblGrid>
            <w:tr>
              <w:trPr>
                <w:trHeight w:val="250" w:hRule="atLeast"/>
              </w:trPr>
              <w:tc>
                <w:tcPr>
                  <w:tcW w:w="5950" w:type="dxa"/>
                  <w:vAlign w:val="top"/>
                </w:tcPr>
                <w:p>
                  <w:pPr>
                    <w:spacing w:before="0" w:after="20"/>
                    <w:jc w:val="both"/>
                  </w:pPr>
                  <w:r>
                    <w:rPr>
                      <w:color w:val="000000"/>
                      <w:sz w:val="20"/>
                      <w:szCs w:val="20"/>
                    </w:rPr>
                    <w:t xml:space="preserve">The oil story ran a full round trip: two weeks ago Brent near $70 was the cleanest support for the moderating-inflation call, and this week the ceasefire broke and it ran back to $78. What advanced is the conflict itself, from a cooling truce to the sharpest fighting of the war in one week. The insight that keeps this from being a repeat of the spring is what did not move: fertilizer stayed flat, so the sulphur-to-food channel is dormant and the shock is oil-only, which caps the inflation and the humanitarian damage this time.</w:t>
                  </w:r>
                </w:p>
              </w:tc>
              <w:tc>
                <w:tcPr>
                  <w:tcW w:w="4850" w:type="dxa"/>
                  <w:vAlign w:val="top"/>
                </w:tcPr>
                <w:p xmlns:a="http://schemas.openxmlformats.org/drawingml/2006/main" xmlns:pic="http://schemas.openxmlformats.org/drawingml/2006/picture">
                  <w:pPr>
                    <w:spacing w:before="0" w:after="20"/>
                    <w:jc w:val="center"/>
                  </w:pPr>
                  <w:r>
                    <w:drawing>
                      <wp:inline distT="0" distB="0" distL="0" distR="0">
                        <wp:extent cx="2500000" cy="1458333"/>
                        <wp:docPr id="1821617718" name="keydev_chart_1821617718"/>
                        <a:graphic>
                          <a:graphicData uri="http://schemas.openxmlformats.org/drawingml/2006/picture">
                            <pic:pic>
                              <pic:nvPicPr>
                                <pic:cNvPr id="1821617718" name="keydev_chart_1821617718"/>
                                <pic:cNvPicPr/>
                              </pic:nvPicPr>
                              <pic:blipFill>
                                <a:blip r:embed="rId39"/>
                                <a:stretch>
                                  <a:fillRect/>
                                </a:stretch>
                              </pic:blipFill>
                              <pic:spPr>
                                <a:xfrm>
                                  <a:off x="0" y="0"/>
                                  <a:ext cx="2500000" cy="1458333"/>
                                </a:xfrm>
                                <a:prstGeom prst="rect">
                                  <a:avLst/>
                                </a:prstGeom>
                              </pic:spPr>
                            </pic:pic>
                          </a:graphicData>
                        </a:graphic>
                      </wp:inline>
                    </w:drawing>
                  </w:r>
                </w:p>
                <w:p>
                  <w:pPr>
                    <w:spacing w:before="0" w:after="20"/>
                    <w:jc w:val="both"/>
                  </w:pPr>
                  <w:r>
                    <w:rPr>
                      <w:i/>
                      <w:color w:val="7F7F7F"/>
                      <w:sz w:val="14"/>
                      <w:szCs w:val="14"/>
                    </w:rPr>
                    <w:t xml:space="preserve">Chart: daily Brent crude, 2 to 9 July 2026, from CNBC and Trading Economics daily settles. The shaded band marks the July 7-8 collapse of the June US-Iran ceasefire.</w:t>
                  </w:r>
                </w:p>
              </w:tc>
            </w:tr>
          </w:tbl>
          <w:p>
            <w:pPr>
              <w:spacing w:before="0" w:after="20"/>
              <w:rPr>
                <w:sz w:val="2"/>
              </w:rPr>
            </w:pPr>
          </w:p>
          <w:p>
            <w:pPr>
              <w:spacing w:before="0" w:after="20"/>
            </w:pPr>
          </w:p>
          <w:p w14:paraId="54A7A759" w14:textId="300FB5F7" w:rsidR="00104C28" w:rsidRDefault="00104C28" w:rsidP="00502C47">
            <w:pPr>
              <w:spacing w:after="20" w:before="0"/>
              <w:jc w:val="both"/>
            </w:pPr>
          </w:p>
        </w:tc>
      </w:tr>
      <w:tr w:rsidR="00104C28" w14:paraId="30F2B309" w14:textId="77777777" w:rsidTr="00502C47">
        <w:trPr>
          <w:trHeight w:val="700" w:hRule="atLeast"/>
        </w:trPr>
        <w:tc>
          <w:tcPr>
            <w:tcW w:w="5519" w:type="dxa"/>
          </w:tcPr>
          <w:p w14:paraId="2D509C68" w14:textId="77777777" w:rsidR="00104C28" w:rsidRDefault="00104C28" w:rsidP="00502C47">
            <w:pPr>
              <w:spacing w:before="0" w:after="20"/>
            </w:pPr>
            <w:r>
              <w:rPr>
                <w:b/>
                <w:color w:val="7B2952"/>
              </w:rPr>
              <w:lastRenderedPageBreak/>
              <w:t>Implication for the theme</w:t>
            </w:r>
          </w:p>
          <w:p w14:paraId="088D1F98" w14:textId="47C5E214" w:rsidR="00104C28" w:rsidRPr="00F521CB" w:rsidRDefault="00104C28" w:rsidP="00502C47">
            <w:pPr>
              <w:spacing w:after="20" w:before="0"/>
              <w:jc w:val="both"/>
              <w:rPr>
                <w:sz w:val="20"/>
                <w:szCs w:val="20"/>
              </w:rPr>
            </w:pPr>
            <w:r w:rsidRPr="00F521CB">
              <w:rPr>
                <w:color w:val="000000"/>
                <w:sz w:val="20"/>
                <w:szCs w:val="20"/>
              </w:rPr>
              <w:t xml:space="preserve">Both legs are inflationary and anti-growth: the oil passthrough lifts near-term inflation just as the Fed leans hawkish, tightening conditions from both sides. For a Canadian plan the oil move is a partial offset through a firmer loonie. The offsets are that supply keeps flowing and fertilizer has not re-lit; the risk is a Hormuz closure.</w:t>
            </w:r>
          </w:p>
          <w:p w14:paraId="2901CD95" w14:textId="77777777" w:rsidR="00104C28" w:rsidRDefault="00104C28" w:rsidP="00502C47">
            <w:pPr>
              <w:spacing w:after="20" w:before="0"/>
              <w:jc w:val="both"/>
            </w:pPr>
          </w:p>
        </w:tc>
        <w:tc>
          <w:tcPr>
            <w:tcW w:w="5519" w:type="dxa"/>
          </w:tcPr>
          <w:p w14:paraId="45388BEB" w14:textId="77777777" w:rsidR="00104C28" w:rsidRDefault="00104C28" w:rsidP="00502C47">
            <w:pPr>
              <w:spacing w:before="0" w:after="20"/>
            </w:pPr>
            <w:r>
              <w:rPr>
                <w:b/>
                <w:color w:val="7B2952"/>
              </w:rPr>
              <w:t>Watch next week</w:t>
            </w:r>
          </w:p>
          <w:p w14:paraId="255C9874" w14:textId="77777777" w:rsidR="00104C28" w:rsidRPr="00F521CB" w:rsidRDefault="00104C28">
            <w:pPr>
              <w:pStyle w:val="ListParagraph"/>
              <w:numPr>
                <w:ilvl w:val="0"/>
                <w:numId w:val="5"/>
              </w:numPr>
              <w:spacing w:after="20" w:before="0"/>
              <w:jc w:val="both"/>
              <w:rPr>
                <w:sz w:val="20"/>
                <w:szCs w:val="20"/>
              </w:rPr>
            </w:pPr>
            <w:r w:rsidRPr="00F521CB">
              <w:rPr>
                <w:color w:val="000000"/>
                <w:sz w:val="20"/>
                <w:szCs w:val="20"/>
              </w:rPr>
              <w:t xml:space="preserve">US June CPI July 14 for the oil passthrough; any confirmed US-Iran talks venue and date, now uncertain.</w:t>
            </w:r>
          </w:p>
          <w:p w14:paraId="255C9874" w14:textId="77777777" w:rsidR="00104C28" w:rsidRPr="00F521CB" w:rsidRDefault="00104C28">
            <w:pPr>
              <w:pStyle w:val="ListParagraph"/>
              <w:numPr>
                <w:ilvl w:val="0"/>
                <w:numId w:val="5"/>
              </w:numPr>
              <w:spacing w:after="20" w:before="0"/>
              <w:jc w:val="both"/>
              <w:rPr>
                <w:sz w:val="20"/>
                <w:szCs w:val="20"/>
              </w:rPr>
            </w:pPr>
            <w:r w:rsidRPr="00F521CB">
              <w:rPr>
                <w:color w:val="000000"/>
                <w:sz w:val="20"/>
                <w:szCs w:val="20"/>
              </w:rPr>
              <w:t xml:space="preserve">Hormuz transit and insurance data; the urea benchmark for any sign the food channel re-lights; Section 122 tariff expiry July 24.</w:t>
            </w:r>
          </w:p>
          <w:p w14:paraId="0A852540" w14:textId="77777777" w:rsidR="00104C28" w:rsidRDefault="00104C28" w:rsidP="00502C47">
            <w:pPr>
              <w:spacing w:after="20" w:before="0"/>
              <w:jc w:val="both"/>
            </w:pPr>
          </w:p>
        </w:tc>
      </w:tr>
    </w:tbl>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12"/>
        <w:gridCol w:w="5526"/>
      </w:tblGrid>
      <w:tr w:rsidR="00104C28" w14:paraId="0365D0C0" w14:textId="77777777" w:rsidTr="00502C47">
        <w:trPr>
          <w:trHeight w:val="771"/>
        </w:trPr>
        <w:tc>
          <w:tcPr>
            <w:tcW w:w="11038" w:type="dxa"/>
            <w:gridSpan w:val="2"/>
            <w:shd w:val="clear" w:color="auto" w:fill="7B2952"/>
          </w:tcPr>
          <w:p w14:paraId="32E04899" w14:textId="77777777" w:rsidR="00104C28" w:rsidRDefault="00104C28" w:rsidP="00502C47">
            <w:pPr>
              <w:pageBreakBefore/>
              <w:jc w:val="center"/>
              <w:rPr>
                <w:b/>
                <w:color w:val="FFFFFF" w:themeColor="background1"/>
                <w:sz w:val="32"/>
              </w:rPr>
              <w:spacing w:before="0" w:after="20"/>
            </w:pPr>
            <w:r w:rsidRPr="00280B12">
              <w:rPr>
                <w:b/>
                <w:color w:val="FFFFFF" w:themeColor="background1"/>
                <w:sz w:val="32"/>
              </w:rPr>
              <w:t xml:space="preserve">Theme </w:t>
            </w:r>
            <w:r w:rsidR="00805A18">
              <w:rPr>
                <w:b/>
                <w:color w:val="FFFFFF" w:themeColor="background1"/>
                <w:sz w:val="32"/>
              </w:rPr>
              <w:t>6</w:t>
            </w:r>
            <w:r w:rsidRPr="00280B12">
              <w:rPr>
                <w:b/>
                <w:color w:val="FFFFFF" w:themeColor="background1"/>
                <w:sz w:val="32"/>
              </w:rPr>
              <w:t xml:space="preserve"> </w:t>
            </w:r>
            <w:r>
              <w:rPr>
                <w:b/>
                <w:color w:val="FFFFFF" w:themeColor="background1"/>
                <w:sz w:val="32"/>
              </w:rPr>
              <w:t>– Domestic Investment Pressures</w:t>
            </w:r>
            <w:r w:rsidRPr="00280B12">
              <w:rPr>
                <w:b/>
                <w:color w:val="FFFFFF" w:themeColor="background1"/>
                <w:sz w:val="32"/>
              </w:rPr>
              <w:t xml:space="preserve"> </w:t>
            </w:r>
          </w:p>
          <w:p w14:paraId="614DDEB6" w14:textId="26A738A5" w:rsidR="00104C28" w:rsidRPr="003C74DB" w:rsidRDefault="00104C28" w:rsidP="00502C47">
            <w:pPr>
              <w:jc w:val="center"/>
              <w:rPr>
                <w:color w:val="FFFFFF" w:themeColor="background1"/>
                <w:szCs w:val="22"/>
              </w:rPr>
              <w:spacing w:before="0" w:after="20"/>
            </w:pPr>
            <w:r w:rsidRPr="003C74DB">
              <w:rPr>
                <w:b/>
                <w:color w:val="FFFFFF" w:themeColor="background1"/>
                <w:szCs w:val="22"/>
              </w:rPr>
              <w:t xml:space="preserve">(As of 2026_07_09</w:t>
            </w:r>
            <w:r w:rsidR="00205A60">
              <w:rPr>
                <w:b/>
                <w:color w:val="FFFFFF" w:themeColor="background1"/>
                <w:szCs w:val="22"/>
              </w:rPr>
              <w:t xml:space="preserve"/>
            </w:r>
            <w:r w:rsidRPr="003C74DB">
              <w:rPr>
                <w:b/>
                <w:color w:val="FFFFFF" w:themeColor="background1"/>
                <w:szCs w:val="22"/>
              </w:rPr>
              <w:t>)</w:t>
            </w:r>
          </w:p>
        </w:tc>
      </w:tr>
      <w:tr w:rsidR="00104C28" w14:paraId="69AD9EA8" w14:textId="77777777" w:rsidTr="00502C47">
        <w:trPr>
          <w:trHeight w:val="771"/>
        </w:trPr>
        <w:tc>
          <w:tcPr>
            <w:tcW w:w="11038" w:type="dxa"/>
            <w:gridSpan w:val="2"/>
          </w:tcPr>
          <w:p w14:paraId="7406070D" w14:textId="77777777" w:rsidR="00104C28" w:rsidRDefault="00104C28" w:rsidP="00502C47">
            <w:pPr>
              <w:spacing w:after="20" w:before="0"/>
            </w:pPr>
            <w:r>
              <w:rPr>
                <w:b/>
                <w:color w:val="7B2952"/>
              </w:rPr>
              <w:t>Status:</w:t>
            </w:r>
          </w:p>
          <w:p w14:paraId="26496B7F" w14:textId="44CB5378" w:rsidR="00104C28" w:rsidRPr="00F521CB" w:rsidRDefault="0092571B"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9" name="Status Ball 1821617719"/>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sz w:val="20"/>
                <w:szCs w:val="20"/>
                <w:color w:val="000000"/>
              </w:rPr>
              <w:t xml:space="preserve"> </w:t>
            </w:r>
            <w:r>
              <w:rPr>
                <w:sz w:val="20"/>
                <w:szCs w:val="20"/>
                <w:color w:val="000000"/>
              </w:rPr>
              <w:t xml:space="preserve">Held ▸ Canada's state-directed defence build-out expanded sharply, its largest-ever submarine buy plus a Canada-chaired defence bank and a Canada-Germany partnership, while the pension-steering machinery stayed quiet; the domestic-resilience opportunity set widened structurally, the capital-steering pressure unchanged this week.</w:t>
            </w:r>
          </w:p>
        </w:tc>
      </w:tr>
      <w:tr w:rsidR="00104C28" w14:paraId="305B9804" w14:textId="77777777" w:rsidTr="00502C47">
        <w:trPr>
          <w:trHeight w:val="700" w:hRule="atLeast"/>
        </w:trPr>
        <w:tc>
          <w:tcPr>
            <w:tcW w:w="5519" w:type="dxa"/>
          </w:tcPr>
          <w:p w14:paraId="2946313E" w14:textId="77777777" w:rsidR="00104C28" w:rsidRDefault="00104C28" w:rsidP="008A7B2C">
            <w:pPr>
              <w:spacing w:before="0" w:after="20"/>
              <w:jc w:val="center"/>
            </w:pPr>
            <w:r>
              <w:rPr>
                <w:b/>
                <w:color w:val="7B2952"/>
              </w:rPr>
              <w:t>What changed this week</w:t>
            </w:r>
          </w:p>
          <w:p w14:paraId="04DBD39F" w14:textId="2F38900B" w:rsidR="00104C28" w:rsidRPr="00590348" w:rsidRDefault="00104C28">
            <w:pPr>
              <w:pStyle w:val="ListParagraph"/>
              <w:numPr>
                <w:ilvl w:val="1"/>
                <w:numId w:val="3"/>
              </w:numPr>
              <w:spacing w:after="20" w:before="0"/>
              <w:jc w:val="both"/>
              <w:rPr>
                <w:sz w:val="20"/>
                <w:szCs w:val="20"/>
              </w:rPr>
            </w:pPr>
            <w:r w:rsidRPr="00590348">
              <w:rPr>
                <w:color w:val="000000"/>
                <w:sz w:val="20"/>
                <w:szCs w:val="20"/>
              </w:rPr>
              <w:t xml:space="preserve">Canada made the largest defence procurement in its history, choosing Germany's TKMS for up to twelve submarines (lifecycle estimates as high as roughly $100B in Canadian dollars), with industrial offsets, shipyard jobs, a Port of Churchill redevelopment and an Algoma Steel re-engagement, converting into a Canada-Germany strategic partnership and a Canada-chaired multilateral defence bank.</w:t>
            </w:r>
            <w:proofErr w:type="gramStart"/>
            <w:proofErr w:type="gramEnd"/>
          </w:p>
          <w:p w14:paraId="04DBD39F" w14:textId="2F38900B" w:rsidR="00104C28" w:rsidRPr="00590348" w:rsidRDefault="00104C28">
            <w:pPr>
              <w:pStyle w:val="ListParagraph"/>
              <w:numPr>
                <w:ilvl w:val="1"/>
                <w:numId w:val="3"/>
              </w:numPr>
              <w:spacing w:after="20" w:before="0"/>
              <w:jc w:val="both"/>
              <w:rPr>
                <w:sz w:val="20"/>
                <w:szCs w:val="20"/>
              </w:rPr>
            </w:pPr>
            <w:r w:rsidRPr="00590348">
              <w:rPr>
                <w:color w:val="000000"/>
                <w:sz w:val="20"/>
                <w:szCs w:val="20"/>
              </w:rPr>
              <w:t xml:space="preserve">The pension-specific machinery stayed quiet, no Strong Fund deployment and no 30%-rule move, while the budget officer priced the 5% target at about $159B of core defence by the mid-2030s. The loonie firmed to about 1.417 per US dollar as oil rose, off its one-year low.</w:t>
            </w:r>
            <w:proofErr w:type="gramStart"/>
            <w:proofErr w:type="gramEnd"/>
          </w:p>
          <w:p w14:paraId="60B2D784" w14:textId="77777777" w:rsidR="00104C28" w:rsidRDefault="00104C28" w:rsidP="00502C47">
            <w:pPr>
              <w:spacing w:after="20" w:before="0"/>
              <w:jc w:val="both"/>
            </w:pPr>
          </w:p>
        </w:tc>
        <w:tc>
          <w:tcPr>
            <w:tcW w:w="5519" w:type="dxa"/>
            <w:vMerge w:val="restart"/>
          </w:tcPr>
          <w:p>
            <w:pPr>
              <w:jc w:val="center"/>
              <w:spacing w:before="0" w:after="20"/>
            </w:pPr>
          </w:p>
        </w:tc>
      </w:tr>
      <w:tr w:rsidR="00104C28" w14:paraId="6FED0304" w14:textId="77777777" w:rsidTr="002253CB">
        <w:trPr>
          <w:trHeight w:val="700" w:hRule="atLeast"/>
        </w:trPr>
        <w:tc>
          <w:tcPr>
            <w:tcW w:w="5519" w:type="dxa"/>
          </w:tcPr>
          <w:p w14:paraId="6F677C62" w14:textId="08893A25" w:rsidR="00104C28" w:rsidRDefault="00104C28" w:rsidP="00502C47">
            <w:pPr>
              <w:spacing w:after="20" w:before="0"/>
              <w:jc w:val="both"/>
            </w:pPr>
          </w:p>
        </w:tc>
        <w:tc>
          <w:tcPr>
            <w:tcW w:w="5519" w:type="dxa"/>
            <w:vMerge/>
          </w:tcPr>
          <w:p w14:paraId="701BA745" w14:textId="77777777" w:rsidR="00104C28" w:rsidRDefault="00104C28" w:rsidP="00502C47">
            <w:pPr>
              <w:spacing w:after="20" w:before="0"/>
              <w:jc w:val="both"/>
            </w:pPr>
          </w:p>
        </w:tc>
      </w:tr>
      <w:tr w:rsidR="00104C28" w14:paraId="61727DAC" w14:textId="77777777" w:rsidTr="00502C47">
        <w:trPr>
          <w:trHeight w:val="700" w:hRule="atLeast"/>
        </w:trPr>
        <w:tc>
          <w:tcPr>
            <w:tcW w:w="11038" w:type="dxa"/>
            <w:gridSpan w:val="2"/>
          </w:tcPr>
          <w:p w14:paraId="7299A184" w14:textId="1093935E" w:rsidR="00104C28" w:rsidRPr="00483440" w:rsidRDefault="00104C28" w:rsidP="00502C47">
            <w:pPr>
              <w:jc w:val="center"/>
              <w:rPr>
                <w:b/>
                <w:bCs/>
                <w:color w:val="7B2952"/>
              </w:rPr>
              <w:spacing w:before="0" w:after="20"/>
            </w:pPr>
            <w:r w:rsidRPr="00483440">
              <w:rPr>
                <w:b/>
                <w:bCs/>
                <w:color w:val="7B2952"/>
              </w:rPr>
              <w:t>Key Development of the Week:</w:t>
            </w:r>
          </w:p>
          <w:p>
            <w:pPr>
              <w:spacing w:before="0" w:after="20"/>
              <w:jc w:val="both"/>
            </w:pPr>
            <w:r>
              <w:rPr>
                <w:color w:val="000000"/>
                <w:sz w:val="20"/>
                <w:szCs w:val="20"/>
              </w:rPr>
              <w:t xml:space="preserve">The running topic is whether policy keeps steering capital and industry home, and this week the supply side of that trade moved while the demand side stood still. The submarine award, a Canada-chaired defence-finance bank and a strategic partnership with Germany are the state building the domestic and allied assets that pension capital will later be pushed to fund, even as the pension-steering rules, the Strong Fund and the 30% cap, did not budge. Hanwha's 22% drop on losing the bid and the scramble over Algoma Steel show the industrial stakes are real. The pressure is being built now; the capital follows later. Suggested chart: Canada core defence spending as a share of GDP, actual and the path to the 5% target. (Insert domestic_keydev_chart.)</w:t>
            </w:r>
          </w:p>
          <w:p>
            <w:pPr>
              <w:spacing w:before="0" w:after="20"/>
            </w:pPr>
          </w:p>
          <w:p w14:paraId="1450239A" w14:textId="77777777" w:rsidR="00104C28" w:rsidRDefault="00104C28" w:rsidP="00502C47">
            <w:pPr>
              <w:spacing w:after="20" w:before="0"/>
              <w:jc w:val="both"/>
            </w:pPr>
          </w:p>
        </w:tc>
      </w:tr>
      <w:tr w:rsidR="00104C28" w14:paraId="5E43F337" w14:textId="77777777" w:rsidTr="00502C47">
        <w:trPr>
          <w:trHeight w:val="700" w:hRule="atLeast"/>
        </w:trPr>
        <w:tc>
          <w:tcPr>
            <w:tcW w:w="5519" w:type="dxa"/>
          </w:tcPr>
          <w:p w14:paraId="004C0834" w14:textId="77777777" w:rsidR="00104C28" w:rsidRDefault="00104C28" w:rsidP="00502C47">
            <w:pPr>
              <w:spacing w:before="0" w:after="20"/>
            </w:pPr>
            <w:r>
              <w:rPr>
                <w:b/>
                <w:color w:val="7B2952"/>
              </w:rPr>
              <w:t>Implication for the theme</w:t>
            </w:r>
          </w:p>
          <w:p w14:paraId="7FE368C3" w14:textId="77777777" w:rsidR="00104C28" w:rsidRPr="00F521CB" w:rsidRDefault="00104C28" w:rsidP="00502C47">
            <w:pPr>
              <w:spacing w:after="20" w:before="0"/>
              <w:jc w:val="both"/>
              <w:rPr>
                <w:sz w:val="20"/>
                <w:szCs w:val="20"/>
              </w:rPr>
            </w:pPr>
            <w:r w:rsidRPr="00F521CB">
              <w:rPr>
                <w:color w:val="000000"/>
                <w:sz w:val="20"/>
                <w:szCs w:val="20"/>
              </w:rPr>
              <w:t xml:space="preserve">The structural direction is reinforced: the state is building a domestic and allied industrial base that pension capital will be encouraged to fund, widening the home-bias set in defence and critical minerals. The test remains deployment quality over political direction; the near-term read is neutral for growth and mildly inflationary.</w:t>
            </w:r>
          </w:p>
          <w:p w14:paraId="5236F1AF" w14:textId="77777777" w:rsidR="00104C28" w:rsidRDefault="00104C28" w:rsidP="00502C47">
            <w:pPr>
              <w:spacing w:after="20" w:before="0"/>
              <w:jc w:val="both"/>
            </w:pPr>
          </w:p>
        </w:tc>
        <w:tc>
          <w:tcPr>
            <w:tcW w:w="5519" w:type="dxa"/>
          </w:tcPr>
          <w:p w14:paraId="20E29D91" w14:textId="77777777" w:rsidR="00104C28" w:rsidRDefault="00104C28" w:rsidP="00502C47">
            <w:pPr>
              <w:spacing w:before="0" w:after="20"/>
            </w:pPr>
            <w:r>
              <w:rPr>
                <w:b/>
                <w:color w:val="7B2952"/>
              </w:rPr>
              <w:t>Watch next week</w:t>
            </w:r>
          </w:p>
          <w:p w14:paraId="30C39918" w14:textId="77777777" w:rsidR="00104C28" w:rsidRPr="00F521CB" w:rsidRDefault="00104C28">
            <w:pPr>
              <w:pStyle w:val="ListParagraph"/>
              <w:numPr>
                <w:ilvl w:val="0"/>
                <w:numId w:val="5"/>
              </w:numPr>
              <w:spacing w:after="20" w:before="0"/>
              <w:jc w:val="both"/>
              <w:rPr>
                <w:sz w:val="20"/>
                <w:szCs w:val="20"/>
              </w:rPr>
            </w:pPr>
            <w:r w:rsidRPr="00F521CB">
              <w:rPr>
                <w:color w:val="000000"/>
                <w:sz w:val="20"/>
                <w:szCs w:val="20"/>
              </w:rPr>
              <w:t xml:space="preserve">Bank of Canada decision July 15 and its read on trade versus energy risk; Canada June jobs July 10.</w:t>
            </w:r>
          </w:p>
          <w:p w14:paraId="30C39918" w14:textId="77777777" w:rsidR="00104C28" w:rsidRPr="00F521CB" w:rsidRDefault="00104C28">
            <w:pPr>
              <w:pStyle w:val="ListParagraph"/>
              <w:numPr>
                <w:ilvl w:val="0"/>
                <w:numId w:val="5"/>
              </w:numPr>
              <w:spacing w:after="20" w:before="0"/>
              <w:jc w:val="both"/>
              <w:rPr>
                <w:sz w:val="20"/>
                <w:szCs w:val="20"/>
              </w:rPr>
            </w:pPr>
            <w:r w:rsidRPr="00F521CB">
              <w:rPr>
                <w:color w:val="000000"/>
                <w:sz w:val="20"/>
                <w:szCs w:val="20"/>
              </w:rPr>
              <w:t xml:space="preserve">Canada Strong Fund board and first deployments; any 30%-rule guidance; the budget officer's submarine cost estimate.</w:t>
            </w:r>
          </w:p>
          <w:p w14:paraId="39F745F7" w14:textId="77777777" w:rsidR="00104C28" w:rsidRDefault="00104C28" w:rsidP="00502C47">
            <w:pPr>
              <w:spacing w:after="20" w:before="0"/>
              <w:jc w:val="both"/>
            </w:pPr>
          </w:p>
        </w:tc>
      </w:tr>
    </w:tbl>
    <w:p>
      <w:pPr>
        <w:spacing w:before="0" w:after="0"/>
      </w:pPr>
      <w:r>
        <w:br w:type="page"/>
      </w:r>
    </w:p>
    <w:tbl>
      <w:tblPr>
        <w:tblW w:w="11038" w:type="dxa"/>
        <w:jc w:val="left"/>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500"/>
        <w:gridCol w:w="1120"/>
        <w:gridCol w:w="3170"/>
        <w:gridCol w:w="3170"/>
        <w:gridCol w:w="2078"/>
      </w:tblGrid>
      <w:tr>
        <w:tc>
          <w:tcPr>
            <w:tcW w:w="11038" w:type="dxa"/>
            <w:gridSpan w:val="5"/>
            <w:shd w:val="clear" w:color="auto" w:fill="7B2952"/>
            <w:tcMar>
              <w:top w:w="40" w:type="dxa"/>
              <w:left w:w="90" w:type="dxa"/>
              <w:bottom w:w="40" w:type="dxa"/>
              <w:right w:w="120" w:type="dxa"/>
            </w:tcMar>
            <w:vAlign w:val="center"/>
          </w:tcPr>
          <w:p>
            <w:pPr>
              <w:spacing w:before="20" w:after="20" w:line="240" w:lineRule="auto"/>
              <w:jc w:val="center"/>
            </w:pPr>
            <w:r>
              <w:rPr>
                <w:b/>
                <w:color w:val="FFFFFF"/>
                <w:sz w:val="32"/>
                <w:szCs w:val="32"/>
              </w:rPr>
              <w:t xml:space="preserve">Light Scoring and Developments</w:t>
            </w:r>
          </w:p>
          <w:p>
            <w:pPr>
              <w:spacing w:before="20" w:after="20" w:line="240" w:lineRule="auto"/>
              <w:jc w:val="center"/>
            </w:pPr>
            <w:r>
              <w:rPr>
                <w:b/>
                <w:color w:val="FFFFFF"/>
                <w:sz w:val="20"/>
                <w:szCs w:val="20"/>
              </w:rPr>
              <w:t xml:space="preserve">(As of 2026_07_09)</w:t>
            </w:r>
          </w:p>
        </w:tc>
      </w:tr>
      <w:tr>
        <w:tc>
          <w:tcPr>
            <w:tcW w:w="1500" w:type="dxa"/>
            <w:shd w:val="clear" w:color="auto" w:fill="EFE7EB"/>
            <w:tcMar>
              <w:top w:w="40" w:type="dxa"/>
              <w:left w:w="90" w:type="dxa"/>
              <w:bottom w:w="40" w:type="dxa"/>
              <w:right w:w="120" w:type="dxa"/>
            </w:tcMar>
            <w:vAlign w:val="center"/>
          </w:tcPr>
          <w:p>
            <w:pPr>
              <w:spacing w:before="20" w:after="20" w:line="240" w:lineRule="auto"/>
              <w:jc w:val="left"/>
            </w:pPr>
            <w:r>
              <w:rPr>
                <w:b/>
                <w:color w:val="7B2952"/>
                <w:sz w:val="20"/>
                <w:szCs w:val="20"/>
              </w:rPr>
              <w:t xml:space="preserve">Theme</w:t>
            </w:r>
          </w:p>
        </w:tc>
        <w:tc>
          <w:tcPr>
            <w:tcW w:w="1120" w:type="dxa"/>
            <w:shd w:val="clear" w:color="auto" w:fill="EFE7EB"/>
            <w:tcMar>
              <w:top w:w="40" w:type="dxa"/>
              <w:left w:w="90" w:type="dxa"/>
              <w:bottom w:w="40" w:type="dxa"/>
              <w:right w:w="120" w:type="dxa"/>
            </w:tcMar>
            <w:vAlign w:val="center"/>
          </w:tcPr>
          <w:p>
            <w:pPr>
              <w:spacing w:before="20" w:after="20" w:line="240" w:lineRule="auto"/>
              <w:jc w:val="center"/>
            </w:pPr>
            <w:r>
              <w:rPr>
                <w:b/>
                <w:color w:val="7B2952"/>
                <w:sz w:val="20"/>
                <w:szCs w:val="20"/>
              </w:rPr>
              <w:t xml:space="preserve">Light</w:t>
            </w:r>
          </w:p>
        </w:tc>
        <w:tc>
          <w:tcPr>
            <w:tcW w:w="3170" w:type="dxa"/>
            <w:shd w:val="clear" w:color="auto" w:fill="EAF3E2"/>
            <w:tcMar>
              <w:top w:w="40" w:type="dxa"/>
              <w:left w:w="90" w:type="dxa"/>
              <w:bottom w:w="40" w:type="dxa"/>
              <w:right w:w="120" w:type="dxa"/>
            </w:tcMar>
            <w:vAlign w:val="center"/>
          </w:tcPr>
          <w:p>
            <w:pPr>
              <w:spacing w:before="20" w:after="20" w:line="240" w:lineRule="auto"/>
              <w:jc w:val="left"/>
            </w:pPr>
            <w:r>
              <w:rPr>
                <w:b/>
                <w:color w:val="4A7A30"/>
                <w:sz w:val="20"/>
                <w:szCs w:val="20"/>
              </w:rPr>
              <w:t xml:space="preserve">Supports (more of the theme)</w:t>
            </w:r>
          </w:p>
        </w:tc>
        <w:tc>
          <w:tcPr>
            <w:tcW w:w="3170" w:type="dxa"/>
            <w:shd w:val="clear" w:color="auto" w:fill="F6E4E4"/>
            <w:tcMar>
              <w:top w:w="40" w:type="dxa"/>
              <w:left w:w="90" w:type="dxa"/>
              <w:bottom w:w="40" w:type="dxa"/>
              <w:right w:w="120" w:type="dxa"/>
            </w:tcMar>
            <w:vAlign w:val="center"/>
          </w:tcPr>
          <w:p>
            <w:pPr>
              <w:spacing w:before="20" w:after="20" w:line="240" w:lineRule="auto"/>
              <w:jc w:val="left"/>
            </w:pPr>
            <w:r>
              <w:rPr>
                <w:b/>
                <w:color w:val="9A2B2B"/>
                <w:sz w:val="20"/>
                <w:szCs w:val="20"/>
              </w:rPr>
              <w:t xml:space="preserve">Against (less of the theme)</w:t>
            </w:r>
          </w:p>
        </w:tc>
        <w:tc>
          <w:tcPr>
            <w:tcW w:w="2078" w:type="dxa"/>
            <w:shd w:val="clear" w:color="auto" w:fill="EFE7EB"/>
            <w:tcMar>
              <w:top w:w="40" w:type="dxa"/>
              <w:left w:w="90" w:type="dxa"/>
              <w:bottom w:w="40" w:type="dxa"/>
              <w:right w:w="120" w:type="dxa"/>
            </w:tcMar>
            <w:vAlign w:val="center"/>
          </w:tcPr>
          <w:p>
            <w:pPr>
              <w:spacing w:before="20" w:after="20" w:line="240" w:lineRule="auto"/>
              <w:jc w:val="left"/>
            </w:pPr>
            <w:r>
              <w:rPr>
                <w:b/>
                <w:color w:val="7B2952"/>
                <w:sz w:val="20"/>
                <w:szCs w:val="20"/>
              </w:rPr>
              <w:t xml:space="preserve">Net read</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1 Fiscal &amp; Deregulation</w:t>
            </w:r>
          </w:p>
        </w:tc>
        <w:tc>
          <w:tcPr>
            <w:tcW w:w="1120" w:type="dxa"/>
            <w:shd w:val="clear" w:color="auto" w:fill="92D05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Escalating</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&gt;$50B NATO procurement + €70B Ukraine, signed (high +3); Germany &gt;€200B by 2030 (+2); Canada subs (+2).</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Defence equities soft: Rheinmetall -4%, KNDS IPO pulled (med -2).</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Above +3 with high-materiality support; yields and fiscal flow confirm, so equity softness is a divergence, not a veto.</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2 Currency Debasement</w:t>
            </w:r>
          </w:p>
        </w:tc>
        <w:tc>
          <w:tcPr>
            <w:tcW w:w="1120" w:type="dxa"/>
            <w:shd w:val="clear" w:color="auto" w:fill="FFC00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Held</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China's 20th month of gold buying (+2); OMFIF: more managers cut than raise USD (+1).</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Gold to a one-week low despite the war (high -3); dollar to a two-week high (-2); weakest H1 gold-ETF flows since 2013 (-2).</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Tape moved against the theme, so the tape veto caps it at Held (down from Escalating); both sides named.</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3 Energy &amp; Transition</w:t>
            </w:r>
          </w:p>
        </w:tc>
        <w:tc>
          <w:tcPr>
            <w:tcW w:w="1120" w:type="dxa"/>
            <w:shd w:val="clear" w:color="auto" w:fill="FFC00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Held</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Data-centre power deals kept landing: TeraWulf $19B, SunZia online (+2).</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Grid strain eased on weather, not structure (0); EIA cut summer power prices (0).</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Oil is scored under Theme 5. No high-materiality transition mover; net mildly positive but quiet, so Held.</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4 Artificial Intelligence</w:t>
            </w:r>
          </w:p>
        </w:tc>
        <w:tc>
          <w:tcPr>
            <w:tcW w:w="1120" w:type="dxa"/>
            <w:shd w:val="clear" w:color="auto" w:fill="FFC00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Held</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SK Hynix listing 7x oversubscribed (high +3); Apple-Broadcom $30B, Friday rebound (+2).</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Samsung -13% on a record quarter, circuit breakers (-2); Amazon bond weakest since October (high -3); Allianz capex slowdown (-1).</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High-materiality on both sides (equity vs debt demand) triggers the contradiction rule; Held, ending on the rebound.</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5 Geopolitics &amp; Trade</w:t>
            </w:r>
          </w:p>
        </w:tc>
        <w:tc>
          <w:tcPr>
            <w:tcW w:w="1120" w:type="dxa"/>
            <w:shd w:val="clear" w:color="auto" w:fill="92D05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Escalating</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US-Iran ceasefire collapse, US strikes, three Gulf states hit (high +3); Russia-Ukraine escalation (high +3); oil premium rebuilt $72-&gt;$78 (high +3).</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None material; supply flows, fertilizer not re-lit (0).</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Far above threshold, tape (oil, gas) confirms; both war legs by name. Escalating, up from Held.</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6 Domestic Investing</w:t>
            </w:r>
          </w:p>
        </w:tc>
        <w:tc>
          <w:tcPr>
            <w:tcW w:w="1120" w:type="dxa"/>
            <w:shd w:val="clear" w:color="auto" w:fill="FFC00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Held</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Largest-ever submarine buy (+2); Canada-chaired DSRB bank and Canada-Germany partnership (+2).</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Pension-steering core quiet: no CSF deployment, no 30%-rule move (0).</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Industrial leg escalated but pension-capital-steering core did not; Eduardo-confirmed Held, not double-counting Theme 1.</w:t>
            </w:r>
          </w:p>
        </w:tc>
      </w:tr>
    </w:tbl>
    <w:p>
      <w:pPr>
        <w:spacing w:before="0" w:after="0"/>
      </w:pPr>
      <w:r>
        <w:br w:type="page"/>
      </w:r>
    </w:p>
    <w:tbl>
      <w:tblPr>
        <w:tblW w:w="11038" w:type="dxa"/>
        <w:jc w:val="left"/>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1038"/>
      </w:tblGrid>
      <w:tr>
        <w:tc>
          <w:tcPr>
            <w:tcW w:w="11038" w:type="dxa"/>
            <w:gridSpan w:val="1"/>
            <w:shd w:val="clear" w:color="auto" w:fill="7B2952"/>
            <w:tcMar>
              <w:top w:w="40" w:type="dxa"/>
              <w:left w:w="90" w:type="dxa"/>
              <w:bottom w:w="40" w:type="dxa"/>
              <w:right w:w="120" w:type="dxa"/>
            </w:tcMar>
            <w:vAlign w:val="center"/>
          </w:tcPr>
          <w:p>
            <w:pPr>
              <w:spacing w:before="20" w:after="20" w:line="240" w:lineRule="auto"/>
              <w:jc w:val="center"/>
            </w:pPr>
            <w:r>
              <w:rPr>
                <w:b/>
                <w:color w:val="FFFFFF"/>
                <w:sz w:val="32"/>
                <w:szCs w:val="32"/>
              </w:rPr>
              <w:t xml:space="preserve">Theme Light History</w:t>
            </w:r>
          </w:p>
          <w:p>
            <w:pPr>
              <w:spacing w:before="20" w:after="20" w:line="240" w:lineRule="auto"/>
              <w:jc w:val="center"/>
            </w:pPr>
            <w:r>
              <w:rPr>
                <w:b/>
                <w:color w:val="FFFFFF"/>
                <w:sz w:val="20"/>
                <w:szCs w:val="20"/>
              </w:rPr>
              <w:t xml:space="preserve">(As of 2026_07_09)</w:t>
            </w:r>
          </w:p>
        </w:tc>
      </w:tr>
      <w:tr>
        <w:tc>
          <w:tcPr>
            <w:tcW w:w="11038" w:type="dxa"/>
            <w:tcMar>
              <w:top w:w="80" w:type="dxa"/>
              <w:bottom w:w="80" w:type="dxa"/>
            </w:tcMar>
          </w:tcPr>
          <w:p xmlns:a="http://schemas.openxmlformats.org/drawingml/2006/main" xmlns:pic="http://schemas.openxmlformats.org/drawingml/2006/picture">
            <w:pPr>
              <w:spacing w:before="40" w:after="40"/>
              <w:jc w:val="center"/>
            </w:pPr>
            <w:r>
              <w:drawing>
                <wp:inline distT="0" distB="0" distL="0" distR="0">
                  <wp:extent cx="5850000" cy="3070969"/>
                  <wp:docPr id="1821617720" name="keydev_chart_1821617720"/>
                  <a:graphic>
                    <a:graphicData uri="http://schemas.openxmlformats.org/drawingml/2006/picture">
                      <pic:pic>
                        <pic:nvPicPr>
                          <pic:cNvPr id="1821617720" name="keydev_chart_1821617720"/>
                          <pic:cNvPicPr/>
                        </pic:nvPicPr>
                        <pic:blipFill>
                          <a:blip r:embed="rId40"/>
                          <a:stretch>
                            <a:fillRect/>
                          </a:stretch>
                        </pic:blipFill>
                        <pic:spPr>
                          <a:xfrm>
                            <a:off x="0" y="0"/>
                            <a:ext cx="5850000" cy="3070969"/>
                          </a:xfrm>
                          <a:prstGeom prst="rect">
                            <a:avLst/>
                          </a:prstGeom>
                        </pic:spPr>
                      </pic:pic>
                    </a:graphicData>
                  </a:graphic>
                </wp:inline>
              </w:drawing>
            </w:r>
          </w:p>
          <w:p>
            <w:pPr>
              <w:spacing w:before="20" w:after="40"/>
              <w:jc w:val="both"/>
            </w:pPr>
            <w:r>
              <w:rPr>
                <w:i/>
                <w:color w:val="7F7F7F"/>
                <w:sz w:val="14"/>
                <w:szCs w:val="14"/>
              </w:rPr>
              <w:t xml:space="preserve">Each cell is that week's light: green Escalating (more of the theme), amber Held (mixed or null), red Deescalating (less). 3-light system since 2 July 2026.</w:t>
            </w:r>
          </w:p>
        </w:tc>
      </w:tr>
    </w:tbl>
    <w:p w14:paraId="0E484CBB" w14:textId="77777777" w:rsidR="00702B98" w:rsidRPr="00DD76C1" w:rsidRDefault="00702B98" w:rsidP="00702B98">
      <w:pPr>
        <w:spacing w:line="240" w:lineRule="auto"/>
        <w:rPr>
          <w:color w:val="7B2952"/>
        </w:rPr>
      </w:pPr>
      <w:r w:rsidRPr="00DD76C1">
        <w:rPr>
          <w:b/>
          <w:color w:val="7B2952"/>
          <w:sz w:val="32"/>
        </w:rPr>
        <w:t>Lights Guide Appendix</w:t>
      </w:r>
    </w:p>
    <w:p w14:paraId="06B4611A" w14:textId="77777777" w:rsidR="00702B98" w:rsidRDefault="00702B98" w:rsidP="00702B98">
      <w:pPr>
        <w:spacing w:after="120" w:line="240" w:lineRule="auto"/>
        <w:jc w:val="both"/>
      </w:pPr>
      <w:r>
        <w:rPr>
          <w:color w:val="000000"/>
        </w:rPr>
        <w:t>Each theme carries a coloured light showing the direction of the theme this week, not whether it is good or bad for the portfolio.</w:t>
      </w:r>
    </w:p>
    <w:p w14:paraId="50FDDAA4" w14:textId="77777777" w:rsidR="00702B98" w:rsidRDefault="00702B98" w:rsidP="00702B98">
      <w:pPr>
        <w:spacing w:after="120" w:line="240" w:lineRule="auto"/>
        <w:jc w:val="both"/>
      </w:pPr>
      <w:r>
        <w:rPr>
          <w:color w:val="000000"/>
        </w:rPr>
        <w:t>Green (Escalating) means more of the theme: the trend is reinforcing and the signals are getting stronger. Amber (Held) means mixed or null developments, no material change. Red (Deescalating) means less of the theme: the outlook is fading.</w:t>
      </w:r>
    </w:p>
    <w:p w14:paraId="35B9A842" w14:textId="77777777" w:rsidR="00702B98" w:rsidRDefault="00702B98" w:rsidP="00702B98">
      <w:pPr>
        <w:spacing w:after="120" w:line="240" w:lineRule="auto"/>
        <w:jc w:val="both"/>
      </w:pPr>
      <w:r>
        <w:rPr>
          <w:color w:val="000000"/>
        </w:rPr>
        <w:t xml:space="preserve">What more and less mean is </w:t>
      </w:r>
      <w:proofErr w:type="gramStart"/>
      <w:r>
        <w:rPr>
          <w:color w:val="000000"/>
        </w:rPr>
        <w:t>theme-specific</w:t>
      </w:r>
      <w:proofErr w:type="gramEnd"/>
      <w:r>
        <w:rPr>
          <w:color w:val="000000"/>
        </w:rPr>
        <w:t>. Fiscal: more spending and deregulation. Currency Debasement: weaker dollar confidence. Energy: more transition and electrification. AI: more buildout. Geopolitics and Trade: more conflict and worse trade. Domestic: more domestic or protectionist policy.</w:t>
      </w:r>
    </w:p>
    <w:p w14:paraId="2E78CE49" w14:textId="77777777" w:rsidR="00702B98" w:rsidRDefault="00702B98" w:rsidP="00702B98">
      <w:pPr>
        <w:spacing w:after="120" w:line="240" w:lineRule="auto"/>
        <w:jc w:val="both"/>
      </w:pPr>
      <w:r>
        <w:rPr>
          <w:color w:val="000000"/>
        </w:rPr>
        <w:t>The Status Dashboard light is the theme-level read. The Key Risks register tracks each named risk separately.</w:t>
      </w:r>
    </w:p>
    <w:p w14:paraId="6B8E85FB" w14:textId="77777777" w:rsidR="00702B98" w:rsidRPr="00DD76C1" w:rsidRDefault="00702B98" w:rsidP="00702B98">
      <w:pPr>
        <w:spacing w:line="240" w:lineRule="auto"/>
        <w:rPr>
          <w:color w:val="7B2952"/>
        </w:rPr>
      </w:pPr>
      <w:r w:rsidRPr="00DD76C1">
        <w:rPr>
          <w:b/>
          <w:color w:val="7B2952"/>
          <w:sz w:val="32"/>
        </w:rPr>
        <w:t>References</w:t>
      </w:r>
    </w:p>
    <w:p w14:paraId="55B6E89E" w14:textId="77777777" w:rsidR="00702B98" w:rsidRDefault="00702B98" w:rsidP="00702B98">
      <w:pPr>
        <w:spacing w:after="120" w:line="240" w:lineRule="auto"/>
        <w:jc w:val="both"/>
      </w:pPr>
      <w:r>
        <w:rPr>
          <w:color w:val="000000"/>
        </w:rPr>
        <w:t xml:space="preserve">Only sources cited this week, deduplicated, grouped by section. Each item states its tier. Retrieved 9 July 2026.</w:t>
      </w:r>
    </w:p>
    <w:p w14:paraId="5023F606" w14:textId="77777777" w:rsidR="00702B98" w:rsidRDefault="00702B98">
      <w:pPr>
        <w:pStyle w:val="ListParagraph"/>
        <w:spacing w:after="80" w:line="240" w:lineRule="auto"/>
        <w:jc w:val="both"/>
      </w:pPr>
      <w:r w:rsidRPr="00D91219">
        <w:rPr>
          <w:color w:val="000000"/>
          <w:b/>
        </w:rPr>
        <w:t xml:space="preserve">Executive Summary — Weekly Direction &amp; Key Developments</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Central Command. US forces complete new round of retaliatory strikes against Iran (80+ targets, two nights). 8 July 2026. https://www.centcom.mil/MEDIA/PUBLIC-RELEASES/Article/4535772/.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Federal Reserve. Minutes of the Federal Open Market Committee, June 16-17 2026 (9-8-1 projections; 'will deliver price stability'; May PCE 4.1%/3.4%). 8 July 2026. https://www.federalreserve.gov/monetarypolicy/fomcminutes20260617.htm.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NATO. The Ankara Summit Declaration (&gt;$50B procurement; €70B Ukraine; Article 5; Russia named a long-term threat). 8 July 2026. https://www.nato.int/en/about-us/official-texts-and-resources/official-texts/2026/07/08/the-ankara-summit-declaration.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Oil prices: Brent, WTI rise as US targets Iran (Brent to ~$78; WTI ~$73.5). 8 July 2026. https://www.cnbc.com/2026/07/08/oil-prices-brent-wti-iran-us-hormuz.html.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Fortune. Kevin Warsh buried an unhedged promise in his first Fed minutes. 8 July 2026. https://fortune.com/2026/07/08/laura-ullrich-fed-reserve-kevin-warsh-minutes-fomc/.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FRED. 10-year breakeven inflation rate 2.24% (6 July 2026); 2-year 4.21%, 10-year ~4.57% (8-9 July 2026). https://fred.stlouisfed.org/series/T10YIE. Retrieved 9 July 2026.</w:t>
      </w:r>
    </w:p>
    <w:p w14:paraId="5023F606" w14:textId="77777777" w:rsidR="00702B98" w:rsidRDefault="00702B98">
      <w:pPr>
        <w:pStyle w:val="ListParagraph"/>
        <w:spacing w:after="80" w:line="240" w:lineRule="auto"/>
        <w:jc w:val="both"/>
      </w:pPr>
      <w:r w:rsidRPr="00D91219">
        <w:rPr>
          <w:color w:val="000000"/>
          <w:b/>
        </w:rPr>
        <w:t xml:space="preserve">Theme 1 — Fiscal Expansion &amp; Deregulation</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NATO. The Ankara Summit Declaration (&gt;$50B procurement; €70B 2026 Ukraine aid; €27B fuel-storage). 8 July 2026. https://www.nato.int/en/about-us/official-texts-and-resources/official-texts/2026/07/08/the-ankara-summit-declaration.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NATO. Tens of billions in new procurements revealed at the Summit Defence Industry Forum ($40B counter-drone/5yr; &gt;$26B air-missile defence; GlobalEye; Triton). 7 July 2026. https://nato.int/en/news-and-events/articles/news/2026/07/07/tens-of-billions-in-new-procurements-revealed-at-the-nato-summit-defence-industry-forum-in-ankara.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Reuters via Yahoo Finance. German cabinet approves 2027 budget (core defence ~€109B, +33%; path above €200B by 2030; borrowing ~€204B). 6 July 2026. https://finance.yahoo.com/economy/policy/articles/german-cabinet-approves-2027-draft-154406315.html.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Trump orders Bessent to cut off all trade with Spain over the NATO 5% target. 8 July 2026. https://www.cnbc.com/2026/07/08/trump-spain-nato-trade-summit.html.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Investing.com / Euronext Live. Spain's IBEX 35 falls ~2% (worst since early May); ten-year Bono yields +9bp. 8 July 2026. https://www.investing.com/news/economy-news/spains-ibex-35-tumbles-after-trump-orders-halt-to-trade-with-spain-4780889.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RTTNews / Reuters. US Treasury 3-year and 10-year auctions stop through; 10-year high yield 4.580% (largest stop-through since September). 7-8 July 2026. https://www.rttnews.com/3665210/three-year-note-auction-attracts-modestly-below-average-demand.aspx. Retrieved 9 July 2026.</w:t>
      </w:r>
    </w:p>
    <w:p w14:paraId="5023F606" w14:textId="77777777" w:rsidR="00702B98" w:rsidRDefault="00702B98">
      <w:pPr>
        <w:pStyle w:val="ListParagraph"/>
        <w:spacing w:after="80" w:line="240" w:lineRule="auto"/>
        <w:jc w:val="both"/>
      </w:pPr>
      <w:r w:rsidRPr="00D91219">
        <w:rPr>
          <w:color w:val="000000"/>
          <w:b/>
        </w:rPr>
        <w:t xml:space="preserve">Monetary Policy Tracker</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Federal Reserve. Minutes of the FOMC, June 16-17 2026 (unanimous hold 3.50-3.75%; 9-8-1 projections; 132-word statement). 8 July 2026. https://www.federalreserve.gov/monetarypolicy/fomcminutes20260617.htm.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Fed minutes June 2026: officials split on rates. 8 July 2026. https://www.cnbc.com/2026/07/08/fed-minutes-june-2026-.html.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Department of Labor. Unemployment Insurance Weekly Claims, week ended July 4 (215,000, -2,000; continuing 1.814M). 9 July 2026. https://www.dol.gov/ui/data.pdf.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Institute for Supply Management. Services PMI, June 2026 (54.0; 24th month of expansion). https://www.ismworld.org/supply-management-news-and-reports/reports/ism-pmi-reports/services/june/.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Japan Times / Bloomberg. Japan bank lending rises 6.3% in June, fastest since 2020. 8 July 2026. https://www.japantimes.co.jp/business/2026/07/08/economy/japan-bank-lending-rise/.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Reuters / RNZ. RBNZ raises the Official Cash Rate 25bp to 2.50%, first hike since 2023. 8 July 2026.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FRED. 2-year (4.21%) and 10-year (~4.57%) US Treasury yields; 30-year above 5%, 8-9 July 2026. https://fred.stlouisfed.org/. Retrieved 9 July 2026.</w:t>
      </w:r>
    </w:p>
    <w:p w14:paraId="5023F606" w14:textId="77777777" w:rsidR="00702B98" w:rsidRDefault="00702B98">
      <w:pPr>
        <w:pStyle w:val="ListParagraph"/>
        <w:spacing w:after="80" w:line="240" w:lineRule="auto"/>
        <w:jc w:val="both"/>
      </w:pPr>
      <w:r w:rsidRPr="00D91219">
        <w:rPr>
          <w:color w:val="000000"/>
          <w:b/>
        </w:rPr>
        <w:t xml:space="preserve">Theme 2 — Currency Debasement</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Reuters via Yahoo Finance. Gold falls to a one-week low (~$4,069) on hawkish Fed minutes and a firmer dollar. 9 July 2026. https://finance.yahoo.com/markets/commodities/articles/gold-prices-weaken-investors-await-102323496.html.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World Gold Council. Gold ETF flows, H1 2026 (weakest H1 for North America since 2013; June -$5.5B North America; AUM $526B). 8 July 2026. https://www.gold.org/goldhub/gold-focus/2026/07/.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Reuters via BNN Bloomberg. Bank of America cuts its 2026 average gold forecast 14% to $4,360. 8 July 2026.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1/2) PBoC/SAFE via South China Morning Post. China adds ~14.93 tonnes of gold in June, a 20th straight month (2,346t). 7 July 2026. https://www.scmp.com/business/commodities/article/3359742/.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 Reuters. Dollar index near a two-week high (~101) after US resumes strikes; USD/JPY ~162.5, near a 40-year low. 8-9 July 2026. https://www.cnbc.com/2026/07/08/dollar-at-week-high-after-us-resumes-attacks-on-iran.html.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OMFIF. Global Public Investor 2026 (more reserve managers plan to cut than raise dollar allocations; 82% hold physical gold). ~30 June 2026.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FRED / US Treasury. 10-year breakeven ~2.24% and 10-year TIPS real yield restrictive; TIC April 2026 (China $651.1B). https://fred.stlouisfed.org/series/T10YIE. Retrieved 9 July 2026.</w:t>
      </w:r>
    </w:p>
    <w:p w14:paraId="5023F606" w14:textId="77777777" w:rsidR="00702B98" w:rsidRDefault="00702B98">
      <w:pPr>
        <w:pStyle w:val="ListParagraph"/>
        <w:spacing w:after="80" w:line="240" w:lineRule="auto"/>
        <w:jc w:val="both"/>
      </w:pPr>
      <w:r w:rsidRPr="00D91219">
        <w:rPr>
          <w:color w:val="000000"/>
          <w:b/>
        </w:rPr>
        <w:t xml:space="preserve">Theme 3 — Energy &amp; the Clean Transition</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Department of Energy / CESER. Section 202(c) PJM emergency order (202-26-33A) lapsed 7 July 2026 without renewal. https://www.energy.gov/ceser/2026-doe-202c-orders.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GridStatus.io / PJM. PJM load ~108,058 MW and price ~$29.65/MWh on 8 July 2026 (from spikes above $2,000/MWh at the peak).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Energy Information Administration. Short-Term Energy Outlook, July 2026 (summer wholesale power ~$45/MWh; Brent forecast cut on an assumed Hormuz reopening). 7 July 2026. https://www.eia.gov/outlooks/steo/.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 TeraWulf. Anthropic 20-year, ~401 MW, ~$19B data-centre lease; KBW flags unfinalized credit support. 6-7 July 2026. https://www.cnbc.com/2026/07/06/anthropic-terawulf-data-center-ai.html.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Pattern Energy. SunZia (~3,650 MW wind plus HVDC) reaches full commercial operation. July 2026. https://patternenergy.com/sunzia-comes-online/.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Trading Economics. Copper ~$6.10/lb (~$13,455/t), firmer 9 July 2026 on AI-demand optimism. https://tradingeconomics.com/commodity/copper. Retrieved 9 July 2026.</w:t>
      </w:r>
    </w:p>
    <w:p w14:paraId="5023F606" w14:textId="77777777" w:rsidR="00702B98" w:rsidRDefault="00702B98">
      <w:pPr>
        <w:pStyle w:val="ListParagraph"/>
        <w:spacing w:after="80" w:line="240" w:lineRule="auto"/>
        <w:jc w:val="both"/>
      </w:pPr>
      <w:r w:rsidRPr="00D91219">
        <w:rPr>
          <w:color w:val="000000"/>
          <w:b/>
        </w:rPr>
        <w:t xml:space="preserve">Theme 4 — Artificial Intelligence</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 Korea Herald. Samsung preliminary Q2 operating profit ₩89.4T (+19x y/y); shares fall ~13% over two sessions; Kospi circuit breakers. 7-8 July 2026. https://www.cnbc.com/2026/07/07/samsung-electronics-preliminary-second-quarter-profit-hits-fresh-high.html.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1/2) CNBC / company filing. Apple-Broadcom expanded custom-chip agreement worth $30B+ through 2031. 8 July 2026.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Reuters via Yahoo Finance. SK Hynix Nasdaq ADR bookbuild more than 7x oversubscribed (~$171B orders; ~$28B deal; debut July 10). 9 July 2026. https://finance.yahoo.com/markets/stocks/articles/sk-hynix-nasdaq-adr-offering-115717222.html.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Fortune / CNBC. Amazon's $25B eight-tranche AI bond: ~2.5x covered (from 3.2x in March), weakest hyperscaler demand since Meta's October 2025 sale; 18-21bp concession. 7-8 July 2026. https://fortune.com/2026/07/08/amazons-25-billion-surprise-bond-sale-dangled-extra-yield-to-lure-in-buyers/.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Bloomberg. Six largest tech firms ~$182B USD IG issuance YTD 2026 versus &lt;$13B a year earlier; Morgan Stanley ~$570B AI-related 2026 forecast. 8 July 2026. https://www.bloomberg.com/news/articles/2026-07-07/traders-are-dumping-tech-bonds-to-make-room-for-amazon-debt-deal.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Allianz Research. Hyperscaler capex growth projected ~51% (2026) to ~13% (2027) to ~5% (2028). 8 July 2026.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Reuters via Bloomberg. DeepSeek developing its own in-house AI inference chip. 7 July 2026. https://www.bloomberg.com/news/articles/2026-07-07/chinese-ai-startup-deepseek-developing-own-ai-chip-reuters-says. Retrieved 9 July 2026.</w:t>
      </w:r>
    </w:p>
    <w:p w14:paraId="5023F606" w14:textId="77777777" w:rsidR="00702B98" w:rsidRDefault="00702B98">
      <w:pPr>
        <w:pStyle w:val="ListParagraph"/>
        <w:spacing w:after="80" w:line="240" w:lineRule="auto"/>
        <w:jc w:val="both"/>
      </w:pPr>
      <w:r w:rsidRPr="00D91219">
        <w:rPr>
          <w:color w:val="000000"/>
          <w:b/>
        </w:rPr>
        <w:t xml:space="preserve">Theme 5 — Geopolitics &amp; Trade</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Central Command. Retaliatory strikes on 80+ Iranian targets over two nights. 7-8 July 2026. https://www.centcom.mil/MEDIA/PUBLIC-RELEASES/Article/4535772/.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Treasury. Revocation of Iran's oil-sale waiver (General License X to X1; wind-down to 17 July). 7 July 2026. https://home.treasury.gov/.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Al Jazeera. Oil surges as US strikes Iran, reversing the slide to pre-war levels. 8 July 2026. https://www.aljazeera.com/news/2026/7/8/oil-prices-surge-as-us-strikes-iran-reversing-fall-to-pre-war-levels.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Bloomberg. Hormuz traffic grinds to a near-halt (~34 transits versus ~88 baseline; war-risk insurance ~8x). 9 July 2026. https://www.bloomberg.com/news/articles/2026-07-09/hormuz-traffic-grinds-to-a-near-halt-as-ceasefire-under-threat.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Ukrainska Pravda. Russia attacks Ukraine with two missiles and ~94 drones; Kyiv struck a second straight night. 9 July 2026. https://www.pravda.com.ua/eng/news/2026/07/09/8043173/.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Kyiv Independent / Moscow Times. Ukraine strikes the Omsk (~460 kb/d) and Yaroslavl refineries, among the deepest of the war. 6-9 July 2026. https://kyivindependent.com/ukraine-reportedly-strikes-russian-oil-refinery-in-yaroslavl/.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CBC / USTR. CUSMA annual-review status; Section 122 surcharge expiry 24 July; USITC forced-labour tariff hearing touching Canada. 7-9 July 2026. https://www.cbc.ca/news/politics/cusma-usmca-july-1-canada-us-mexico-trade-trump-tariffs-9.7253789.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Trading Economics / DTN. Urea benchmark flat ~$377/MT (predates the oil spike); China Jun-Aug export quotas open. 7 July 2026. https://tradingeconomics.com/commodity/urea. Retrieved 9 July 2026.</w:t>
      </w:r>
    </w:p>
    <w:p w14:paraId="5023F606" w14:textId="77777777" w:rsidR="00702B98" w:rsidRDefault="00702B98">
      <w:pPr>
        <w:pStyle w:val="ListParagraph"/>
        <w:spacing w:after="80" w:line="240" w:lineRule="auto"/>
        <w:jc w:val="both"/>
      </w:pPr>
      <w:r w:rsidRPr="00D91219">
        <w:rPr>
          <w:color w:val="000000"/>
          <w:b/>
        </w:rPr>
        <w:t xml:space="preserve">Theme 6 — Domestic Investing Pressures</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Prime Minister of Canada. Carney announces TKMS as preferred supplier for the Canadian Patrol Submarine Project (up to 12 boats). 6 July 2026. https://www.pm.gc.ca/en/news/news-releases/2026/07/06/prime-minister-carney-announces-preferred-supplier-canadian-patrol.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Prime Minister of Canada. Canada-Germany Strategic Partnership; Defence, Security and Resilience Bank; Kongsberg and Telesat agreements; Canada-Türkiye FTA talks. 8 July 2026. https://www.pm.gc.ca/en/news.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CBC / The Globe and Mail. Canada picks Germany's TKMS, the largest defence procurement in its history; Hanwha retained as reserve. 6-8 July 2026. https://www.cbc.ca/news/politics/carney-subs-deal-germany-norway-tkms-hanwha-9.7260562.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Parliamentary Budget Officer. NATO 5% target requires ~$159B of core defence spending by FY2035-36; +$63B to the deficit (restated). July 2026.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Bank of Canada. Q2 Business Outlook Survey and Survey of Consumer Expectations (inflation expectations at a four-year high; fielded May, before oil normalization). 6 July 2026. https://www.bankofcanada.ca/2026/07/business-outlook-survey-second-quarter-of-2026/. Retrieved 9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FXStreet / Trading Economics / Ivey. USD/CAD ~1.417 firming as oil rises; Ivey PMI 56.2 (from 58.2). 7-9 July 2026. https://tradingeconomics.com/canada/currency. Retrieved 9 July 2026.</w:t>
      </w:r>
    </w:p>
    <w:p w14:paraId="7B3B618E" w14:textId="77777777" w:rsidR="00702B98" w:rsidRDefault="00702B98" w:rsidP="00E73FFC">
      <w:pPr>
        <w:spacing w:after="80" w:line="240" w:lineRule="auto"/>
        <w:jc w:val="both"/>
      </w:pPr>
    </w:p>
    <w:sectPr w:rsidR="00702B98" w:rsidSect="00E72E8A">
      <w:headerReference w:type="even" r:id="rId29"/>
      <w:headerReference w:type="default" r:id="rId30"/>
      <w:footerReference w:type="even" r:id="rId31"/>
      <w:footerReference w:type="default" r:id="rId32"/>
      <w:headerReference w:type="first" r:id="rId33"/>
      <w:footerReference w:type="first" r:id="rId34"/>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F2270" w14:textId="77777777" w:rsidR="007B53F5" w:rsidRDefault="007B53F5">
      <w:pPr>
        <w:spacing w:after="0" w:line="240" w:lineRule="auto"/>
      </w:pPr>
      <w:r>
        <w:separator/>
      </w:r>
    </w:p>
  </w:endnote>
  <w:endnote w:type="continuationSeparator" w:id="0">
    <w:p w14:paraId="4D46DD4D" w14:textId="77777777" w:rsidR="007B53F5" w:rsidRDefault="007B53F5">
      <w:pPr>
        <w:spacing w:after="0" w:line="240" w:lineRule="auto"/>
      </w:pPr>
      <w:r>
        <w:continuationSeparator/>
      </w:r>
    </w:p>
  </w:endnote>
  <w:endnote w:type="continuationNotice" w:id="1">
    <w:p w14:paraId="711F2966" w14:textId="77777777" w:rsidR="007B53F5" w:rsidRDefault="007B53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6750"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2AA0EFF1" wp14:editId="7B21C644">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5E2BFFD0"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A0EFF1" id="_x0000_t202" coordsize="21600,21600" o:spt="202" path="m,l,21600r21600,l21600,xe">
              <v:stroke joinstyle="miter"/>
              <v:path gradientshapeok="t" o:connecttype="rect"/>
            </v:shapetype>
            <v:shape id="Text Box 6" o:spid="_x0000_s1028"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textbox style="mso-fit-shape-to-text:t" inset="0,0,0,15pt">
                <w:txbxContent>
                  <w:p w14:paraId="5E2BFFD0"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66E7"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59C0171D" wp14:editId="3943897B">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33B6DA46"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C0171D" id="_x0000_t202" coordsize="21600,21600" o:spt="202" path="m,l,21600r21600,l21600,xe">
              <v:stroke joinstyle="miter"/>
              <v:path gradientshapeok="t" o:connecttype="rect"/>
            </v:shapetype>
            <v:shape id="Text Box 7" o:spid="_x0000_s1029"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textbox style="mso-fit-shape-to-text:t" inset="0,0,0,15pt">
                <w:txbxContent>
                  <w:p w14:paraId="33B6DA46"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End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12C57E31"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97E4"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6EFDF445" wp14:editId="1F90EAF0">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2994670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FDF445" id="_x0000_t202" coordsize="21600,21600" o:spt="202" path="m,l,21600r21600,l21600,xe">
              <v:stroke joinstyle="miter"/>
              <v:path gradientshapeok="t" o:connecttype="rect"/>
            </v:shapetype>
            <v:shape id="Text Box 5" o:spid="_x0000_s1030"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textbox style="mso-fit-shape-to-text:t" inset="0,0,0,15pt">
                <w:txbxContent>
                  <w:p w14:paraId="2994670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End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67F9BBED"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5C536" w14:textId="77777777" w:rsidR="007B53F5" w:rsidRDefault="007B53F5">
      <w:pPr>
        <w:spacing w:after="0" w:line="240" w:lineRule="auto"/>
      </w:pPr>
      <w:r>
        <w:separator/>
      </w:r>
    </w:p>
  </w:footnote>
  <w:footnote w:type="continuationSeparator" w:id="0">
    <w:p w14:paraId="3E6F01F5" w14:textId="77777777" w:rsidR="007B53F5" w:rsidRDefault="007B53F5">
      <w:pPr>
        <w:spacing w:after="0" w:line="240" w:lineRule="auto"/>
      </w:pPr>
      <w:r>
        <w:continuationSeparator/>
      </w:r>
    </w:p>
  </w:footnote>
  <w:footnote w:type="continuationNotice" w:id="1">
    <w:p w14:paraId="0F8A481C" w14:textId="77777777" w:rsidR="007B53F5" w:rsidRDefault="007B53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2004" w14:textId="77777777" w:rsidR="00A12D08" w:rsidRDefault="007E403F">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013D" w14:textId="77777777" w:rsidR="00A12D08" w:rsidRDefault="007E403F">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4D8BC138" wp14:editId="05806B4C">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10;&#10;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29528064"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053C"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FE3"/>
    <w:multiLevelType w:val="hybridMultilevel"/>
    <w:tmpl w:val="080AD4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2567102C"/>
    <w:multiLevelType w:val="hybridMultilevel"/>
    <w:tmpl w:val="597A0886"/>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CE7259"/>
    <w:multiLevelType w:val="multilevel"/>
    <w:tmpl w:val="3F68F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6174757"/>
    <w:multiLevelType w:val="multilevel"/>
    <w:tmpl w:val="CDB63E8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973098"/>
    <w:multiLevelType w:val="hybridMultilevel"/>
    <w:tmpl w:val="3092BF6A"/>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505F12A2"/>
    <w:multiLevelType w:val="hybridMultilevel"/>
    <w:tmpl w:val="C61A7D1C"/>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7"/>
  </w:num>
  <w:num w:numId="2" w16cid:durableId="1567641997">
    <w:abstractNumId w:val="6"/>
  </w:num>
  <w:num w:numId="3" w16cid:durableId="1147865877">
    <w:abstractNumId w:val="1"/>
  </w:num>
  <w:num w:numId="4" w16cid:durableId="1221096720">
    <w:abstractNumId w:val="4"/>
  </w:num>
  <w:num w:numId="5" w16cid:durableId="1436830472">
    <w:abstractNumId w:val="8"/>
  </w:num>
  <w:num w:numId="6" w16cid:durableId="62798639">
    <w:abstractNumId w:val="3"/>
  </w:num>
  <w:num w:numId="7" w16cid:durableId="1495149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188642">
    <w:abstractNumId w:val="5"/>
  </w:num>
  <w:num w:numId="9" w16cid:durableId="109933560">
    <w:abstractNumId w:val="9"/>
  </w:num>
  <w:num w:numId="10" w16cid:durableId="13967458">
    <w:abstractNumId w:val="0"/>
  </w:num>
  <w:num w:numId="11" w16cid:durableId="1642517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68"/>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513"/>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16F"/>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BEA"/>
    <w:rsid w:val="00020C38"/>
    <w:rsid w:val="00020E06"/>
    <w:rsid w:val="00020EFD"/>
    <w:rsid w:val="00020F67"/>
    <w:rsid w:val="00020F7B"/>
    <w:rsid w:val="00020F92"/>
    <w:rsid w:val="000211BE"/>
    <w:rsid w:val="0002128B"/>
    <w:rsid w:val="000212A2"/>
    <w:rsid w:val="000212DA"/>
    <w:rsid w:val="0002130B"/>
    <w:rsid w:val="0002130F"/>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A03"/>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36"/>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2FA5"/>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7F2"/>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0B"/>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7C"/>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25"/>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29F"/>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4B"/>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357"/>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AD1"/>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37"/>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8FE"/>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EB8"/>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47"/>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E39"/>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5D4"/>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94"/>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6FEA"/>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9DB"/>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E61"/>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4BB"/>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EC5"/>
    <w:rsid w:val="00115F04"/>
    <w:rsid w:val="00115F72"/>
    <w:rsid w:val="00115F74"/>
    <w:rsid w:val="00115FBD"/>
    <w:rsid w:val="00116011"/>
    <w:rsid w:val="00116048"/>
    <w:rsid w:val="00116234"/>
    <w:rsid w:val="00116349"/>
    <w:rsid w:val="00116366"/>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9F3"/>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06"/>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3BD"/>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55A"/>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76D"/>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57D"/>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CED"/>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17"/>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24"/>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4A"/>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324"/>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8CA"/>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9F"/>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0F3"/>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60"/>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215"/>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3CB"/>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9A"/>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2C1"/>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EED"/>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516"/>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995"/>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138"/>
    <w:rsid w:val="002644A2"/>
    <w:rsid w:val="0026451C"/>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87B"/>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96"/>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9A8"/>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12"/>
    <w:rsid w:val="002B3AF9"/>
    <w:rsid w:val="002B3B29"/>
    <w:rsid w:val="002B3B2C"/>
    <w:rsid w:val="002B3B7A"/>
    <w:rsid w:val="002B3CC6"/>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34F"/>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E44"/>
    <w:rsid w:val="002C3F8F"/>
    <w:rsid w:val="002C3FB3"/>
    <w:rsid w:val="002C4019"/>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AD9"/>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4DED"/>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30"/>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34B"/>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2"/>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9F5"/>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EB9"/>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A64"/>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DD9"/>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49"/>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2A"/>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ABA"/>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C4A"/>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22A"/>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CBC"/>
    <w:rsid w:val="00361D51"/>
    <w:rsid w:val="00361D91"/>
    <w:rsid w:val="00361E2E"/>
    <w:rsid w:val="00361E4E"/>
    <w:rsid w:val="00361E55"/>
    <w:rsid w:val="00361EC8"/>
    <w:rsid w:val="00361ED4"/>
    <w:rsid w:val="00361F46"/>
    <w:rsid w:val="00362270"/>
    <w:rsid w:val="0036241B"/>
    <w:rsid w:val="0036241C"/>
    <w:rsid w:val="00362436"/>
    <w:rsid w:val="0036243F"/>
    <w:rsid w:val="003625C4"/>
    <w:rsid w:val="003625CF"/>
    <w:rsid w:val="00362636"/>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5FDC"/>
    <w:rsid w:val="00366390"/>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9D"/>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1"/>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43"/>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3AB"/>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45"/>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7D"/>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1A"/>
    <w:rsid w:val="003C695E"/>
    <w:rsid w:val="003C697B"/>
    <w:rsid w:val="003C6995"/>
    <w:rsid w:val="003C69E4"/>
    <w:rsid w:val="003C6A20"/>
    <w:rsid w:val="003C6A77"/>
    <w:rsid w:val="003C6AF7"/>
    <w:rsid w:val="003C6B06"/>
    <w:rsid w:val="003C6B12"/>
    <w:rsid w:val="003C6BE0"/>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3FFF"/>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2A2"/>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1"/>
    <w:rsid w:val="004077DD"/>
    <w:rsid w:val="00407837"/>
    <w:rsid w:val="004078A1"/>
    <w:rsid w:val="0040792F"/>
    <w:rsid w:val="00407A28"/>
    <w:rsid w:val="00407B36"/>
    <w:rsid w:val="00407B50"/>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46"/>
    <w:rsid w:val="00416264"/>
    <w:rsid w:val="00416295"/>
    <w:rsid w:val="004162E1"/>
    <w:rsid w:val="00416359"/>
    <w:rsid w:val="0041664D"/>
    <w:rsid w:val="0041668E"/>
    <w:rsid w:val="00416720"/>
    <w:rsid w:val="00416752"/>
    <w:rsid w:val="00416766"/>
    <w:rsid w:val="00416946"/>
    <w:rsid w:val="00416AAD"/>
    <w:rsid w:val="00416C42"/>
    <w:rsid w:val="00416C8C"/>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3FE"/>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BB"/>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99"/>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8A6"/>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D5A"/>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78"/>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671"/>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0F8"/>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297"/>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5A6"/>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41"/>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414"/>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2D"/>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CCD"/>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93"/>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489"/>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4"/>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1FDA"/>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AB"/>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0B"/>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5C"/>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AF"/>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7E7"/>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B28"/>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4D3"/>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4B"/>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CCD"/>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1D6"/>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44"/>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87"/>
    <w:rsid w:val="00607EA7"/>
    <w:rsid w:val="00610103"/>
    <w:rsid w:val="0061023B"/>
    <w:rsid w:val="006102CC"/>
    <w:rsid w:val="006105F2"/>
    <w:rsid w:val="00610618"/>
    <w:rsid w:val="00610684"/>
    <w:rsid w:val="006108BB"/>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676"/>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9F3"/>
    <w:rsid w:val="00625A13"/>
    <w:rsid w:val="00625B35"/>
    <w:rsid w:val="00625B7E"/>
    <w:rsid w:val="00625C1F"/>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25B"/>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382"/>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3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BEA"/>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2C"/>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345"/>
    <w:rsid w:val="006A24CE"/>
    <w:rsid w:val="006A2641"/>
    <w:rsid w:val="006A293F"/>
    <w:rsid w:val="006A2A2A"/>
    <w:rsid w:val="006A2B2D"/>
    <w:rsid w:val="006A2C7A"/>
    <w:rsid w:val="006A2E0F"/>
    <w:rsid w:val="006A2FD9"/>
    <w:rsid w:val="006A3034"/>
    <w:rsid w:val="006A310B"/>
    <w:rsid w:val="006A311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C34"/>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39E"/>
    <w:rsid w:val="006B753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1FE9"/>
    <w:rsid w:val="006C20B0"/>
    <w:rsid w:val="006C20B8"/>
    <w:rsid w:val="006C210D"/>
    <w:rsid w:val="006C2112"/>
    <w:rsid w:val="006C2157"/>
    <w:rsid w:val="006C232A"/>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39"/>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2F"/>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1D0"/>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9CA"/>
    <w:rsid w:val="006F5AB8"/>
    <w:rsid w:val="006F5ADC"/>
    <w:rsid w:val="006F5AE4"/>
    <w:rsid w:val="006F5B19"/>
    <w:rsid w:val="006F5BF4"/>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8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6F"/>
    <w:rsid w:val="00721172"/>
    <w:rsid w:val="007211CA"/>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0F"/>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4"/>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30"/>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34"/>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1E"/>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AD"/>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546"/>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89B"/>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84"/>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D0"/>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5F51"/>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2EF"/>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3F5"/>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909"/>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6B9"/>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56"/>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12"/>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3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7"/>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3E"/>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857"/>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C8"/>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8FD"/>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6F6"/>
    <w:rsid w:val="00817780"/>
    <w:rsid w:val="00817820"/>
    <w:rsid w:val="008178F4"/>
    <w:rsid w:val="00817AA0"/>
    <w:rsid w:val="00817C52"/>
    <w:rsid w:val="00817C8C"/>
    <w:rsid w:val="00817D3D"/>
    <w:rsid w:val="00817E96"/>
    <w:rsid w:val="00817F30"/>
    <w:rsid w:val="0082002B"/>
    <w:rsid w:val="00820096"/>
    <w:rsid w:val="008200F3"/>
    <w:rsid w:val="008202DB"/>
    <w:rsid w:val="00820312"/>
    <w:rsid w:val="00820546"/>
    <w:rsid w:val="0082056F"/>
    <w:rsid w:val="00820683"/>
    <w:rsid w:val="0082069D"/>
    <w:rsid w:val="008207D6"/>
    <w:rsid w:val="00820977"/>
    <w:rsid w:val="00820BD0"/>
    <w:rsid w:val="00820C39"/>
    <w:rsid w:val="00820D68"/>
    <w:rsid w:val="00820DC9"/>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2D"/>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0D"/>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A7"/>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E89"/>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6E"/>
    <w:rsid w:val="0087387E"/>
    <w:rsid w:val="00873A1C"/>
    <w:rsid w:val="00873AE1"/>
    <w:rsid w:val="00873BFE"/>
    <w:rsid w:val="00873C24"/>
    <w:rsid w:val="00873C3D"/>
    <w:rsid w:val="00873DEC"/>
    <w:rsid w:val="00873EE0"/>
    <w:rsid w:val="00873F47"/>
    <w:rsid w:val="00873FF9"/>
    <w:rsid w:val="00874025"/>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0C"/>
    <w:rsid w:val="0089356B"/>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3CA"/>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B2C"/>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5A7"/>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851"/>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52"/>
    <w:rsid w:val="008D6BF0"/>
    <w:rsid w:val="008D6CE4"/>
    <w:rsid w:val="008D6CFE"/>
    <w:rsid w:val="008D6D2F"/>
    <w:rsid w:val="008D6D57"/>
    <w:rsid w:val="008D6E3B"/>
    <w:rsid w:val="008D6F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E7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D7F"/>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842"/>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977"/>
    <w:rsid w:val="009169A2"/>
    <w:rsid w:val="00916B3E"/>
    <w:rsid w:val="00916D74"/>
    <w:rsid w:val="00916E8B"/>
    <w:rsid w:val="00916EC6"/>
    <w:rsid w:val="00916F4F"/>
    <w:rsid w:val="00916F5B"/>
    <w:rsid w:val="00916FC9"/>
    <w:rsid w:val="0091711B"/>
    <w:rsid w:val="00917136"/>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1B"/>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961"/>
    <w:rsid w:val="00927A8C"/>
    <w:rsid w:val="00927C25"/>
    <w:rsid w:val="00927DA7"/>
    <w:rsid w:val="00927EFF"/>
    <w:rsid w:val="00927FA1"/>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5E"/>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57"/>
    <w:rsid w:val="00940966"/>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2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511"/>
    <w:rsid w:val="00945625"/>
    <w:rsid w:val="00945699"/>
    <w:rsid w:val="0094598C"/>
    <w:rsid w:val="009459B0"/>
    <w:rsid w:val="00945A7A"/>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E0"/>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A58"/>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16"/>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42"/>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41"/>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1F"/>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B7B"/>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A8D"/>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758"/>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46"/>
    <w:rsid w:val="00986CE4"/>
    <w:rsid w:val="00986D3C"/>
    <w:rsid w:val="00987068"/>
    <w:rsid w:val="0098712D"/>
    <w:rsid w:val="0098719F"/>
    <w:rsid w:val="00987228"/>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7F4"/>
    <w:rsid w:val="00990868"/>
    <w:rsid w:val="009908C7"/>
    <w:rsid w:val="00990BF2"/>
    <w:rsid w:val="00990C30"/>
    <w:rsid w:val="00990E1E"/>
    <w:rsid w:val="00990E46"/>
    <w:rsid w:val="00990E80"/>
    <w:rsid w:val="00990F04"/>
    <w:rsid w:val="00991148"/>
    <w:rsid w:val="009911F4"/>
    <w:rsid w:val="009912F7"/>
    <w:rsid w:val="00991378"/>
    <w:rsid w:val="009913C5"/>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BDB"/>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07"/>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7F7"/>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69"/>
    <w:rsid w:val="009B218D"/>
    <w:rsid w:val="009B226F"/>
    <w:rsid w:val="009B242C"/>
    <w:rsid w:val="009B2479"/>
    <w:rsid w:val="009B260E"/>
    <w:rsid w:val="009B2641"/>
    <w:rsid w:val="009B26CB"/>
    <w:rsid w:val="009B26E4"/>
    <w:rsid w:val="009B26F9"/>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5FE"/>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A82"/>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9A0"/>
    <w:rsid w:val="009D6A11"/>
    <w:rsid w:val="009D6A9F"/>
    <w:rsid w:val="009D6C0E"/>
    <w:rsid w:val="009D6C2C"/>
    <w:rsid w:val="009D6C57"/>
    <w:rsid w:val="009D6E8B"/>
    <w:rsid w:val="009D6E9D"/>
    <w:rsid w:val="009D6EE5"/>
    <w:rsid w:val="009D6F8F"/>
    <w:rsid w:val="009D7136"/>
    <w:rsid w:val="009D7200"/>
    <w:rsid w:val="009D72F9"/>
    <w:rsid w:val="009D7372"/>
    <w:rsid w:val="009D7409"/>
    <w:rsid w:val="009D754C"/>
    <w:rsid w:val="009D7602"/>
    <w:rsid w:val="009D76BB"/>
    <w:rsid w:val="009D78A8"/>
    <w:rsid w:val="009D78E2"/>
    <w:rsid w:val="009D7AD5"/>
    <w:rsid w:val="009D7BAA"/>
    <w:rsid w:val="009D7C04"/>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853"/>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093"/>
    <w:rsid w:val="009E6137"/>
    <w:rsid w:val="009E6158"/>
    <w:rsid w:val="009E6190"/>
    <w:rsid w:val="009E621B"/>
    <w:rsid w:val="009E6249"/>
    <w:rsid w:val="009E62CE"/>
    <w:rsid w:val="009E64A9"/>
    <w:rsid w:val="009E6517"/>
    <w:rsid w:val="009E65AF"/>
    <w:rsid w:val="009E65D4"/>
    <w:rsid w:val="009E6602"/>
    <w:rsid w:val="009E66BB"/>
    <w:rsid w:val="009E66C5"/>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164"/>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0D"/>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6F59"/>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26"/>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04"/>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D99"/>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E6B"/>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D7E3A"/>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58A"/>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0A7"/>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5E"/>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3"/>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3FC1"/>
    <w:rsid w:val="00AF4319"/>
    <w:rsid w:val="00AF4486"/>
    <w:rsid w:val="00AF44B1"/>
    <w:rsid w:val="00AF44B3"/>
    <w:rsid w:val="00AF4591"/>
    <w:rsid w:val="00AF45E2"/>
    <w:rsid w:val="00AF45EC"/>
    <w:rsid w:val="00AF4859"/>
    <w:rsid w:val="00AF48A1"/>
    <w:rsid w:val="00AF4950"/>
    <w:rsid w:val="00AF4B1A"/>
    <w:rsid w:val="00AF4B80"/>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7B5"/>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2F4"/>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68"/>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9E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19"/>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055"/>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3D0"/>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717"/>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0FEC"/>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566"/>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2F3F"/>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2FA"/>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0A0"/>
    <w:rsid w:val="00BA0174"/>
    <w:rsid w:val="00BA01BC"/>
    <w:rsid w:val="00BA0453"/>
    <w:rsid w:val="00BA04F2"/>
    <w:rsid w:val="00BA05B9"/>
    <w:rsid w:val="00BA0606"/>
    <w:rsid w:val="00BA063F"/>
    <w:rsid w:val="00BA06A4"/>
    <w:rsid w:val="00BA06BE"/>
    <w:rsid w:val="00BA081A"/>
    <w:rsid w:val="00BA092F"/>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BD0"/>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695"/>
    <w:rsid w:val="00BB76B4"/>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2F3"/>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4AF"/>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7F6"/>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E57"/>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0C"/>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3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34"/>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5F"/>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06C"/>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1E"/>
    <w:rsid w:val="00C14764"/>
    <w:rsid w:val="00C149A7"/>
    <w:rsid w:val="00C14B6B"/>
    <w:rsid w:val="00C14BCF"/>
    <w:rsid w:val="00C14D0F"/>
    <w:rsid w:val="00C14D73"/>
    <w:rsid w:val="00C14E74"/>
    <w:rsid w:val="00C15035"/>
    <w:rsid w:val="00C1506F"/>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B67"/>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00"/>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AD"/>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4B5"/>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B0"/>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AAF"/>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7F0"/>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C43"/>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D7"/>
    <w:rsid w:val="00C82BDE"/>
    <w:rsid w:val="00C82C5D"/>
    <w:rsid w:val="00C82CBA"/>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07"/>
    <w:rsid w:val="00C872BB"/>
    <w:rsid w:val="00C872E8"/>
    <w:rsid w:val="00C87497"/>
    <w:rsid w:val="00C874AE"/>
    <w:rsid w:val="00C87515"/>
    <w:rsid w:val="00C87567"/>
    <w:rsid w:val="00C875C1"/>
    <w:rsid w:val="00C87640"/>
    <w:rsid w:val="00C87EE4"/>
    <w:rsid w:val="00C87EFA"/>
    <w:rsid w:val="00C87F16"/>
    <w:rsid w:val="00C87F82"/>
    <w:rsid w:val="00C87FE1"/>
    <w:rsid w:val="00C87FF5"/>
    <w:rsid w:val="00C9003C"/>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2FCA"/>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5FDD"/>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D5C"/>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973"/>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9BA"/>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63"/>
    <w:rsid w:val="00CC67D4"/>
    <w:rsid w:val="00CC689C"/>
    <w:rsid w:val="00CC6901"/>
    <w:rsid w:val="00CC6991"/>
    <w:rsid w:val="00CC6A8E"/>
    <w:rsid w:val="00CC6A9D"/>
    <w:rsid w:val="00CC6DAA"/>
    <w:rsid w:val="00CC6DFB"/>
    <w:rsid w:val="00CC6E40"/>
    <w:rsid w:val="00CC6E6E"/>
    <w:rsid w:val="00CC6FC8"/>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56C"/>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35"/>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0FB"/>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2C6"/>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12"/>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96"/>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B5E"/>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370"/>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AB6"/>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6097"/>
    <w:rsid w:val="00D263DD"/>
    <w:rsid w:val="00D2648A"/>
    <w:rsid w:val="00D264E6"/>
    <w:rsid w:val="00D266AE"/>
    <w:rsid w:val="00D26718"/>
    <w:rsid w:val="00D2679B"/>
    <w:rsid w:val="00D268C9"/>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A72"/>
    <w:rsid w:val="00D33B35"/>
    <w:rsid w:val="00D33B40"/>
    <w:rsid w:val="00D33B6D"/>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7C6"/>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07"/>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523"/>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9E"/>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980"/>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597"/>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084"/>
    <w:rsid w:val="00DA7311"/>
    <w:rsid w:val="00DA7318"/>
    <w:rsid w:val="00DA7336"/>
    <w:rsid w:val="00DA73C3"/>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56D"/>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5ED0"/>
    <w:rsid w:val="00DD5F07"/>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7CB"/>
    <w:rsid w:val="00DE78BD"/>
    <w:rsid w:val="00DE7AD0"/>
    <w:rsid w:val="00DE7E4F"/>
    <w:rsid w:val="00DF001A"/>
    <w:rsid w:val="00DF001E"/>
    <w:rsid w:val="00DF01E1"/>
    <w:rsid w:val="00DF0236"/>
    <w:rsid w:val="00DF0271"/>
    <w:rsid w:val="00DF03C8"/>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AAE"/>
    <w:rsid w:val="00E00BEC"/>
    <w:rsid w:val="00E00D53"/>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02"/>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7A"/>
    <w:rsid w:val="00E11CE1"/>
    <w:rsid w:val="00E11D31"/>
    <w:rsid w:val="00E11D74"/>
    <w:rsid w:val="00E11E94"/>
    <w:rsid w:val="00E11F4E"/>
    <w:rsid w:val="00E11F71"/>
    <w:rsid w:val="00E11F7E"/>
    <w:rsid w:val="00E120BE"/>
    <w:rsid w:val="00E1222A"/>
    <w:rsid w:val="00E122C6"/>
    <w:rsid w:val="00E122CA"/>
    <w:rsid w:val="00E1236D"/>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9E6"/>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70"/>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2A6"/>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75"/>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75"/>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38"/>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7B"/>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A6"/>
    <w:rsid w:val="00EA30C1"/>
    <w:rsid w:val="00EA30EC"/>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24"/>
    <w:rsid w:val="00EB3070"/>
    <w:rsid w:val="00EB324A"/>
    <w:rsid w:val="00EB32AA"/>
    <w:rsid w:val="00EB32AF"/>
    <w:rsid w:val="00EB32C5"/>
    <w:rsid w:val="00EB3312"/>
    <w:rsid w:val="00EB33D4"/>
    <w:rsid w:val="00EB3521"/>
    <w:rsid w:val="00EB3799"/>
    <w:rsid w:val="00EB389B"/>
    <w:rsid w:val="00EB3936"/>
    <w:rsid w:val="00EB395A"/>
    <w:rsid w:val="00EB3986"/>
    <w:rsid w:val="00EB3B4E"/>
    <w:rsid w:val="00EB3BB8"/>
    <w:rsid w:val="00EB3CF2"/>
    <w:rsid w:val="00EB3D95"/>
    <w:rsid w:val="00EB3E11"/>
    <w:rsid w:val="00EB3E68"/>
    <w:rsid w:val="00EB3EB5"/>
    <w:rsid w:val="00EB3FB9"/>
    <w:rsid w:val="00EB400B"/>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15A"/>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6FC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5A1"/>
    <w:rsid w:val="00EF074F"/>
    <w:rsid w:val="00EF090D"/>
    <w:rsid w:val="00EF0916"/>
    <w:rsid w:val="00EF0995"/>
    <w:rsid w:val="00EF0A23"/>
    <w:rsid w:val="00EF0A88"/>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6D"/>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BD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0"/>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8EF"/>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EDB"/>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18"/>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66"/>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CAF"/>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30F"/>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E65"/>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54"/>
    <w:rsid w:val="00FA65FF"/>
    <w:rsid w:val="00FA66D6"/>
    <w:rsid w:val="00FA6991"/>
    <w:rsid w:val="00FA69BF"/>
    <w:rsid w:val="00FA6A07"/>
    <w:rsid w:val="00FA6A3E"/>
    <w:rsid w:val="00FA6B4D"/>
    <w:rsid w:val="00FA6B6B"/>
    <w:rsid w:val="00FA6B75"/>
    <w:rsid w:val="00FA6BB3"/>
    <w:rsid w:val="00FA6BE6"/>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DEA"/>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31"/>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24"/>
    <w:rsid w:val="00FD303E"/>
    <w:rsid w:val="00FD3069"/>
    <w:rsid w:val="00FD30BE"/>
    <w:rsid w:val="00FD32DF"/>
    <w:rsid w:val="00FD337D"/>
    <w:rsid w:val="00FD3560"/>
    <w:rsid w:val="00FD3588"/>
    <w:rsid w:val="00FD36D3"/>
    <w:rsid w:val="00FD372C"/>
    <w:rsid w:val="00FD3769"/>
    <w:rsid w:val="00FD383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0A9"/>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54D19"/>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AEF448E14337A4DB0DE109DDC4F9896" ma:contentTypeVersion="5" ma:contentTypeDescription="Create a new document." ma:contentTypeScope="" ma:versionID="9e7e2db1ccac4abb5f9dcdac759ee267">
  <xsd:schema xmlns:xsd="http://www.w3.org/2001/XMLSchema" xmlns:xs="http://www.w3.org/2001/XMLSchema" xmlns:p="http://schemas.microsoft.com/office/2006/metadata/properties" xmlns:ns1="http://schemas.microsoft.com/sharepoint/v3" xmlns:ns2="ebe716c9-5f5c-4bc5-af4f-8ea2c4884a60" targetNamespace="http://schemas.microsoft.com/office/2006/metadata/properties" ma:root="true" ma:fieldsID="3f7e64048fa089f9e37797fb77672fbd" ns1:_="" ns2:_="">
    <xsd:import namespace="http://schemas.microsoft.com/sharepoint/v3"/>
    <xsd:import namespace="ebe716c9-5f5c-4bc5-af4f-8ea2c4884a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e716c9-5f5c-4bc5-af4f-8ea2c4884a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3.xml><?xml version="1.0" encoding="utf-8"?>
<ds:datastoreItem xmlns:ds="http://schemas.openxmlformats.org/officeDocument/2006/customXml" ds:itemID="{2F15CC40-1F6C-4256-B186-06E9D9208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e716c9-5f5c-4bc5-af4f-8ea2c4884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AC8D34-3B1C-4BED-8B94-26A96BC8EE3B}">
  <ds:schemaRefs>
    <ds:schemaRef ds:uri="http://schemas.microsoft.com/sharepoint/v3/contenttype/forms"/>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5556</Words>
  <Characters>31670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Mosca</dc:creator>
  <cp:keywords/>
  <dc:description/>
  <cp:lastModifiedBy>Eduardo Mosca</cp:lastModifiedBy>
  <cp:revision>2</cp:revision>
  <cp:lastPrinted>2026-06-10T18:06:00Z</cp:lastPrinted>
  <dcterms:created xsi:type="dcterms:W3CDTF">2026-07-06T13:25:00Z</dcterms:created>
  <dcterms:modified xsi:type="dcterms:W3CDTF">2026-07-06T13:25:00Z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ies>
</file>