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1A63" w14:textId="288019E2" w:rsidR="002169BD" w:rsidRDefault="002169BD">
      <w:r>
        <w:t>MC Notes Data (data pulled from the files):</w:t>
      </w:r>
    </w:p>
    <w:p w14:paraId="6FA2CCDA" w14:textId="303206CA" w:rsidR="002169BD" w:rsidRDefault="002169BD" w:rsidP="002169BD">
      <w:pPr>
        <w:pStyle w:val="ListParagraph"/>
        <w:numPr>
          <w:ilvl w:val="0"/>
          <w:numId w:val="1"/>
        </w:numPr>
      </w:pPr>
      <w:r>
        <w:t>Operation Number</w:t>
      </w:r>
    </w:p>
    <w:p w14:paraId="1F509DEB" w14:textId="389C4A3D" w:rsidR="002169BD" w:rsidRDefault="002169BD" w:rsidP="002169BD">
      <w:pPr>
        <w:pStyle w:val="ListParagraph"/>
        <w:numPr>
          <w:ilvl w:val="0"/>
          <w:numId w:val="1"/>
        </w:numPr>
      </w:pPr>
      <w:r>
        <w:t xml:space="preserve">File Name </w:t>
      </w:r>
    </w:p>
    <w:p w14:paraId="04CB9599" w14:textId="5564312A" w:rsidR="002169BD" w:rsidRDefault="002169BD" w:rsidP="002169BD">
      <w:pPr>
        <w:pStyle w:val="ListParagraph"/>
        <w:numPr>
          <w:ilvl w:val="0"/>
          <w:numId w:val="1"/>
        </w:numPr>
      </w:pPr>
      <w:r>
        <w:t>Validation Date and Author</w:t>
      </w:r>
    </w:p>
    <w:p w14:paraId="5DD5BE2C" w14:textId="4E2881B4" w:rsidR="002169BD" w:rsidRDefault="002169BD" w:rsidP="002169BD">
      <w:pPr>
        <w:pStyle w:val="ListParagraph"/>
        <w:numPr>
          <w:ilvl w:val="1"/>
          <w:numId w:val="1"/>
        </w:numPr>
      </w:pPr>
      <w:r>
        <w:t>More important in OTHER types</w:t>
      </w:r>
    </w:p>
    <w:p w14:paraId="6C45BA4B" w14:textId="0F74897F" w:rsidR="002169BD" w:rsidRDefault="002169BD" w:rsidP="002169BD">
      <w:pPr>
        <w:pStyle w:val="ListParagraph"/>
        <w:numPr>
          <w:ilvl w:val="0"/>
          <w:numId w:val="1"/>
        </w:numPr>
      </w:pPr>
      <w:r>
        <w:t>Word Counts</w:t>
      </w:r>
    </w:p>
    <w:p w14:paraId="67ACFBCD" w14:textId="77777777" w:rsidR="002169BD" w:rsidRDefault="002169BD" w:rsidP="002169BD"/>
    <w:p w14:paraId="6023480B" w14:textId="05C52593" w:rsidR="002169BD" w:rsidRDefault="002169BD" w:rsidP="002169BD">
      <w:r>
        <w:t>BO Data:</w:t>
      </w:r>
    </w:p>
    <w:p w14:paraId="4D974781" w14:textId="384807FC" w:rsidR="002169BD" w:rsidRDefault="002169BD" w:rsidP="002169BD">
      <w:pPr>
        <w:pStyle w:val="ListParagraph"/>
        <w:numPr>
          <w:ilvl w:val="0"/>
          <w:numId w:val="2"/>
        </w:numPr>
      </w:pPr>
      <w:r>
        <w:t>Operation Number</w:t>
      </w:r>
    </w:p>
    <w:p w14:paraId="20785CB8" w14:textId="44C5A943" w:rsidR="002169BD" w:rsidRDefault="002169BD" w:rsidP="002169BD">
      <w:pPr>
        <w:pStyle w:val="ListParagraph"/>
        <w:numPr>
          <w:ilvl w:val="0"/>
          <w:numId w:val="2"/>
        </w:numPr>
      </w:pPr>
      <w:r>
        <w:t xml:space="preserve">Project Details </w:t>
      </w:r>
    </w:p>
    <w:p w14:paraId="132116B2" w14:textId="76BF359A" w:rsidR="002169BD" w:rsidRDefault="002169BD" w:rsidP="002169BD">
      <w:pPr>
        <w:pStyle w:val="ListParagraph"/>
        <w:numPr>
          <w:ilvl w:val="0"/>
          <w:numId w:val="2"/>
        </w:numPr>
      </w:pPr>
      <w:r>
        <w:t>Author</w:t>
      </w:r>
    </w:p>
    <w:p w14:paraId="4695AA9D" w14:textId="582D458B" w:rsidR="002169BD" w:rsidRDefault="002169BD" w:rsidP="002169BD">
      <w:pPr>
        <w:pStyle w:val="ListParagraph"/>
        <w:numPr>
          <w:ilvl w:val="0"/>
          <w:numId w:val="2"/>
        </w:numPr>
      </w:pPr>
      <w:r>
        <w:t>Opinion Authors</w:t>
      </w:r>
    </w:p>
    <w:p w14:paraId="19F0A90B" w14:textId="77777777" w:rsidR="002169BD" w:rsidRDefault="002169BD" w:rsidP="002169BD">
      <w:pPr>
        <w:pStyle w:val="ListParagraph"/>
      </w:pPr>
    </w:p>
    <w:p w14:paraId="507D760C" w14:textId="1471BB82" w:rsidR="002169BD" w:rsidRDefault="002169BD" w:rsidP="002169BD">
      <w:r>
        <w:t xml:space="preserve">Master File (Merged Data on Operation Number) </w:t>
      </w:r>
    </w:p>
    <w:p w14:paraId="4F714DDD" w14:textId="77777777" w:rsidR="002169BD" w:rsidRDefault="002169BD" w:rsidP="002169BD"/>
    <w:p w14:paraId="453B179E" w14:textId="1514B619" w:rsidR="002169BD" w:rsidRDefault="002169BD" w:rsidP="002169BD">
      <w:r>
        <w:t>Auditing Data (Missing files)</w:t>
      </w:r>
    </w:p>
    <w:p w14:paraId="72591112" w14:textId="5DE51684" w:rsidR="002169BD" w:rsidRDefault="002169BD" w:rsidP="002169BD">
      <w:pPr>
        <w:pStyle w:val="ListParagraph"/>
        <w:numPr>
          <w:ilvl w:val="0"/>
          <w:numId w:val="4"/>
        </w:numPr>
      </w:pPr>
      <w:r>
        <w:t xml:space="preserve">For GNG and AFS the MC Notes file should contain all the non-confidential operations found in a given period. </w:t>
      </w:r>
    </w:p>
    <w:p w14:paraId="142A27D9" w14:textId="70AD4948" w:rsidR="002169BD" w:rsidRDefault="002169BD" w:rsidP="002169BD">
      <w:pPr>
        <w:pStyle w:val="ListParagraph"/>
        <w:numPr>
          <w:ilvl w:val="0"/>
          <w:numId w:val="4"/>
        </w:numPr>
      </w:pPr>
      <w:r>
        <w:t xml:space="preserve">For OTHER…. </w:t>
      </w:r>
    </w:p>
    <w:p w14:paraId="551C374B" w14:textId="77777777" w:rsidR="002169BD" w:rsidRDefault="002169BD" w:rsidP="002169BD"/>
    <w:p w14:paraId="6CC5776D" w14:textId="7FB99551" w:rsidR="002169BD" w:rsidRDefault="002169BD" w:rsidP="002169BD">
      <w:pPr>
        <w:pStyle w:val="ListParagraph"/>
      </w:pPr>
      <w:r w:rsidRPr="002169BD">
        <w:t>5,600 - 5,629 = -29 records</w:t>
      </w:r>
      <w:r>
        <w:t xml:space="preserve"> without duplicates </w:t>
      </w:r>
    </w:p>
    <w:p w14:paraId="68DF1CF6" w14:textId="77777777" w:rsidR="002169BD" w:rsidRDefault="002169BD" w:rsidP="002169BD"/>
    <w:p w14:paraId="24E40AF6" w14:textId="7CAF86CC" w:rsidR="00FB13A9" w:rsidRDefault="002169BD" w:rsidP="002169BD">
      <w:r>
        <w:t>Auditing Data (the robot</w:t>
      </w:r>
      <w:r w:rsidR="00FB13A9">
        <w:t xml:space="preserve"> v visual) </w:t>
      </w:r>
    </w:p>
    <w:p w14:paraId="63D63728" w14:textId="31598D8F" w:rsidR="00FB13A9" w:rsidRDefault="00FB13A9" w:rsidP="002169BD">
      <w:r>
        <w:t xml:space="preserve">There is an audit file prepared to reifenroce the data quality of the data. </w:t>
      </w:r>
    </w:p>
    <w:p w14:paraId="43E81057" w14:textId="77777777" w:rsidR="00FB13A9" w:rsidRDefault="00FB13A9" w:rsidP="002169BD"/>
    <w:p w14:paraId="74B40D63" w14:textId="7E135F8B" w:rsidR="00346234" w:rsidRDefault="00346234" w:rsidP="002169BD">
      <w:r>
        <w:t xml:space="preserve">Main issues: mismatch between analyzed files and overall files; need to improve auditing and develop an automated system; </w:t>
      </w:r>
    </w:p>
    <w:p w14:paraId="24A47DFC" w14:textId="77777777" w:rsidR="00346234" w:rsidRDefault="00346234" w:rsidP="002169BD"/>
    <w:p>
      <w:r>
        <w:br w:type="page"/>
      </w:r>
    </w:p>
    <w:p>
      <w:pPr>
        <w:jc w:val="center"/>
      </w:pPr>
      <w:r>
        <w:rPr>
          <w:b/>
          <w:color w:val="1F4E79"/>
          <w:sz w:val="44"/>
        </w:rPr>
        <w:t>Project Overview and Summary</w:t>
      </w:r>
    </w:p>
    <w:p>
      <w:pPr>
        <w:jc w:val="center"/>
      </w:pPr>
      <w:r>
        <w:rPr>
          <w:i/>
          <w:color w:val="595959"/>
          <w:sz w:val="20"/>
        </w:rPr>
        <w:t>Expanded operating model for the MC Notes extraction, validation, master table, and Power BI reporting workflow</w:t>
      </w:r>
    </w:p>
    <w:p>
      <w:pPr>
        <w:pStyle w:val="Heading1"/>
      </w:pPr>
      <w:r>
        <w:t>1. Purpose</w:t>
      </w:r>
    </w:p>
    <w:p>
      <w:r>
        <w:t>The MC Notes project creates a repeatable pipeline for extracting, validating, merging, and analyzing Management Committee note data. It covers GNG, AFS, and OTHER note families, with PIN retained in the master database where useful for full-database comparison. The steady-state objective is to refresh the files monthly, keep the master dataset auditable, and use Power BI as the reporting layer.</w:t>
      </w:r>
    </w:p>
    <w:p>
      <w:pPr>
        <w:pStyle w:val="Heading1"/>
      </w:pPr>
      <w:r>
        <w:t>2. Current Project Components</w:t>
      </w:r>
    </w:p>
    <w:tbl>
      <w:tblPr>
        <w:tblW w:type="auto" w:w="0"/>
        <w:jc w:val="center"/>
        <w:tblLook w:firstColumn="1" w:firstRow="1" w:lastColumn="0" w:lastRow="0" w:noHBand="0" w:noVBand="1" w:val="04A0"/>
      </w:tblPr>
      <w:tblGrid>
        <w:gridCol w:w="3201"/>
        <w:gridCol w:w="3201"/>
        <w:gridCol w:w="3201"/>
      </w:tblGrid>
      <w:tr>
        <w:tc>
          <w:tcPr>
            <w:tcW w:type="dxa" w:w="3201"/>
            <w:vAlign w:val="center"/>
          </w:tcPr>
          <w:p>
            <w:r>
              <w:rPr>
                <w:b/>
              </w:rPr>
              <w:t>Component</w:t>
            </w:r>
          </w:p>
        </w:tc>
        <w:tc>
          <w:tcPr>
            <w:tcW w:type="dxa" w:w="3201"/>
            <w:vAlign w:val="center"/>
          </w:tcPr>
          <w:p>
            <w:r>
              <w:rPr>
                <w:b/>
              </w:rPr>
              <w:t>What It Does</w:t>
            </w:r>
          </w:p>
        </w:tc>
        <w:tc>
          <w:tcPr>
            <w:tcW w:type="dxa" w:w="3201"/>
            <w:vAlign w:val="center"/>
          </w:tcPr>
          <w:p>
            <w:r>
              <w:rPr>
                <w:b/>
              </w:rPr>
              <w:t>Key Local Files</w:t>
            </w:r>
          </w:p>
        </w:tc>
      </w:tr>
      <w:tr>
        <w:tc>
          <w:tcPr>
            <w:tcW w:type="dxa" w:w="3201"/>
          </w:tcPr>
          <w:p>
            <w:r>
              <w:t>GNG package</w:t>
            </w:r>
          </w:p>
        </w:tc>
        <w:tc>
          <w:tcPr>
            <w:tcW w:type="dxa" w:w="3201"/>
          </w:tcPr>
          <w:p>
            <w:r>
              <w:t>Extracts GNG metadata and full service-block word counts from GNG PDFs.</w:t>
            </w:r>
          </w:p>
        </w:tc>
        <w:tc>
          <w:tcPr>
            <w:tcW w:type="dxa" w:w="3201"/>
          </w:tcPr>
          <w:p>
            <w:r>
              <w:t>GNG_Package/gng_extractor.py; analysis/run_analysis.py GNG</w:t>
            </w:r>
          </w:p>
        </w:tc>
      </w:tr>
      <w:tr>
        <w:tc>
          <w:tcPr>
            <w:tcW w:type="dxa" w:w="3201"/>
          </w:tcPr>
          <w:p>
            <w:r>
              <w:t>AFS package</w:t>
            </w:r>
          </w:p>
        </w:tc>
        <w:tc>
          <w:tcPr>
            <w:tcW w:type="dxa" w:w="3201"/>
          </w:tcPr>
          <w:p>
            <w:r>
              <w:t>Extracts AFS metadata, opinion word counts, and summary statistics from AFS PDFs.</w:t>
            </w:r>
          </w:p>
        </w:tc>
        <w:tc>
          <w:tcPr>
            <w:tcW w:type="dxa" w:w="3201"/>
          </w:tcPr>
          <w:p>
            <w:r>
              <w:t>AFS_Package/afs_extractor.py; analysis/run_analysis.py AFS</w:t>
            </w:r>
          </w:p>
        </w:tc>
      </w:tr>
      <w:tr>
        <w:tc>
          <w:tcPr>
            <w:tcW w:type="dxa" w:w="3201"/>
          </w:tcPr>
          <w:p>
            <w:r>
              <w:t>OTHER package</w:t>
            </w:r>
          </w:p>
        </w:tc>
        <w:tc>
          <w:tcPr>
            <w:tcW w:type="dxa" w:w="3201"/>
          </w:tcPr>
          <w:p>
            <w:r>
              <w:t>Extracts OTHER metadata, opinion word counts, and group statistics using the prefix mapping workbook.</w:t>
            </w:r>
          </w:p>
        </w:tc>
        <w:tc>
          <w:tcPr>
            <w:tcW w:type="dxa" w:w="3201"/>
          </w:tcPr>
          <w:p>
            <w:r>
              <w:t>OTHER_Package/other_extractor.py; OTHER_Package/PREFIX_MERGE.xlsx</w:t>
            </w:r>
          </w:p>
        </w:tc>
      </w:tr>
      <w:tr>
        <w:tc>
          <w:tcPr>
            <w:tcW w:type="dxa" w:w="3201"/>
          </w:tcPr>
          <w:p>
            <w:r>
              <w:t>Shared analysis</w:t>
            </w:r>
          </w:p>
        </w:tc>
        <w:tc>
          <w:tcPr>
            <w:tcW w:type="dxa" w:w="3201"/>
          </w:tcPr>
          <w:p>
            <w:r>
              <w:t>Runs registered accuracy checks and visible-PDF comparison workflows.</w:t>
            </w:r>
          </w:p>
        </w:tc>
        <w:tc>
          <w:tcPr>
            <w:tcW w:type="dxa" w:w="3201"/>
          </w:tcPr>
          <w:p>
            <w:r>
              <w:t>analysis/note_type_registry.json; analysis/*_visible_accuracy_analysis.py</w:t>
            </w:r>
          </w:p>
        </w:tc>
      </w:tr>
      <w:tr>
        <w:tc>
          <w:tcPr>
            <w:tcW w:type="dxa" w:w="3201"/>
          </w:tcPr>
          <w:p>
            <w:r>
              <w:t>Master data layer</w:t>
            </w:r>
          </w:p>
        </w:tc>
        <w:tc>
          <w:tcPr>
            <w:tcW w:type="dxa" w:w="3201"/>
          </w:tcPr>
          <w:p>
            <w:r>
              <w:t>Holds merged MC note data, BO data, GED list, Power Query logic, and export-ready tables.</w:t>
            </w:r>
          </w:p>
        </w:tc>
        <w:tc>
          <w:tcPr>
            <w:tcW w:type="dxa" w:w="3201"/>
          </w:tcPr>
          <w:p>
            <w:r>
              <w:t>Data Analysis/Master Table.xlsx; Data Analysis/Master Table Power Query.m</w:t>
            </w:r>
          </w:p>
        </w:tc>
      </w:tr>
      <w:tr>
        <w:tc>
          <w:tcPr>
            <w:tcW w:type="dxa" w:w="3201"/>
          </w:tcPr>
          <w:p>
            <w:r>
              <w:t>Reporting layer</w:t>
            </w:r>
          </w:p>
        </w:tc>
        <w:tc>
          <w:tcPr>
            <w:tcW w:type="dxa" w:w="3201"/>
          </w:tcPr>
          <w:p>
            <w:r>
              <w:t>Prototype HTML dashboard exists, but steady-state reporting should move to Power BI.</w:t>
            </w:r>
          </w:p>
        </w:tc>
        <w:tc>
          <w:tcPr>
            <w:tcW w:type="dxa" w:w="3201"/>
          </w:tcPr>
          <w:p>
            <w:r>
              <w:t>Data Analysis/Exports/*.csv; Power BI semantic model and reports</w:t>
            </w:r>
          </w:p>
        </w:tc>
      </w:tr>
    </w:tbl>
    <w:p>
      <w:pPr>
        <w:pStyle w:val="Heading1"/>
      </w:pPr>
      <w:r>
        <w:t>3. Data Scope And Current Baseline</w:t>
      </w:r>
    </w:p>
    <w:p>
      <w:r>
        <w:rPr>
          <w:sz w:val="20"/>
        </w:rPr>
        <w:t>- The latest analysis report shows 5,600 master records, with 5,346 automated records and 254 manual correction records.</w:t>
      </w:r>
    </w:p>
    <w:p>
      <w:r>
        <w:rPr>
          <w:sz w:val="20"/>
        </w:rPr>
        <w:t>- Automated extraction represents 95.46 percent of records; manual correction represents 4.54 percent.</w:t>
      </w:r>
    </w:p>
    <w:p>
      <w:r>
        <w:rPr>
          <w:sz w:val="20"/>
        </w:rPr>
        <w:t>- Validation-date coverage runs from 2019-03-06 to 2026-05-19 in the current reports, with 13 missing validation dates and no dates later than 2026-06-02.</w:t>
      </w:r>
    </w:p>
    <w:p>
      <w:r>
        <w:rPr>
          <w:sz w:val="20"/>
        </w:rPr>
        <w:t>- The master table includes operational fields such as Source, Template, Extraction, MC_Note_Type, File Name, Operation Number, Validation Date, Author, document/page counts, Text Before Opinions, service word-count columns, BO Validation Date, Financing Product Name, and BO team columns.</w:t>
      </w:r>
    </w:p>
    <w:p>
      <w:r>
        <w:rPr>
          <w:sz w:val="20"/>
        </w:rPr>
        <w:t>- BO validation dates are present on 5,579 rows in the current report; 21 rows are missing BO validation dates.</w:t>
      </w:r>
    </w:p>
    <w:p>
      <w:pPr>
        <w:pStyle w:val="Heading1"/>
      </w:pPr>
      <w:r>
        <w:t>4. Extraction And Validation Logic</w:t>
      </w:r>
    </w:p>
    <w:p>
      <w:r>
        <w:rPr>
          <w:sz w:val="20"/>
        </w:rPr>
        <w:t>- Each note family has a dedicated extractor so template-specific parsing rules can remain isolated.</w:t>
      </w:r>
    </w:p>
    <w:p>
      <w:r>
        <w:rPr>
          <w:sz w:val="20"/>
        </w:rPr>
        <w:t>- The shared analysis registry controls which note-type workflows are enabled and keeps GNG, AFS, and OTHER analysis runnable from one command pattern.</w:t>
      </w:r>
    </w:p>
    <w:p>
      <w:r>
        <w:rPr>
          <w:sz w:val="20"/>
        </w:rPr>
        <w:t>- Robot-vs-visual audit files compare script output against independently rebuilt visible-PDF text, which is the main quality-control mechanism for word counts and metadata.</w:t>
      </w:r>
    </w:p>
    <w:p>
      <w:r>
        <w:rPr>
          <w:sz w:val="20"/>
        </w:rPr>
        <w:t>- Known comparison differences usually arise from text-stream extraction versus visible-PDF tokenization, especially in Text Before Opinions.</w:t>
      </w:r>
    </w:p>
    <w:p>
      <w:r>
        <w:rPr>
          <w:sz w:val="20"/>
        </w:rPr>
        <w:t>- GNG service-word counts intentionally use the full service block, including prefix headings, status words such as Go, boilerplate intro lines, and service body text.</w:t>
      </w:r>
    </w:p>
    <w:p>
      <w:pPr>
        <w:pStyle w:val="Heading1"/>
      </w:pPr>
      <w:r>
        <w:t>5. Master File And BO Data</w:t>
      </w:r>
    </w:p>
    <w:p>
      <w:r>
        <w:t>The master file is the operational center of the project. It merges extracted MC note data with BO data on Operation Number, then exposes the fields needed for quality checks, monthly refreshes, and reporting. Power Query should remain the controlled transformation layer for the workbook, with exported CSVs or a Power BI connection used downstream.</w:t>
      </w:r>
    </w:p>
    <w:p>
      <w:r>
        <w:rPr>
          <w:sz w:val="20"/>
        </w:rPr>
        <w:t>- MC note data: operation number, file name, validation date, author, page counts, text-before-opinion word counts, and service opinion word counts.</w:t>
      </w:r>
    </w:p>
    <w:p>
      <w:r>
        <w:rPr>
          <w:sz w:val="20"/>
        </w:rPr>
        <w:t>- BO data: operation number, project details, BO validation date, author/service-office data, opinion authors, financing product name, and BO team fields.</w:t>
      </w:r>
    </w:p>
    <w:p>
      <w:r>
        <w:rPr>
          <w:sz w:val="20"/>
        </w:rPr>
        <w:t>- Merged master table: single source for reporting, audit reconciliation, and Power BI refresh.</w:t>
      </w:r>
    </w:p>
    <w:p>
      <w:r>
        <w:rPr>
          <w:sz w:val="20"/>
        </w:rPr>
        <w:t>- Auditing data: missing files, duplicate or unmatched operation numbers, visual-audit mismatches, and master-vs-source coverage gaps.</w:t>
      </w:r>
    </w:p>
    <w:p>
      <w:pPr>
        <w:pStyle w:val="Heading1"/>
      </w:pPr>
      <w:r>
        <w:t>6. Power BI Reporting Direction</w:t>
      </w:r>
    </w:p>
    <w:p>
      <w:r>
        <w:t>The current HTML/JavaScript dashboard is useful as a prototype and requirements reference, but the steady-state dashboard should be rebuilt in Power BI. Power BI is a better fit for monthly refresh, slicers, governance, report sharing, and dashboard maintenance by business users.</w:t>
      </w:r>
    </w:p>
    <w:p>
      <w:r>
        <w:rPr>
          <w:sz w:val="20"/>
        </w:rPr>
        <w:t>- Recommended Power BI source: exported cleaned tables from Data Analysis/Exports, or the Master_Table_Q query if Power BI can connect directly to the workbook in a stable location.</w:t>
      </w:r>
    </w:p>
    <w:p>
      <w:r>
        <w:rPr>
          <w:sz w:val="20"/>
        </w:rPr>
        <w:t>- Recommended report pages: Overview, Template Trends, Service Opinions, BO/Product View, Data Quality, Audit Coverage, and Record Explorer.</w:t>
      </w:r>
    </w:p>
    <w:p>
      <w:r>
        <w:rPr>
          <w:sz w:val="20"/>
        </w:rPr>
        <w:t>- Recommended slicers: month, template, extraction type, batch/source folder, financing product, BO team, GED/match status, author/service-office, and service column.</w:t>
      </w:r>
    </w:p>
    <w:p>
      <w:r>
        <w:rPr>
          <w:sz w:val="20"/>
        </w:rPr>
        <w:t>- Use the Python dashboard code as a reference for measures and views, not as the final production reporting tool.</w:t>
      </w:r>
    </w:p>
    <w:p>
      <w:pPr>
        <w:pStyle w:val="Heading1"/>
      </w:pPr>
      <w:r>
        <w:t>7. Monthly Steady-State Workflow</w:t>
      </w:r>
    </w:p>
    <w:p>
      <w:r>
        <w:rPr>
          <w:b/>
        </w:rPr>
        <w:t>1. Collect files</w:t>
      </w:r>
      <w:r>
        <w:t>: Add the latest monthly PDFs to the correct GNG, AFS, and OTHER folders. Confirm expected period and non-confidential scope.</w:t>
      </w:r>
    </w:p>
    <w:p>
      <w:r>
        <w:rPr>
          <w:b/>
        </w:rPr>
        <w:t>2. Run extractors</w:t>
      </w:r>
      <w:r>
        <w:t>: Run each extractor package and capture generated CSV/XLSX outputs. Keep source PDFs and generated outputs local unless explicitly cleared.</w:t>
      </w:r>
    </w:p>
    <w:p>
      <w:r>
        <w:rPr>
          <w:b/>
        </w:rPr>
        <w:t>3. Refresh audits</w:t>
      </w:r>
      <w:r>
        <w:t>: Run visible-PDF and database comparison checks for GNG, AFS, and OTHER. Review mismatches, missing files, duplicates, and manual correction candidates.</w:t>
      </w:r>
    </w:p>
    <w:p>
      <w:r>
        <w:rPr>
          <w:b/>
        </w:rPr>
        <w:t>4. Update master data</w:t>
      </w:r>
      <w:r>
        <w:t>: Refresh Power Query/Master_Table_Q, BO data, GED list, and exported analysis tables. Reconcile operation-number joins and date fields.</w:t>
      </w:r>
    </w:p>
    <w:p>
      <w:r>
        <w:rPr>
          <w:b/>
        </w:rPr>
        <w:t>5. Refresh Power BI</w:t>
      </w:r>
      <w:r>
        <w:t>: Refresh the semantic model and report pages. Confirm slicers, measures, monthly trend lines, and record explorer views update as expected.</w:t>
      </w:r>
    </w:p>
    <w:p>
      <w:r>
        <w:rPr>
          <w:b/>
        </w:rPr>
        <w:t>6. Review and sign off</w:t>
      </w:r>
      <w:r>
        <w:t>: Document data-quality exceptions, publish the monthly deck/report, archive outputs, and update changelogs or notes for repeatability.</w:t>
      </w:r>
    </w:p>
    <w:p>
      <w:pPr>
        <w:pStyle w:val="Heading1"/>
      </w:pPr>
      <w:r>
        <w:t>8. Data Quality Controls</w:t>
      </w:r>
    </w:p>
    <w:p>
      <w:r>
        <w:rPr>
          <w:sz w:val="20"/>
        </w:rPr>
        <w:t>- Coverage control: compare expected source files against files analyzed and records in the master table.</w:t>
      </w:r>
    </w:p>
    <w:p>
      <w:r>
        <w:rPr>
          <w:sz w:val="20"/>
        </w:rPr>
        <w:t>- Operation-number control: check missing, duplicate, or conflicting operation numbers before merging with BO data.</w:t>
      </w:r>
    </w:p>
    <w:p>
      <w:r>
        <w:rPr>
          <w:sz w:val="20"/>
        </w:rPr>
        <w:t>- Date control: flag missing validation dates, future dates, and BO-vs-MC validation-date deltas.</w:t>
      </w:r>
    </w:p>
    <w:p>
      <w:r>
        <w:rPr>
          <w:sz w:val="20"/>
        </w:rPr>
        <w:t>- Template control: verify that template-specific fields behave as expected, including no positive GNG words in non-GNG department columns such as SG.</w:t>
      </w:r>
    </w:p>
    <w:p>
      <w:r>
        <w:rPr>
          <w:sz w:val="20"/>
        </w:rPr>
        <w:t>- Audit control: retain visible-audit samples and field-level comparison summaries for monthly QA evidence.</w:t>
      </w:r>
    </w:p>
    <w:p>
      <w:r>
        <w:rPr>
          <w:sz w:val="20"/>
        </w:rPr>
        <w:t>- Change control: update package changelogs when parser logic, mappings, workbook logic, or reporting definitions change.</w:t>
      </w:r>
    </w:p>
    <w:p>
      <w:pPr>
        <w:pStyle w:val="Heading1"/>
      </w:pPr>
      <w:r>
        <w:t>9. Known Issues And Open Items</w:t>
      </w:r>
    </w:p>
    <w:p>
      <w:r>
        <w:rPr>
          <w:sz w:val="20"/>
        </w:rPr>
        <w:t>- The rough notes identify a mismatch between analyzed files and overall files. This should become a formal monthly coverage reconciliation.</w:t>
      </w:r>
    </w:p>
    <w:p>
      <w:r>
        <w:rPr>
          <w:sz w:val="20"/>
        </w:rPr>
        <w:t>- OTHER notes need a more explicit rule for expected-file coverage because OTHER is broader and less template-uniform than GNG and AFS.</w:t>
      </w:r>
    </w:p>
    <w:p>
      <w:r>
        <w:rPr>
          <w:sz w:val="20"/>
        </w:rPr>
        <w:t>- GNG author coverage is weak in the current data, so author/service-office analysis is stronger for AFS and OTHER than for GNG.</w:t>
      </w:r>
    </w:p>
    <w:p>
      <w:r>
        <w:rPr>
          <w:sz w:val="20"/>
        </w:rPr>
        <w:t>- Text Before Opinions can differ slightly between parser output and visible-PDF extraction due to tokenization, so tolerance-based checks may be more useful than exact-match checks for that field.</w:t>
      </w:r>
    </w:p>
    <w:p>
      <w:r>
        <w:rPr>
          <w:sz w:val="20"/>
        </w:rPr>
        <w:t>- Power BI should define stable measures for manual rate, document volume, median words, page counts, service opinion count, BO product mix, and audit exception counts.</w:t>
      </w:r>
    </w:p>
    <w:p>
      <w:pPr>
        <w:pStyle w:val="Heading1"/>
      </w:pPr>
      <w:r>
        <w:t>10. Suggested Next Deliverables</w:t>
      </w:r>
    </w:p>
    <w:p>
      <w:r>
        <w:rPr>
          <w:sz w:val="20"/>
        </w:rPr>
        <w:t>- Power BI model specification: tables, relationships, measures, slicers, and report-page map.</w:t>
      </w:r>
    </w:p>
    <w:p>
      <w:r>
        <w:rPr>
          <w:sz w:val="20"/>
        </w:rPr>
        <w:t>- Monthly refresh checklist: exact commands, expected outputs, owner, and sign-off criteria.</w:t>
      </w:r>
    </w:p>
    <w:p>
      <w:r>
        <w:rPr>
          <w:sz w:val="20"/>
        </w:rPr>
        <w:t>- Audit reconciliation sheet: expected files, analyzed files, master records, duplicates, missing joins, and manual-correction candidates.</w:t>
      </w:r>
    </w:p>
    <w:p>
      <w:r>
        <w:rPr>
          <w:sz w:val="20"/>
        </w:rPr>
        <w:t>- Power Query documentation: what each query does and which fields are authoritative.</w:t>
      </w:r>
    </w:p>
    <w:p>
      <w:r>
        <w:rPr>
          <w:sz w:val="20"/>
        </w:rPr>
        <w:t>- Short monthly summary page: volumes, manual rate, major audit exceptions, and any changes to extraction logic.</w:t>
      </w:r>
    </w:p>
    <w:p/>
    <w:p>
      <w:pPr>
        <w:jc w:val="right"/>
      </w:pPr>
      <w:r>
        <w:rPr>
          <w:i/>
        </w:rPr>
        <w:t>Updated by Codex on 2026-06-02. Backup created: Project Overview and Summary.backup.20260602_092412.docx</w:t>
      </w:r>
    </w:p>
    <w:sectPr w:rsidR="00346234">
      <w:headerReference w:type="even" r:id="rId7"/>
      <w:headerReference w:type="default" r:id="rId8"/>
      <w:headerReference w:type="first" r:id="rId9"/>
      <w:pgSz w:w="11906" w:h="16838"/>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C5AE5" w14:textId="77777777" w:rsidR="00151C58" w:rsidRDefault="00151C58" w:rsidP="00FB13A9">
      <w:pPr>
        <w:spacing w:after="0" w:line="240" w:lineRule="auto"/>
      </w:pPr>
      <w:r>
        <w:separator/>
      </w:r>
    </w:p>
  </w:endnote>
  <w:endnote w:type="continuationSeparator" w:id="0">
    <w:p w14:paraId="5D3F859D" w14:textId="77777777" w:rsidR="00151C58" w:rsidRDefault="00151C58" w:rsidP="00FB1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65AE9" w14:textId="77777777" w:rsidR="00151C58" w:rsidRDefault="00151C58" w:rsidP="00FB13A9">
      <w:pPr>
        <w:spacing w:after="0" w:line="240" w:lineRule="auto"/>
      </w:pPr>
      <w:r>
        <w:separator/>
      </w:r>
    </w:p>
  </w:footnote>
  <w:footnote w:type="continuationSeparator" w:id="0">
    <w:p w14:paraId="0D4F62AB" w14:textId="77777777" w:rsidR="00151C58" w:rsidRDefault="00151C58" w:rsidP="00FB1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85F4" w14:textId="564308AB" w:rsidR="00FB13A9" w:rsidRDefault="00FB13A9">
    <w:pPr>
      <w:pStyle w:val="Header"/>
    </w:pPr>
    <w:r>
      <w:rPr>
        <w:noProof/>
      </w:rPr>
      <mc:AlternateContent>
        <mc:Choice Requires="wps">
          <w:drawing>
            <wp:anchor distT="0" distB="0" distL="0" distR="0" simplePos="0" relativeHeight="251659264" behindDoc="0" locked="0" layoutInCell="1" allowOverlap="1" wp14:anchorId="64B066C1" wp14:editId="6A50B36C">
              <wp:simplePos x="635" y="635"/>
              <wp:positionH relativeFrom="page">
                <wp:align>center</wp:align>
              </wp:positionH>
              <wp:positionV relativeFrom="page">
                <wp:align>top</wp:align>
              </wp:positionV>
              <wp:extent cx="794385" cy="370205"/>
              <wp:effectExtent l="0" t="0" r="5715" b="10795"/>
              <wp:wrapNone/>
              <wp:docPr id="199557206" name="Text Box 2" descr="Corporate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94385" cy="370205"/>
                      </a:xfrm>
                      <a:prstGeom prst="rect">
                        <a:avLst/>
                      </a:prstGeom>
                      <a:noFill/>
                      <a:ln>
                        <a:noFill/>
                      </a:ln>
                    </wps:spPr>
                    <wps:txbx>
                      <w:txbxContent>
                        <w:p w14:paraId="32FD6262" w14:textId="3DB41A26" w:rsidR="00FB13A9" w:rsidRPr="00FB13A9" w:rsidRDefault="00FB13A9" w:rsidP="00FB13A9">
                          <w:pPr>
                            <w:spacing w:after="0"/>
                            <w:rPr>
                              <w:rFonts w:ascii="Aptos" w:eastAsia="Aptos" w:hAnsi="Aptos" w:cs="Aptos"/>
                              <w:noProof/>
                              <w:color w:val="808080"/>
                              <w:sz w:val="20"/>
                              <w:szCs w:val="20"/>
                            </w:rPr>
                          </w:pPr>
                          <w:r w:rsidRPr="00FB13A9">
                            <w:rPr>
                              <w:rFonts w:ascii="Aptos" w:eastAsia="Aptos" w:hAnsi="Aptos" w:cs="Aptos"/>
                              <w:noProof/>
                              <w:color w:val="808080"/>
                              <w:sz w:val="20"/>
                              <w:szCs w:val="20"/>
                            </w:rPr>
                            <w:t>Corporate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B066C1" id="_x0000_t202" coordsize="21600,21600" o:spt="202" path="m,l,21600r21600,l21600,xe">
              <v:stroke joinstyle="miter"/>
              <v:path gradientshapeok="t" o:connecttype="rect"/>
            </v:shapetype>
            <v:shape id="Text Box 2" o:spid="_x0000_s1026" type="#_x0000_t202" alt="Corporate Use" style="position:absolute;margin-left:0;margin-top:0;width:62.5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dGCgIAABUEAAAOAAAAZHJzL2Uyb0RvYy54bWysU8Fu2zAMvQ/YPwi6L3bSZW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" filled="f" stroked="f">
              <v:textbox style="mso-fit-shape-to-text:t" inset="0,15pt,0,0">
                <w:txbxContent>
                  <w:p w14:paraId="32FD6262" w14:textId="3DB41A26" w:rsidR="00FB13A9" w:rsidRPr="00FB13A9" w:rsidRDefault="00FB13A9" w:rsidP="00FB13A9">
                    <w:pPr>
                      <w:spacing w:after="0"/>
                      <w:rPr>
                        <w:rFonts w:ascii="Aptos" w:eastAsia="Aptos" w:hAnsi="Aptos" w:cs="Aptos"/>
                        <w:noProof/>
                        <w:color w:val="808080"/>
                        <w:sz w:val="20"/>
                        <w:szCs w:val="20"/>
                      </w:rPr>
                    </w:pPr>
                    <w:r w:rsidRPr="00FB13A9">
                      <w:rPr>
                        <w:rFonts w:ascii="Aptos" w:eastAsia="Aptos" w:hAnsi="Aptos" w:cs="Aptos"/>
                        <w:noProof/>
                        <w:color w:val="808080"/>
                        <w:sz w:val="20"/>
                        <w:szCs w:val="20"/>
                      </w:rPr>
                      <w:t>Corporate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AFC2" w14:textId="630A45CF" w:rsidR="00FB13A9" w:rsidRDefault="00FB13A9">
    <w:pPr>
      <w:pStyle w:val="Header"/>
    </w:pPr>
    <w:r>
      <w:rPr>
        <w:noProof/>
      </w:rPr>
      <mc:AlternateContent>
        <mc:Choice Requires="wps">
          <w:drawing>
            <wp:anchor distT="0" distB="0" distL="0" distR="0" simplePos="0" relativeHeight="251660288" behindDoc="0" locked="0" layoutInCell="1" allowOverlap="1" wp14:anchorId="1C24F62F" wp14:editId="35520FA5">
              <wp:simplePos x="914400" y="457200"/>
              <wp:positionH relativeFrom="page">
                <wp:align>center</wp:align>
              </wp:positionH>
              <wp:positionV relativeFrom="page">
                <wp:align>top</wp:align>
              </wp:positionV>
              <wp:extent cx="794385" cy="370205"/>
              <wp:effectExtent l="0" t="0" r="5715" b="10795"/>
              <wp:wrapNone/>
              <wp:docPr id="256713545" name="Text Box 3" descr="Corporate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94385" cy="370205"/>
                      </a:xfrm>
                      <a:prstGeom prst="rect">
                        <a:avLst/>
                      </a:prstGeom>
                      <a:noFill/>
                      <a:ln>
                        <a:noFill/>
                      </a:ln>
                    </wps:spPr>
                    <wps:txbx>
                      <w:txbxContent>
                        <w:p w14:paraId="1D1D6C6D" w14:textId="0CD5491F" w:rsidR="00FB13A9" w:rsidRPr="00FB13A9" w:rsidRDefault="00FB13A9" w:rsidP="00FB13A9">
                          <w:pPr>
                            <w:spacing w:after="0"/>
                            <w:rPr>
                              <w:rFonts w:ascii="Aptos" w:eastAsia="Aptos" w:hAnsi="Aptos" w:cs="Aptos"/>
                              <w:noProof/>
                              <w:color w:val="808080"/>
                              <w:sz w:val="20"/>
                              <w:szCs w:val="20"/>
                            </w:rPr>
                          </w:pPr>
                          <w:r w:rsidRPr="00FB13A9">
                            <w:rPr>
                              <w:rFonts w:ascii="Aptos" w:eastAsia="Aptos" w:hAnsi="Aptos" w:cs="Aptos"/>
                              <w:noProof/>
                              <w:color w:val="808080"/>
                              <w:sz w:val="20"/>
                              <w:szCs w:val="20"/>
                            </w:rPr>
                            <w:t>Corporate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24F62F" id="_x0000_t202" coordsize="21600,21600" o:spt="202" path="m,l,21600r21600,l21600,xe">
              <v:stroke joinstyle="miter"/>
              <v:path gradientshapeok="t" o:connecttype="rect"/>
            </v:shapetype>
            <v:shape id="Text Box 3" o:spid="_x0000_s1027" type="#_x0000_t202" alt="Corporate Use" style="position:absolute;margin-left:0;margin-top:0;width:62.5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S1DQIAABwEAAAOAAAAZHJzL2Uyb0RvYy54bWysU8Fu2zAMvQ/YPwi6L3bSZW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" filled="f" stroked="f">
              <v:textbox style="mso-fit-shape-to-text:t" inset="0,15pt,0,0">
                <w:txbxContent>
                  <w:p w14:paraId="1D1D6C6D" w14:textId="0CD5491F" w:rsidR="00FB13A9" w:rsidRPr="00FB13A9" w:rsidRDefault="00FB13A9" w:rsidP="00FB13A9">
                    <w:pPr>
                      <w:spacing w:after="0"/>
                      <w:rPr>
                        <w:rFonts w:ascii="Aptos" w:eastAsia="Aptos" w:hAnsi="Aptos" w:cs="Aptos"/>
                        <w:noProof/>
                        <w:color w:val="808080"/>
                        <w:sz w:val="20"/>
                        <w:szCs w:val="20"/>
                      </w:rPr>
                    </w:pPr>
                    <w:r w:rsidRPr="00FB13A9">
                      <w:rPr>
                        <w:rFonts w:ascii="Aptos" w:eastAsia="Aptos" w:hAnsi="Aptos" w:cs="Aptos"/>
                        <w:noProof/>
                        <w:color w:val="808080"/>
                        <w:sz w:val="20"/>
                        <w:szCs w:val="20"/>
                      </w:rPr>
                      <w:t>Corporate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A109" w14:textId="61B9E55B" w:rsidR="00FB13A9" w:rsidRDefault="00FB13A9">
    <w:pPr>
      <w:pStyle w:val="Header"/>
    </w:pPr>
    <w:r>
      <w:rPr>
        <w:noProof/>
      </w:rPr>
      <mc:AlternateContent>
        <mc:Choice Requires="wps">
          <w:drawing>
            <wp:anchor distT="0" distB="0" distL="0" distR="0" simplePos="0" relativeHeight="251658240" behindDoc="0" locked="0" layoutInCell="1" allowOverlap="1" wp14:anchorId="33A0B278" wp14:editId="4B1FAB18">
              <wp:simplePos x="635" y="635"/>
              <wp:positionH relativeFrom="page">
                <wp:align>center</wp:align>
              </wp:positionH>
              <wp:positionV relativeFrom="page">
                <wp:align>top</wp:align>
              </wp:positionV>
              <wp:extent cx="794385" cy="370205"/>
              <wp:effectExtent l="0" t="0" r="5715" b="10795"/>
              <wp:wrapNone/>
              <wp:docPr id="2073907450" name="Text Box 1" descr="Corporate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94385" cy="370205"/>
                      </a:xfrm>
                      <a:prstGeom prst="rect">
                        <a:avLst/>
                      </a:prstGeom>
                      <a:noFill/>
                      <a:ln>
                        <a:noFill/>
                      </a:ln>
                    </wps:spPr>
                    <wps:txbx>
                      <w:txbxContent>
                        <w:p w14:paraId="45ED6D76" w14:textId="408D22FC" w:rsidR="00FB13A9" w:rsidRPr="00FB13A9" w:rsidRDefault="00FB13A9" w:rsidP="00FB13A9">
                          <w:pPr>
                            <w:spacing w:after="0"/>
                            <w:rPr>
                              <w:rFonts w:ascii="Aptos" w:eastAsia="Aptos" w:hAnsi="Aptos" w:cs="Aptos"/>
                              <w:noProof/>
                              <w:color w:val="808080"/>
                              <w:sz w:val="20"/>
                              <w:szCs w:val="20"/>
                            </w:rPr>
                          </w:pPr>
                          <w:r w:rsidRPr="00FB13A9">
                            <w:rPr>
                              <w:rFonts w:ascii="Aptos" w:eastAsia="Aptos" w:hAnsi="Aptos" w:cs="Aptos"/>
                              <w:noProof/>
                              <w:color w:val="808080"/>
                              <w:sz w:val="20"/>
                              <w:szCs w:val="20"/>
                            </w:rPr>
                            <w:t>Corporate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A0B278" id="_x0000_t202" coordsize="21600,21600" o:spt="202" path="m,l,21600r21600,l21600,xe">
              <v:stroke joinstyle="miter"/>
              <v:path gradientshapeok="t" o:connecttype="rect"/>
            </v:shapetype>
            <v:shape id="Text Box 1" o:spid="_x0000_s1028" type="#_x0000_t202" alt="Corporate Use" style="position:absolute;margin-left:0;margin-top:0;width:62.5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IPzDwIAABwEAAAOAAAAZHJzL2Uyb0RvYy54bWysU8Fu2zAMvQ/YPwi6L3bSZW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" filled="f" stroked="f">
              <v:textbox style="mso-fit-shape-to-text:t" inset="0,15pt,0,0">
                <w:txbxContent>
                  <w:p w14:paraId="45ED6D76" w14:textId="408D22FC" w:rsidR="00FB13A9" w:rsidRPr="00FB13A9" w:rsidRDefault="00FB13A9" w:rsidP="00FB13A9">
                    <w:pPr>
                      <w:spacing w:after="0"/>
                      <w:rPr>
                        <w:rFonts w:ascii="Aptos" w:eastAsia="Aptos" w:hAnsi="Aptos" w:cs="Aptos"/>
                        <w:noProof/>
                        <w:color w:val="808080"/>
                        <w:sz w:val="20"/>
                        <w:szCs w:val="20"/>
                      </w:rPr>
                    </w:pPr>
                    <w:r w:rsidRPr="00FB13A9">
                      <w:rPr>
                        <w:rFonts w:ascii="Aptos" w:eastAsia="Aptos" w:hAnsi="Aptos" w:cs="Aptos"/>
                        <w:noProof/>
                        <w:color w:val="808080"/>
                        <w:sz w:val="20"/>
                        <w:szCs w:val="20"/>
                      </w:rPr>
                      <w:t>Corporate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131"/>
    <w:multiLevelType w:val="hybridMultilevel"/>
    <w:tmpl w:val="D1F06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4E3142"/>
    <w:multiLevelType w:val="hybridMultilevel"/>
    <w:tmpl w:val="016E5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6D246F5"/>
    <w:multiLevelType w:val="hybridMultilevel"/>
    <w:tmpl w:val="D9A41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3B42D4"/>
    <w:multiLevelType w:val="hybridMultilevel"/>
    <w:tmpl w:val="07440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930641">
    <w:abstractNumId w:val="2"/>
  </w:num>
  <w:num w:numId="2" w16cid:durableId="2088840641">
    <w:abstractNumId w:val="0"/>
  </w:num>
  <w:num w:numId="3" w16cid:durableId="421874342">
    <w:abstractNumId w:val="3"/>
  </w:num>
  <w:num w:numId="4" w16cid:durableId="194929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BD"/>
    <w:rsid w:val="00151C58"/>
    <w:rsid w:val="002169BD"/>
    <w:rsid w:val="00346234"/>
    <w:rsid w:val="00346459"/>
    <w:rsid w:val="0077674E"/>
    <w:rsid w:val="00C765F4"/>
    <w:rsid w:val="00FB13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E6A"/>
  <w15:chartTrackingRefBased/>
  <w15:docId w15:val="{5690094D-08AF-4E97-A440-F5ACEAFD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Heading1">
    <w:name w:val="heading 1"/>
    <w:basedOn w:val="Normal"/>
    <w:next w:val="Normal"/>
    <w:link w:val="Heading1Char"/>
    <w:uiPriority w:val="9"/>
    <w:qFormat/>
    <w:rsid w:val="002169BD"/>
    <w:pPr>
      <w:keepNext/>
      <w:keepLines/>
      <w:spacing w:before="360" w:after="80"/>
      <w:outlineLvl w:val="0"/>
    </w:pPr>
    <w:rPr>
      <w:rFonts w:asciiTheme="majorHAnsi" w:eastAsiaTheme="majorEastAsia" w:hAnsiTheme="majorHAnsi" w:cstheme="majorBidi" w:ascii="Calibri" w:hAnsi="Calibri"/>
      <w:color w:val="0F4761" w:themeColor="accent1" w:themeShade="BF"/>
      <w:sz w:val="36"/>
      <w:szCs w:val="40"/>
    </w:rPr>
  </w:style>
  <w:style w:type="paragraph" w:styleId="Heading2">
    <w:name w:val="heading 2"/>
    <w:basedOn w:val="Normal"/>
    <w:next w:val="Normal"/>
    <w:link w:val="Heading2Char"/>
    <w:uiPriority w:val="9"/>
    <w:semiHidden/>
    <w:unhideWhenUsed/>
    <w:qFormat/>
    <w:rsid w:val="002169BD"/>
    <w:pPr>
      <w:keepNext/>
      <w:keepLines/>
      <w:spacing w:before="160" w:after="80"/>
      <w:outlineLvl w:val="1"/>
    </w:pPr>
    <w:rPr>
      <w:rFonts w:asciiTheme="majorHAnsi" w:eastAsiaTheme="majorEastAsia" w:hAnsiTheme="majorHAnsi" w:cstheme="majorBidi" w:ascii="Calibri" w:hAnsi="Calibri"/>
      <w:color w:val="0F4761" w:themeColor="accent1" w:themeShade="BF"/>
      <w:sz w:val="26"/>
      <w:szCs w:val="32"/>
    </w:rPr>
  </w:style>
  <w:style w:type="paragraph" w:styleId="Heading3">
    <w:name w:val="heading 3"/>
    <w:basedOn w:val="Normal"/>
    <w:next w:val="Normal"/>
    <w:link w:val="Heading3Char"/>
    <w:uiPriority w:val="9"/>
    <w:semiHidden/>
    <w:unhideWhenUsed/>
    <w:qFormat/>
    <w:rsid w:val="002169BD"/>
    <w:pPr>
      <w:keepNext/>
      <w:keepLines/>
      <w:spacing w:before="160" w:after="80"/>
      <w:outlineLvl w:val="2"/>
    </w:pPr>
    <w:rPr>
      <w:rFonts w:eastAsiaTheme="majorEastAsia" w:cstheme="majorBidi" w:ascii="Calibri" w:hAnsi="Calibri"/>
      <w:color w:val="0F4761" w:themeColor="accent1" w:themeShade="BF"/>
      <w:sz w:val="22"/>
      <w:szCs w:val="28"/>
    </w:rPr>
  </w:style>
  <w:style w:type="paragraph" w:styleId="Heading4">
    <w:name w:val="heading 4"/>
    <w:basedOn w:val="Normal"/>
    <w:next w:val="Normal"/>
    <w:link w:val="Heading4Char"/>
    <w:uiPriority w:val="9"/>
    <w:semiHidden/>
    <w:unhideWhenUsed/>
    <w:qFormat/>
    <w:rsid w:val="00216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9BD"/>
    <w:rPr>
      <w:rFonts w:eastAsiaTheme="majorEastAsia" w:cstheme="majorBidi"/>
      <w:color w:val="272727" w:themeColor="text1" w:themeTint="D8"/>
    </w:rPr>
  </w:style>
  <w:style w:type="paragraph" w:styleId="Title">
    <w:name w:val="Title"/>
    <w:basedOn w:val="Normal"/>
    <w:next w:val="Normal"/>
    <w:link w:val="TitleChar"/>
    <w:uiPriority w:val="10"/>
    <w:qFormat/>
    <w:rsid w:val="00216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9BD"/>
    <w:pPr>
      <w:spacing w:before="160"/>
      <w:jc w:val="center"/>
    </w:pPr>
    <w:rPr>
      <w:i/>
      <w:iCs/>
      <w:color w:val="404040" w:themeColor="text1" w:themeTint="BF"/>
    </w:rPr>
  </w:style>
  <w:style w:type="character" w:customStyle="1" w:styleId="QuoteChar">
    <w:name w:val="Quote Char"/>
    <w:basedOn w:val="DefaultParagraphFont"/>
    <w:link w:val="Quote"/>
    <w:uiPriority w:val="29"/>
    <w:rsid w:val="002169BD"/>
    <w:rPr>
      <w:i/>
      <w:iCs/>
      <w:color w:val="404040" w:themeColor="text1" w:themeTint="BF"/>
    </w:rPr>
  </w:style>
  <w:style w:type="paragraph" w:styleId="ListParagraph">
    <w:name w:val="List Paragraph"/>
    <w:basedOn w:val="Normal"/>
    <w:uiPriority w:val="34"/>
    <w:qFormat/>
    <w:rsid w:val="002169BD"/>
    <w:pPr>
      <w:ind w:left="720"/>
      <w:contextualSpacing/>
    </w:pPr>
  </w:style>
  <w:style w:type="character" w:styleId="IntenseEmphasis">
    <w:name w:val="Intense Emphasis"/>
    <w:basedOn w:val="DefaultParagraphFont"/>
    <w:uiPriority w:val="21"/>
    <w:qFormat/>
    <w:rsid w:val="002169BD"/>
    <w:rPr>
      <w:i/>
      <w:iCs/>
      <w:color w:val="0F4761" w:themeColor="accent1" w:themeShade="BF"/>
    </w:rPr>
  </w:style>
  <w:style w:type="paragraph" w:styleId="IntenseQuote">
    <w:name w:val="Intense Quote"/>
    <w:basedOn w:val="Normal"/>
    <w:next w:val="Normal"/>
    <w:link w:val="IntenseQuoteChar"/>
    <w:uiPriority w:val="30"/>
    <w:qFormat/>
    <w:rsid w:val="00216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9BD"/>
    <w:rPr>
      <w:i/>
      <w:iCs/>
      <w:color w:val="0F4761" w:themeColor="accent1" w:themeShade="BF"/>
    </w:rPr>
  </w:style>
  <w:style w:type="character" w:styleId="IntenseReference">
    <w:name w:val="Intense Reference"/>
    <w:basedOn w:val="DefaultParagraphFont"/>
    <w:uiPriority w:val="32"/>
    <w:qFormat/>
    <w:rsid w:val="002169BD"/>
    <w:rPr>
      <w:b/>
      <w:bCs/>
      <w:smallCaps/>
      <w:color w:val="0F4761" w:themeColor="accent1" w:themeShade="BF"/>
      <w:spacing w:val="5"/>
    </w:rPr>
  </w:style>
  <w:style w:type="paragraph" w:styleId="Header">
    <w:name w:val="header"/>
    <w:basedOn w:val="Normal"/>
    <w:link w:val="HeaderChar"/>
    <w:uiPriority w:val="99"/>
    <w:unhideWhenUsed/>
    <w:rsid w:val="00FB1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European Investment Bank</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MOSCALU Stefan</dc:creator>
  <cp:keywords/>
  <dc:description/>
  <cp:lastModifiedBy>MOSCALU Stefan</cp:lastModifiedBy>
  <cp:revision>2</cp:revision>
  <dcterms:created xsi:type="dcterms:W3CDTF">2026-06-02T07:18:00Z</dcterms:created>
  <dcterms:modified xsi:type="dcterms:W3CDTF">2026-06-02T07:18:00Z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7b9d50fa,be50056,f4d2349</vt:lpwstr>
  </property>
  <property fmtid="{D5CDD505-2E9C-101B-9397-08002B2CF9AE}" pid="3" name="ClassificationContentMarkingHeaderFontProps">
    <vt:lpwstr>#808080,10,Aptos</vt:lpwstr>
  </property>
  <property fmtid="{D5CDD505-2E9C-101B-9397-08002B2CF9AE}" pid="4" name="ClassificationContentMarkingHeaderText">
    <vt:lpwstr>Corporate Use</vt:lpwstr>
  </property>
  <property fmtid="{D5CDD505-2E9C-101B-9397-08002B2CF9AE}" pid="5" name="MSIP_Label_9b5154d6-21c1-415b-b061-7427a4708b37_Enabled">
    <vt:lpwstr>true</vt:lpwstr>
  </property>
  <property fmtid="{D5CDD505-2E9C-101B-9397-08002B2CF9AE}" pid="6" name="MSIP_Label_9b5154d6-21c1-415b-b061-7427a4708b37_SetDate">
    <vt:lpwstr>2026-06-02T07:14:17Z</vt:lpwstr>
  </property>
  <property fmtid="{D5CDD505-2E9C-101B-9397-08002B2CF9AE}" pid="7" name="MSIP_Label_9b5154d6-21c1-415b-b061-7427a4708b37_Method">
    <vt:lpwstr>Privileged</vt:lpwstr>
  </property>
  <property fmtid="{D5CDD505-2E9C-101B-9397-08002B2CF9AE}" pid="8" name="MSIP_Label_9b5154d6-21c1-415b-b061-7427a4708b37_Name">
    <vt:lpwstr>Default Corporate Use</vt:lpwstr>
  </property>
  <property fmtid="{D5CDD505-2E9C-101B-9397-08002B2CF9AE}" pid="9" name="MSIP_Label_9b5154d6-21c1-415b-b061-7427a4708b37_SiteId">
    <vt:lpwstr>0b96d5d2-d153-4370-a2c7-8a926f24c8a1</vt:lpwstr>
  </property>
  <property fmtid="{D5CDD505-2E9C-101B-9397-08002B2CF9AE}" pid="10" name="MSIP_Label_9b5154d6-21c1-415b-b061-7427a4708b37_ActionId">
    <vt:lpwstr>459c40ed-6de7-4cdd-b0ef-2c3ad9dc94ea</vt:lpwstr>
  </property>
  <property fmtid="{D5CDD505-2E9C-101B-9397-08002B2CF9AE}" pid="11" name="MSIP_Label_9b5154d6-21c1-415b-b061-7427a4708b37_ContentBits">
    <vt:lpwstr>1</vt:lpwstr>
  </property>
  <property fmtid="{D5CDD505-2E9C-101B-9397-08002B2CF9AE}" pid="12" name="MSIP_Label_9b5154d6-21c1-415b-b061-7427a4708b37_Tag">
    <vt:lpwstr>10, 0, 1, 1</vt:lpwstr>
  </property>
</Properties>
</file>