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140"/>
      </w:pPr>
      <w:r>
        <w:rPr>
          <w:rFonts w:ascii="Aptos Display" w:hAnsi="Aptos Display"/>
          <w:b/>
          <w:color w:val="A67B2D"/>
          <w:sz w:val="26"/>
        </w:rPr>
        <w:t>SYLVIA'S DREAM</w:t>
      </w:r>
    </w:p>
    <w:p>
      <w:pPr>
        <w:pStyle w:val="Title"/>
        <w:spacing w:after="300"/>
      </w:pPr>
      <w:r>
        <w:t>Prototype Review &amp;</w:t>
        <w:br/>
        <w:t>Improvement Plan</w:t>
      </w:r>
    </w:p>
    <w:p>
      <w:pPr>
        <w:spacing w:after="360"/>
      </w:pPr>
      <w:r>
        <w:rPr>
          <w:rFonts w:ascii="Aptos" w:hAnsi="Aptos"/>
          <w:color w:val="665746"/>
          <w:sz w:val="32"/>
        </w:rPr>
        <w:t>A considered evolution of the approved v3 design</w:t>
      </w:r>
    </w:p>
    <w:tbl>
      <w:tblPr>
        <w:tblW w:type="auto" w:w="0"/>
        <w:tblLayout w:type="fixed"/>
        <w:tblLook w:firstColumn="1" w:firstRow="1" w:lastColumn="0" w:lastRow="0" w:noHBand="0" w:noVBand="1" w:val="04A0"/>
      </w:tblPr>
      <w:tblGrid>
        <w:gridCol w:w="9648"/>
      </w:tblGrid>
      <w:tr>
        <w:tc>
          <w:tcPr>
            <w:tcW w:type="dxa" w:w="9994"/>
            <w:shd w:fill="C18B2D"/>
          </w:tcPr>
          <w:p>
            <w:r/>
          </w:p>
        </w:tc>
      </w:tr>
    </w:tbl>
    <w:p>
      <w:pPr>
        <w:spacing w:before="700"/>
      </w:pPr>
      <w:r>
        <w:rPr>
          <w:rFonts w:ascii="Aptos" w:hAnsi="Aptos"/>
          <w:b/>
          <w:color w:val="30251A"/>
          <w:sz w:val="24"/>
        </w:rPr>
        <w:t>Prepared by Pimofy Digital</w:t>
      </w:r>
    </w:p>
    <w:p>
      <w:r>
        <w:rPr>
          <w:rFonts w:ascii="Aptos" w:hAnsi="Aptos"/>
          <w:color w:val="665746"/>
          <w:sz w:val="18"/>
        </w:rPr>
        <w:t>Review basis: the supplied “v3 Silvia dream prototype.html”, the live Sylvia’s Dream site, and the current project handoff notes/repository.</w:t>
      </w:r>
    </w:p>
    <w:p>
      <w:pPr>
        <w:spacing w:before="400"/>
      </w:pPr>
      <w:r>
        <w:rPr>
          <w:rFonts w:ascii="Aptos" w:hAnsi="Aptos"/>
          <w:b/>
          <w:color w:val="775014"/>
          <w:sz w:val="20"/>
        </w:rPr>
        <w:t>Purpose</w:t>
      </w:r>
    </w:p>
    <w:p>
      <w:r>
        <w:t>Preserve the approved creative direction while raising clarity, mobile usability, trust, accessibility and readiness for a safe production launch. This document separates observed prototype behaviour from proposed improvements and items requiring Sylvia’s confirmation.</w:t>
      </w:r>
    </w:p>
    <w:p>
      <w:r>
        <w:br w:type="page"/>
      </w:r>
    </w:p>
    <w:p>
      <w:pPr>
        <w:pStyle w:val="Heading1"/>
      </w:pPr>
      <w:r>
        <w:t>1. Executive assessment</w:t>
      </w:r>
    </w:p>
    <w:p>
      <w:r>
        <w:t>The supplied v3 prototype is already a substantial design system, not just a homepage mock-up. It includes a warm cream-and-gold editorial identity, sticky header, hierarchical navigation, product catalogue and detail pages, search, cart, checkout demo, downloads, devotional journal, ministry and giving flows, contact, policy pages, and cross-page “Continue exploring” links. Its content model supports 25 book titles and several supporting page types.</w:t>
      </w:r>
    </w:p>
    <w:p>
      <w:r>
        <w:t>The best next step is refinement rather than a wholesale rebrand. Keep the faith-led, literary atmosphere; improve the hierarchy and repeatable components; make the mobile bottom navigation a deliberate first-class pattern; and clearly separate clickable prototype behaviours from real services that must be connected in WordPress.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775014"/>
            <w:vAlign w:val="center"/>
            <w:tcMar>
              <w:top w:w="90" w:type="dxa"/>
              <w:start w:w="110" w:type="dxa"/>
              <w:bottom w:w="90" w:type="dxa"/>
              <w:end w:w="110" w:type="dxa"/>
            </w:tcMar>
          </w:tcPr>
          <w:p>
            <w:r>
              <w:rPr>
                <w:rFonts w:ascii="Aptos" w:hAnsi="Aptos"/>
                <w:b/>
                <w:color w:val="FFFFFF"/>
                <w:sz w:val="18"/>
              </w:rPr>
              <w:t>Area</w:t>
            </w:r>
          </w:p>
        </w:tc>
        <w:tc>
          <w:tcPr>
            <w:tcW w:type="dxa" w:w="3331"/>
            <w:shd w:fill="775014"/>
            <w:vAlign w:val="center"/>
            <w:tcMar>
              <w:top w:w="90" w:type="dxa"/>
              <w:start w:w="110" w:type="dxa"/>
              <w:bottom w:w="90" w:type="dxa"/>
              <w:end w:w="110" w:type="dxa"/>
            </w:tcMar>
          </w:tcPr>
          <w:p>
            <w:r>
              <w:rPr>
                <w:rFonts w:ascii="Aptos" w:hAnsi="Aptos"/>
                <w:b/>
                <w:color w:val="FFFFFF"/>
                <w:sz w:val="18"/>
              </w:rPr>
              <w:t>Current assessment</w:t>
            </w:r>
          </w:p>
        </w:tc>
        <w:tc>
          <w:tcPr>
            <w:tcW w:type="dxa" w:w="3331"/>
            <w:shd w:fill="775014"/>
            <w:vAlign w:val="center"/>
            <w:tcMar>
              <w:top w:w="90" w:type="dxa"/>
              <w:start w:w="110" w:type="dxa"/>
              <w:bottom w:w="90" w:type="dxa"/>
              <w:end w:w="110" w:type="dxa"/>
            </w:tcMar>
          </w:tcPr>
          <w:p>
            <w:r>
              <w:rPr>
                <w:rFonts w:ascii="Aptos" w:hAnsi="Aptos"/>
                <w:b/>
                <w:color w:val="FFFFFF"/>
                <w:sz w:val="18"/>
              </w:rPr>
              <w:t>Recommendation</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Brand &amp; visual tone</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Distinctive, calm, faith-centred palette and serif display type.</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Preserve cream, deep brown and gold; refine spacing, contrast and component consistency instead of introducing a disconnected new visual identity.</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Information architecture</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Broad page coverage with nested Books, About and Ministry navigation.</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Keep the core visitor journeys clear: discover books, learn Sylvia’s story, understand the Kenya ministry, partner/give, read devotionals, contact.</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Responsive navigation</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Sticky desktop header and full-screen mobile navigation are present.</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Add a persistent, thumb-friendly five-destination mobile dock and reliable “More” access to the full menu.</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Commerce &amp; donations</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Cart, checkout and giving appear in the UI, but interactions are demo-only.</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Label demo states; connect production checkout, receipts, digital delivery and recurring giving only through approved providers and staging tests.</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Content confidence</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Prototype itself flags placeholders, price gaps and copy needing approval.</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Maintain a content approval register; don’t publish draft biography, ministry claims, cover art, prices or testimonials without written confirmation.</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Accessibility &amp; quality</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Skip link, focus styling, reduced-motion handling and labels exist.</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Audit keyboard focus, menu state, heading order, touch targets, contrast, status messages and screen-reader announcements across every route.</w:t>
            </w:r>
          </w:p>
        </w:tc>
      </w:tr>
    </w:tbl>
    <w:p>
      <w:pPr>
        <w:spacing w:after="0"/>
      </w:pPr>
    </w:p>
    <w:p>
      <w:pPr>
        <w:pStyle w:val="Heading1"/>
      </w:pPr>
      <w:r>
        <w:t>2. What should be retained from the approved v3</w:t>
      </w:r>
    </w:p>
    <w:p>
      <w:pPr>
        <w:pStyle w:val="ListBullet"/>
        <w:spacing w:after="80"/>
      </w:pPr>
      <w:r>
        <w:t>Visual identity: warm cream surfaces, deep brown body text, muted gold accents and literary serif headlines suit a Christian author and memoir-led bookshop.</w:t>
      </w:r>
    </w:p>
    <w:p>
      <w:pPr>
        <w:pStyle w:val="ListBullet"/>
        <w:spacing w:after="80"/>
      </w:pPr>
      <w:r>
        <w:t>Editorial home journey: hero statement, featured books, Sylvia introduction, Heaven on Earth feature, devotionals, author support and newsletter create a sensible narrative.</w:t>
      </w:r>
    </w:p>
    <w:p>
      <w:pPr>
        <w:pStyle w:val="ListBullet"/>
        <w:spacing w:after="80"/>
      </w:pPr>
      <w:r>
        <w:t>Book discovery: category filters, title/topic search, individual book detail pages, format labels, related books and clear path back to the catalogue.</w:t>
      </w:r>
    </w:p>
    <w:p>
      <w:pPr>
        <w:pStyle w:val="ListBullet"/>
        <w:spacing w:after="80"/>
      </w:pPr>
      <w:r>
        <w:t>Mission pathway: Heaven on Earth information and Dream Partner giving are visible as distinct journeys, not buried in the footer.</w:t>
      </w:r>
    </w:p>
    <w:p>
      <w:pPr>
        <w:pStyle w:val="ListBullet"/>
        <w:spacing w:after="80"/>
      </w:pPr>
      <w:r>
        <w:t>Cross-page links: “Continue exploring”, breadcrumbs, related stories/books and the footer help visitors keep moving through the site.</w:t>
      </w:r>
    </w:p>
    <w:p>
      <w:pPr>
        <w:pStyle w:val="ListBullet"/>
        <w:spacing w:after="80"/>
      </w:pPr>
      <w:r>
        <w:t>Stated integrity cues: explicit prototype banner, placeholder labels, draft-policy wording and no-real-payment disclaimer should stay visible in previews until replaced by production copy.</w:t>
      </w:r>
    </w:p>
    <w:p>
      <w:pPr>
        <w:pStyle w:val="Heading1"/>
      </w:pPr>
      <w:r>
        <w:t>3. Priority improvements</w:t>
      </w:r>
    </w:p>
    <w:p>
      <w:pPr>
        <w:pStyle w:val="Heading2"/>
      </w:pPr>
      <w:r>
        <w:t>3.1 Mobile navigation: make it a signature feature</w:t>
      </w:r>
    </w:p>
    <w:p>
      <w:r>
        <w:t>A persistent bottom bar should improve findability without competing with the header or obscuring page content. The refined prototype adds Home, Books, Ministry, Give and More. “More” opens the full navigation drawer, preserving access to About, Devotionals, Media, Contact, Resources and other pages.</w:t>
      </w:r>
    </w:p>
    <w:p>
      <w:pPr>
        <w:pStyle w:val="ListBullet"/>
        <w:spacing w:after="80"/>
      </w:pPr>
      <w:r>
        <w:t>Use simple consistent icons with visible labels; highlight the active section and retain a gold Give action without making all tabs equally loud.</w:t>
      </w:r>
    </w:p>
    <w:p>
      <w:pPr>
        <w:pStyle w:val="ListBullet"/>
        <w:spacing w:after="80"/>
      </w:pPr>
      <w:r>
        <w:t>Respect iOS/Android safe-area insets, keep the page content scrollable above the dock and lift the Back-to-top button/toast above it.</w:t>
      </w:r>
    </w:p>
    <w:p>
      <w:pPr>
        <w:pStyle w:val="ListBullet"/>
        <w:spacing w:after="80"/>
      </w:pPr>
      <w:r>
        <w:t>Ensure the dock appears only on narrow screens, has keyboard focus styling and accessible names, and does not cover form submit buttons or the footer’s last line.</w:t>
      </w:r>
    </w:p>
    <w:p>
      <w:pPr>
        <w:pStyle w:val="ListBullet"/>
        <w:spacing w:after="80"/>
      </w:pPr>
      <w:r>
        <w:t>Keep a single authoritative menu data model in the eventual WordPress theme so the desktop header, mobile drawer and dock do not drift apart.</w:t>
      </w:r>
    </w:p>
    <w:p>
      <w:pPr>
        <w:pStyle w:val="Heading2"/>
      </w:pPr>
      <w:r>
        <w:t>3.2 Navigation and page consistency</w:t>
      </w:r>
    </w:p>
    <w:p>
      <w:pPr>
        <w:pStyle w:val="ListBullet"/>
        <w:spacing w:after="80"/>
      </w:pPr>
      <w:r>
        <w:t>Use the same header, breadcrumb treatment, content width, section spacing, button hierarchy and footer structure across all routes.</w:t>
      </w:r>
    </w:p>
    <w:p>
      <w:pPr>
        <w:pStyle w:val="ListBullet"/>
        <w:spacing w:after="80"/>
      </w:pPr>
      <w:r>
        <w:t>Keep “Give” as a high-priority action while using a less-prominent treatment for utility actions like search and cart.</w:t>
      </w:r>
    </w:p>
    <w:p>
      <w:pPr>
        <w:pStyle w:val="ListBullet"/>
        <w:spacing w:after="80"/>
      </w:pPr>
      <w:r>
        <w:t>Make dropdowns usable by pointer, keyboard and touch; close them predictably on route changes and Escape; keep expanded states accurate.</w:t>
      </w:r>
    </w:p>
    <w:p>
      <w:pPr>
        <w:pStyle w:val="ListBullet"/>
        <w:spacing w:after="80"/>
      </w:pPr>
      <w:r>
        <w:t>Ensure every key page offers one primary next action and secondary contextual links. Do not force users to scroll back to the top to discover the next step.</w:t>
      </w:r>
    </w:p>
    <w:p>
      <w:pPr>
        <w:pStyle w:val="ListBullet"/>
        <w:spacing w:after="80"/>
      </w:pPr>
      <w:r>
        <w:t>Add a real page title and concise route-specific meta description in WordPress, not just the document title in the static prototype.</w:t>
      </w:r>
    </w:p>
    <w:p>
      <w:pPr>
        <w:pStyle w:val="Heading2"/>
      </w:pPr>
      <w:r>
        <w:t>3.3 Homepage and content hierarchy</w:t>
      </w:r>
    </w:p>
    <w:p>
      <w:pPr>
        <w:pStyle w:val="ListBullet"/>
        <w:spacing w:after="80"/>
      </w:pPr>
      <w:r>
        <w:t>Prioritise one clear hero promise and two actions: Explore the Books and Meet Sylvia. Keep the ministry connection visible, but avoid multiple competing primary CTAs.</w:t>
      </w:r>
    </w:p>
    <w:p>
      <w:pPr>
        <w:pStyle w:val="ListBullet"/>
        <w:spacing w:after="80"/>
      </w:pPr>
      <w:r>
        <w:t>Feature a small, curated selection of confirmed titles first; let All Books handle the full catalogue and filters.</w:t>
      </w:r>
    </w:p>
    <w:p>
      <w:pPr>
        <w:pStyle w:val="ListBullet"/>
        <w:spacing w:after="80"/>
      </w:pPr>
      <w:r>
        <w:t>Use Sylvia’s authentic portrait and supplied ministry photography rather than illustrative substitutes whenever the originals are available and approved.</w:t>
      </w:r>
    </w:p>
    <w:p>
      <w:pPr>
        <w:pStyle w:val="ListBullet"/>
        <w:spacing w:after="80"/>
      </w:pPr>
      <w:r>
        <w:t>Avoid unverified metrics or social proof. The prototype has placeholder and approval cues; remove those only after Sylvia approves the final wording/assets.</w:t>
      </w:r>
    </w:p>
    <w:p>
      <w:pPr>
        <w:pStyle w:val="ListBullet"/>
        <w:spacing w:after="80"/>
      </w:pPr>
      <w:r>
        <w:t>Make the Heaven on Earth explanation practical: mission, where the work happens at an appropriate level of detail, what giving supports, how updates/accountability work, and a direct partner CTA.</w:t>
      </w:r>
    </w:p>
    <w:p>
      <w:pPr>
        <w:pStyle w:val="Heading2"/>
      </w:pPr>
      <w:r>
        <w:t>3.4 Bookshop, cart and checkout</w:t>
      </w:r>
    </w:p>
    <w:p>
      <w:pPr>
        <w:pStyle w:val="ListBullet"/>
        <w:spacing w:after="80"/>
      </w:pPr>
      <w:r>
        <w:t>Confirm title identity, subtitle, edition/format, price, currency, ISBN or product identifier, cover, sales channel and product availability before setting each item live.</w:t>
      </w:r>
    </w:p>
    <w:p>
      <w:pPr>
        <w:pStyle w:val="ListBullet"/>
        <w:spacing w:after="80"/>
      </w:pPr>
      <w:r>
        <w:t>Unpriced or not-yet-approved books must not have active Add to Cart actions. Avoid silently treating missing prices as zero in totals or allowing incomplete catalogue records into checkout.</w:t>
      </w:r>
    </w:p>
    <w:p>
      <w:pPr>
        <w:pStyle w:val="ListBullet"/>
        <w:spacing w:after="80"/>
      </w:pPr>
      <w:r>
        <w:t>Add useful empty, loading, validation, success and failure states for cart, checkout, order confirmation, email resend and downloads.</w:t>
      </w:r>
    </w:p>
    <w:p>
      <w:pPr>
        <w:pStyle w:val="ListBullet"/>
        <w:spacing w:after="80"/>
      </w:pPr>
      <w:r>
        <w:t>Use accessible labels for format selectors and quantity controls; announce cart count changes via a polite status region.</w:t>
      </w:r>
    </w:p>
    <w:p>
      <w:pPr>
        <w:pStyle w:val="ListBullet"/>
        <w:spacing w:after="80"/>
      </w:pPr>
      <w:r>
        <w:t>Never display payment badges as if a provider is active unless that method is configured and tested. Prototype buttons and forms currently demonstrate behaviour only.</w:t>
      </w:r>
    </w:p>
    <w:p>
      <w:pPr>
        <w:pStyle w:val="Heading2"/>
      </w:pPr>
      <w:r>
        <w:t>3.5 Donation trust and safeguarding</w:t>
      </w:r>
    </w:p>
    <w:p>
      <w:pPr>
        <w:pStyle w:val="ListBullet"/>
        <w:spacing w:after="80"/>
      </w:pPr>
      <w:r>
        <w:t>Present giving amounts only after Sylvia/charity team reconfirms values, currency, impact statements and whether gifts are monthly or one-off.</w:t>
      </w:r>
    </w:p>
    <w:p>
      <w:pPr>
        <w:pStyle w:val="ListBullet"/>
        <w:spacing w:after="80"/>
      </w:pPr>
      <w:r>
        <w:t>Confirm the exact legal entity, registration details, tax-deductibility language, receipt issuing, fees and cancellation process before any donation claims are published.</w:t>
      </w:r>
    </w:p>
    <w:p>
      <w:pPr>
        <w:pStyle w:val="ListBullet"/>
        <w:spacing w:after="80"/>
      </w:pPr>
      <w:r>
        <w:t>Never promise a fixed share of funds reaching programmes until the percentage is verified and approved for publication.</w:t>
      </w:r>
    </w:p>
    <w:p>
      <w:pPr>
        <w:pStyle w:val="ListBullet"/>
        <w:spacing w:after="80"/>
      </w:pPr>
      <w:r>
        <w:t>Publish a plain-language explanation of where funds go, how updates are shared and how a monthly partner can change or stop a gift.</w:t>
      </w:r>
    </w:p>
    <w:p>
      <w:pPr>
        <w:pStyle w:val="ListBullet"/>
        <w:spacing w:after="80"/>
      </w:pPr>
      <w:r>
        <w:t>Use real, consent-cleared imagery and avoid publishing identifiable children’s information without documented safeguarding/consent approval.</w:t>
      </w:r>
    </w:p>
    <w:p>
      <w:pPr>
        <w:pStyle w:val="Heading2"/>
      </w:pPr>
      <w:r>
        <w:t>3.6 Contact, newsletter and downloads</w:t>
      </w:r>
    </w:p>
    <w:p>
      <w:pPr>
        <w:pStyle w:val="ListBullet"/>
        <w:spacing w:after="80"/>
      </w:pPr>
      <w:r>
        <w:t>Connect Contact and newsletter forms to approved WordPress/Jetpack or other agreed services; include consent language and privacy links where appropriate.</w:t>
      </w:r>
    </w:p>
    <w:p>
      <w:pPr>
        <w:pStyle w:val="ListBullet"/>
        <w:spacing w:after="80"/>
      </w:pPr>
      <w:r>
        <w:t>Use server-side validation, spam protection, accessible errors, clear confirmation and a mail-delivery check; browser-only success messages are not successful submissions.</w:t>
      </w:r>
    </w:p>
    <w:p>
      <w:pPr>
        <w:pStyle w:val="ListBullet"/>
        <w:spacing w:after="80"/>
      </w:pPr>
      <w:r>
        <w:t>Download recovery must verify an order server-side and issue time-limited, order-bound links. Never reveal whether arbitrary emails have purchased, and never expose direct private file URLs.</w:t>
      </w:r>
    </w:p>
    <w:p>
      <w:pPr>
        <w:pStyle w:val="ListBullet"/>
        <w:spacing w:after="80"/>
      </w:pPr>
      <w:r>
        <w:t>Only offer free downloads after Sylvia approves each asset and its conditions. Keep “pending approval” items out of the live navigation/catalogue when appropriate.</w:t>
      </w:r>
    </w:p>
    <w:p>
      <w:pPr>
        <w:pStyle w:val="Heading1"/>
      </w:pPr>
      <w:r>
        <w:t>4. Prototype findings and implementation notes</w:t>
      </w:r>
    </w:p>
    <w:p>
      <w:r>
        <w:t>The HTML file is a single-page, hash-routed prototype with reusable page-rendering functions and shared styles. This is useful for quick design review and navigation testing, but it is not a production commerce backend. The prototype uses local browser storage for its cart and simulates checkout/form responses in JavaScript. Payments, recurring gifts, email delivery, newsletter subscriptions, secure downloads and message delivery are not actually integrated by those client-side interactions.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775014"/>
            <w:vAlign w:val="center"/>
            <w:tcMar>
              <w:top w:w="90" w:type="dxa"/>
              <w:start w:w="110" w:type="dxa"/>
              <w:bottom w:w="90" w:type="dxa"/>
              <w:end w:w="110" w:type="dxa"/>
            </w:tcMar>
          </w:tcPr>
          <w:p>
            <w:r>
              <w:rPr>
                <w:rFonts w:ascii="Aptos" w:hAnsi="Aptos"/>
                <w:b/>
                <w:color w:val="FFFFFF"/>
                <w:sz w:val="18"/>
              </w:rPr>
              <w:t>Finding in supplied prototype</w:t>
            </w:r>
          </w:p>
        </w:tc>
        <w:tc>
          <w:tcPr>
            <w:tcW w:type="dxa" w:w="3331"/>
            <w:shd w:fill="775014"/>
            <w:vAlign w:val="center"/>
            <w:tcMar>
              <w:top w:w="90" w:type="dxa"/>
              <w:start w:w="110" w:type="dxa"/>
              <w:bottom w:w="90" w:type="dxa"/>
              <w:end w:w="110" w:type="dxa"/>
            </w:tcMar>
          </w:tcPr>
          <w:p>
            <w:r>
              <w:rPr>
                <w:rFonts w:ascii="Aptos" w:hAnsi="Aptos"/>
                <w:b/>
                <w:color w:val="FFFFFF"/>
                <w:sz w:val="18"/>
              </w:rPr>
              <w:t>Why it matters</w:t>
            </w:r>
          </w:p>
        </w:tc>
        <w:tc>
          <w:tcPr>
            <w:tcW w:type="dxa" w:w="3331"/>
            <w:shd w:fill="775014"/>
            <w:vAlign w:val="center"/>
            <w:tcMar>
              <w:top w:w="90" w:type="dxa"/>
              <w:start w:w="110" w:type="dxa"/>
              <w:bottom w:w="90" w:type="dxa"/>
              <w:end w:w="110" w:type="dxa"/>
            </w:tcMar>
          </w:tcPr>
          <w:p>
            <w:r>
              <w:rPr>
                <w:rFonts w:ascii="Aptos" w:hAnsi="Aptos"/>
                <w:b/>
                <w:color w:val="FFFFFF"/>
                <w:sz w:val="18"/>
              </w:rPr>
              <w:t>Action</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Prototype banner says no real payments are taken.</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Correct expectation-setting and must not be lost.</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Keep the banner for reviewer builds; replace with appropriate production notices only after launch integrations are verified.</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Book records can have price:null or “to confirm”.</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Catalogue completeness affects trust and checkout correctness.</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Disable purchase for unconfirmed products and prevent invalid totals; approve price/format details in the content register.</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Checkout submit is client-side and stores a local cart snapshot.</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This is not proof of payment and is not secure order handling.</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Implement provider-backed checkout, webhook verification, order records, confirmation emails and secure download entitlements.</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Contact/newsletter forms show local success messages.</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Messages are not delivered to Sylvia by prototype code.</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Connect real form services and test mail delivery, spam controls, data retention and consent.</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Book filters and search operate on prototype data.</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Good demo; production needs a maintainable source of truth.</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Map the approved catalogue to WooCommerce/WordPress taxonomy and server-rendered search/filter functionality.</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Several destinations and assets are explicitly placeholders.</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Invented or unrelated links undermine credibility.</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Use only verified official URLs, approved portraits/covers, actual video IDs and real testimonials with consent.</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Shared footer contains payment/social elements and Australia-only location wording.</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Those details become promises when published.</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Confirm accepted payment methods and official social URLs; retain only the approved geographic disclosure.</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There is a detailed in-prototype “For Sylvia’s review” route.</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Useful review trail but potentially not intended for public visitors.</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Make reviewer-only notes private or remove them from the public menu/build before production.</w:t>
            </w:r>
          </w:p>
        </w:tc>
      </w:tr>
    </w:tbl>
    <w:p>
      <w:pPr>
        <w:spacing w:after="0"/>
      </w:pPr>
    </w:p>
    <w:p>
      <w:pPr>
        <w:pStyle w:val="Heading1"/>
      </w:pPr>
      <w:r>
        <w:t>5. Recommended sitemap and visitor journeys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775014"/>
            <w:vAlign w:val="center"/>
            <w:tcMar>
              <w:top w:w="90" w:type="dxa"/>
              <w:start w:w="110" w:type="dxa"/>
              <w:bottom w:w="90" w:type="dxa"/>
              <w:end w:w="110" w:type="dxa"/>
            </w:tcMar>
          </w:tcPr>
          <w:p>
            <w:r>
              <w:rPr>
                <w:rFonts w:ascii="Aptos" w:hAnsi="Aptos"/>
                <w:b/>
                <w:color w:val="FFFFFF"/>
                <w:sz w:val="18"/>
              </w:rPr>
              <w:t>Journey</w:t>
            </w:r>
          </w:p>
        </w:tc>
        <w:tc>
          <w:tcPr>
            <w:tcW w:type="dxa" w:w="3331"/>
            <w:shd w:fill="775014"/>
            <w:vAlign w:val="center"/>
            <w:tcMar>
              <w:top w:w="90" w:type="dxa"/>
              <w:start w:w="110" w:type="dxa"/>
              <w:bottom w:w="90" w:type="dxa"/>
              <w:end w:w="110" w:type="dxa"/>
            </w:tcMar>
          </w:tcPr>
          <w:p>
            <w:r>
              <w:rPr>
                <w:rFonts w:ascii="Aptos" w:hAnsi="Aptos"/>
                <w:b/>
                <w:color w:val="FFFFFF"/>
                <w:sz w:val="18"/>
              </w:rPr>
              <w:t>Suggested route</w:t>
            </w:r>
          </w:p>
        </w:tc>
        <w:tc>
          <w:tcPr>
            <w:tcW w:type="dxa" w:w="3331"/>
            <w:shd w:fill="775014"/>
            <w:vAlign w:val="center"/>
            <w:tcMar>
              <w:top w:w="90" w:type="dxa"/>
              <w:start w:w="110" w:type="dxa"/>
              <w:bottom w:w="90" w:type="dxa"/>
              <w:end w:w="110" w:type="dxa"/>
            </w:tcMar>
          </w:tcPr>
          <w:p>
            <w:r>
              <w:rPr>
                <w:rFonts w:ascii="Aptos" w:hAnsi="Aptos"/>
                <w:b/>
                <w:color w:val="FFFFFF"/>
                <w:sz w:val="18"/>
              </w:rPr>
              <w:t>Primary action</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First-time visitor</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Home → About Sylvia → Books</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Explore a relevant title</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Book buyer</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Books → Book detail → Cart → Checkout → Secure delivery</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Purchase approved edition</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Reader needing help</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Downloads → Email verification → New secure link / Contact</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Recover access safely</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Potential ministry partner</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Home / Ministry → Heaven on Earth → Give</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Understand the work and choose an approved giving method</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Devotional reader</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Home → Devotionals → Reflection → Related book / Subscribe</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Read and optionally subscribe</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Church / event organiser</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About / Media → Speaking → Contact form</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Submit an invitation</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Writer seeking guidance</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Home → Author Support → Contact</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Ask about publishing guidance</w:t>
            </w:r>
          </w:p>
        </w:tc>
      </w:tr>
    </w:tbl>
    <w:p>
      <w:pPr>
        <w:spacing w:after="0"/>
      </w:pPr>
    </w:p>
    <w:p>
      <w:pPr>
        <w:pStyle w:val="Heading1"/>
      </w:pPr>
      <w:r>
        <w:t>6. Visual design system recommendations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775014"/>
            <w:vAlign w:val="center"/>
            <w:tcMar>
              <w:top w:w="90" w:type="dxa"/>
              <w:start w:w="110" w:type="dxa"/>
              <w:bottom w:w="90" w:type="dxa"/>
              <w:end w:w="110" w:type="dxa"/>
            </w:tcMar>
          </w:tcPr>
          <w:p>
            <w:r>
              <w:rPr>
                <w:rFonts w:ascii="Aptos" w:hAnsi="Aptos"/>
                <w:b/>
                <w:color w:val="FFFFFF"/>
                <w:sz w:val="18"/>
              </w:rPr>
              <w:t>Token/component</w:t>
            </w:r>
          </w:p>
        </w:tc>
        <w:tc>
          <w:tcPr>
            <w:tcW w:type="dxa" w:w="4997"/>
            <w:shd w:fill="775014"/>
            <w:vAlign w:val="center"/>
            <w:tcMar>
              <w:top w:w="90" w:type="dxa"/>
              <w:start w:w="110" w:type="dxa"/>
              <w:bottom w:w="90" w:type="dxa"/>
              <w:end w:w="110" w:type="dxa"/>
            </w:tcMar>
          </w:tcPr>
          <w:p>
            <w:r>
              <w:rPr>
                <w:rFonts w:ascii="Aptos" w:hAnsi="Aptos"/>
                <w:b/>
                <w:color w:val="FFFFFF"/>
                <w:sz w:val="18"/>
              </w:rPr>
              <w:t>Recommendation</w:t>
            </w:r>
          </w:p>
        </w:tc>
      </w:tr>
      <w:tr>
        <w:tc>
          <w:tcPr>
            <w:tcW w:type="dxa" w:w="4997"/>
            <w:vAlign w:val="center"/>
            <w:tcMar>
              <w:top w:w="90" w:type="dxa"/>
              <w:start w:w="110" w:type="dxa"/>
              <w:bottom w:w="90" w:type="dxa"/>
              <w:end w:w="110" w:type="dxa"/>
            </w:tcMar>
            <w:shd w:fill="FBF7EF"/>
          </w:tcPr>
          <w:p>
            <w:pPr>
              <w:spacing w:after="20" w:before="20"/>
            </w:pPr>
            <w:r>
              <w:rPr>
                <w:rFonts w:ascii="Aptos" w:hAnsi="Aptos"/>
                <w:color w:val="30251A"/>
                <w:sz w:val="17"/>
              </w:rPr>
              <w:t>Colour</w:t>
            </w:r>
          </w:p>
        </w:tc>
        <w:tc>
          <w:tcPr>
            <w:tcW w:type="dxa" w:w="4997"/>
            <w:vAlign w:val="center"/>
            <w:tcMar>
              <w:top w:w="90" w:type="dxa"/>
              <w:start w:w="110" w:type="dxa"/>
              <w:bottom w:w="90" w:type="dxa"/>
              <w:end w:w="110" w:type="dxa"/>
            </w:tcMar>
            <w:shd w:fill="FBF7EF"/>
          </w:tcPr>
          <w:p>
            <w:pPr>
              <w:spacing w:after="20" w:before="20"/>
            </w:pPr>
            <w:r>
              <w:rPr>
                <w:rFonts w:ascii="Aptos" w:hAnsi="Aptos"/>
                <w:color w:val="30251A"/>
                <w:sz w:val="17"/>
              </w:rPr>
              <w:t>Use a restrained palette: deep brown for text, cream/ivory backgrounds, warm gold for primary actions, muted green for success states and red only for errors. Check text contrast for all text sizes.</w:t>
            </w:r>
          </w:p>
        </w:tc>
      </w:tr>
      <w:tr>
        <w:tc>
          <w:tcPr>
            <w:tcW w:type="dxa" w:w="4997"/>
            <w:vAlign w:val="center"/>
            <w:tcMar>
              <w:top w:w="90" w:type="dxa"/>
              <w:start w:w="110" w:type="dxa"/>
              <w:bottom w:w="90" w:type="dxa"/>
              <w:end w:w="110" w:type="dxa"/>
            </w:tcMar>
          </w:tcPr>
          <w:p>
            <w:pPr>
              <w:spacing w:after="20" w:before="20"/>
            </w:pPr>
            <w:r>
              <w:rPr>
                <w:rFonts w:ascii="Aptos" w:hAnsi="Aptos"/>
                <w:color w:val="30251A"/>
                <w:sz w:val="17"/>
              </w:rPr>
              <w:t>Typography</w:t>
            </w:r>
          </w:p>
        </w:tc>
        <w:tc>
          <w:tcPr>
            <w:tcW w:type="dxa" w:w="4997"/>
            <w:vAlign w:val="center"/>
            <w:tcMar>
              <w:top w:w="90" w:type="dxa"/>
              <w:start w:w="110" w:type="dxa"/>
              <w:bottom w:w="90" w:type="dxa"/>
              <w:end w:w="110" w:type="dxa"/>
            </w:tcMar>
          </w:tcPr>
          <w:p>
            <w:pPr>
              <w:spacing w:after="20" w:before="20"/>
            </w:pPr>
            <w:r>
              <w:rPr>
                <w:rFonts w:ascii="Aptos" w:hAnsi="Aptos"/>
                <w:color w:val="30251A"/>
                <w:sz w:val="17"/>
              </w:rPr>
              <w:t>Use the existing editorial serif for major headings and a clean sans-serif for UI/body. Avoid overlong text lines; target roughly 60–75 characters for article paragraphs.</w:t>
            </w:r>
          </w:p>
        </w:tc>
      </w:tr>
      <w:tr>
        <w:tc>
          <w:tcPr>
            <w:tcW w:type="dxa" w:w="4997"/>
            <w:vAlign w:val="center"/>
            <w:tcMar>
              <w:top w:w="90" w:type="dxa"/>
              <w:start w:w="110" w:type="dxa"/>
              <w:bottom w:w="90" w:type="dxa"/>
              <w:end w:w="110" w:type="dxa"/>
            </w:tcMar>
            <w:shd w:fill="FBF7EF"/>
          </w:tcPr>
          <w:p>
            <w:pPr>
              <w:spacing w:after="20" w:before="20"/>
            </w:pPr>
            <w:r>
              <w:rPr>
                <w:rFonts w:ascii="Aptos" w:hAnsi="Aptos"/>
                <w:color w:val="30251A"/>
                <w:sz w:val="17"/>
              </w:rPr>
              <w:t>Spacing</w:t>
            </w:r>
          </w:p>
        </w:tc>
        <w:tc>
          <w:tcPr>
            <w:tcW w:type="dxa" w:w="4997"/>
            <w:vAlign w:val="center"/>
            <w:tcMar>
              <w:top w:w="90" w:type="dxa"/>
              <w:start w:w="110" w:type="dxa"/>
              <w:bottom w:w="90" w:type="dxa"/>
              <w:end w:w="110" w:type="dxa"/>
            </w:tcMar>
            <w:shd w:fill="FBF7EF"/>
          </w:tcPr>
          <w:p>
            <w:pPr>
              <w:spacing w:after="20" w:before="20"/>
            </w:pPr>
            <w:r>
              <w:rPr>
                <w:rFonts w:ascii="Aptos" w:hAnsi="Aptos"/>
                <w:color w:val="30251A"/>
                <w:sz w:val="17"/>
              </w:rPr>
              <w:t>Adopt a consistent spacing scale and predictable section padding. Reduce random inline overrides as pages transition from static prototype to theme patterns.</w:t>
            </w:r>
          </w:p>
        </w:tc>
      </w:tr>
      <w:tr>
        <w:tc>
          <w:tcPr>
            <w:tcW w:type="dxa" w:w="4997"/>
            <w:vAlign w:val="center"/>
            <w:tcMar>
              <w:top w:w="90" w:type="dxa"/>
              <w:start w:w="110" w:type="dxa"/>
              <w:bottom w:w="90" w:type="dxa"/>
              <w:end w:w="110" w:type="dxa"/>
            </w:tcMar>
          </w:tcPr>
          <w:p>
            <w:pPr>
              <w:spacing w:after="20" w:before="20"/>
            </w:pPr>
            <w:r>
              <w:rPr>
                <w:rFonts w:ascii="Aptos" w:hAnsi="Aptos"/>
                <w:color w:val="30251A"/>
                <w:sz w:val="17"/>
              </w:rPr>
              <w:t>Cards</w:t>
            </w:r>
          </w:p>
        </w:tc>
        <w:tc>
          <w:tcPr>
            <w:tcW w:type="dxa" w:w="4997"/>
            <w:vAlign w:val="center"/>
            <w:tcMar>
              <w:top w:w="90" w:type="dxa"/>
              <w:start w:w="110" w:type="dxa"/>
              <w:bottom w:w="90" w:type="dxa"/>
              <w:end w:w="110" w:type="dxa"/>
            </w:tcMar>
          </w:tcPr>
          <w:p>
            <w:pPr>
              <w:spacing w:after="20" w:before="20"/>
            </w:pPr>
            <w:r>
              <w:rPr>
                <w:rFonts w:ascii="Aptos" w:hAnsi="Aptos"/>
                <w:color w:val="30251A"/>
                <w:sz w:val="17"/>
              </w:rPr>
              <w:t>Keep cards for distinct actions or content groups only; reduce decoration where plain section structure is clearer. Use consistent radius, border and hover behaviour.</w:t>
            </w:r>
          </w:p>
        </w:tc>
      </w:tr>
      <w:tr>
        <w:tc>
          <w:tcPr>
            <w:tcW w:type="dxa" w:w="4997"/>
            <w:vAlign w:val="center"/>
            <w:tcMar>
              <w:top w:w="90" w:type="dxa"/>
              <w:start w:w="110" w:type="dxa"/>
              <w:bottom w:w="90" w:type="dxa"/>
              <w:end w:w="110" w:type="dxa"/>
            </w:tcMar>
            <w:shd w:fill="FBF7EF"/>
          </w:tcPr>
          <w:p>
            <w:pPr>
              <w:spacing w:after="20" w:before="20"/>
            </w:pPr>
            <w:r>
              <w:rPr>
                <w:rFonts w:ascii="Aptos" w:hAnsi="Aptos"/>
                <w:color w:val="30251A"/>
                <w:sz w:val="17"/>
              </w:rPr>
              <w:t>Buttons</w:t>
            </w:r>
          </w:p>
        </w:tc>
        <w:tc>
          <w:tcPr>
            <w:tcW w:type="dxa" w:w="4997"/>
            <w:vAlign w:val="center"/>
            <w:tcMar>
              <w:top w:w="90" w:type="dxa"/>
              <w:start w:w="110" w:type="dxa"/>
              <w:bottom w:w="90" w:type="dxa"/>
              <w:end w:w="110" w:type="dxa"/>
            </w:tcMar>
            <w:shd w:fill="FBF7EF"/>
          </w:tcPr>
          <w:p>
            <w:pPr>
              <w:spacing w:after="20" w:before="20"/>
            </w:pPr>
            <w:r>
              <w:rPr>
                <w:rFonts w:ascii="Aptos" w:hAnsi="Aptos"/>
                <w:color w:val="30251A"/>
                <w:sz w:val="17"/>
              </w:rPr>
              <w:t>One filled primary action per context, outlined secondary action, clear disabled states. All controls should have visible focus, minimum practical touch size and descriptive names.</w:t>
            </w:r>
          </w:p>
        </w:tc>
      </w:tr>
      <w:tr>
        <w:tc>
          <w:tcPr>
            <w:tcW w:type="dxa" w:w="4997"/>
            <w:vAlign w:val="center"/>
            <w:tcMar>
              <w:top w:w="90" w:type="dxa"/>
              <w:start w:w="110" w:type="dxa"/>
              <w:bottom w:w="90" w:type="dxa"/>
              <w:end w:w="110" w:type="dxa"/>
            </w:tcMar>
          </w:tcPr>
          <w:p>
            <w:pPr>
              <w:spacing w:after="20" w:before="20"/>
            </w:pPr>
            <w:r>
              <w:rPr>
                <w:rFonts w:ascii="Aptos" w:hAnsi="Aptos"/>
                <w:color w:val="30251A"/>
                <w:sz w:val="17"/>
              </w:rPr>
              <w:t>Images</w:t>
            </w:r>
          </w:p>
        </w:tc>
        <w:tc>
          <w:tcPr>
            <w:tcW w:type="dxa" w:w="4997"/>
            <w:vAlign w:val="center"/>
            <w:tcMar>
              <w:top w:w="90" w:type="dxa"/>
              <w:start w:w="110" w:type="dxa"/>
              <w:bottom w:w="90" w:type="dxa"/>
              <w:end w:w="110" w:type="dxa"/>
            </w:tcMar>
          </w:tcPr>
          <w:p>
            <w:pPr>
              <w:spacing w:after="20" w:before="20"/>
            </w:pPr>
            <w:r>
              <w:rPr>
                <w:rFonts w:ascii="Aptos" w:hAnsi="Aptos"/>
                <w:color w:val="30251A"/>
                <w:sz w:val="17"/>
              </w:rPr>
              <w:t>Compress appropriately, prefer WebP/AVIF with fallbacks where appropriate, reserve dimensions to avoid layout shift, lazy-load below the fold and use specific alt text.</w:t>
            </w:r>
          </w:p>
        </w:tc>
      </w:tr>
      <w:tr>
        <w:tc>
          <w:tcPr>
            <w:tcW w:type="dxa" w:w="4997"/>
            <w:vAlign w:val="center"/>
            <w:tcMar>
              <w:top w:w="90" w:type="dxa"/>
              <w:start w:w="110" w:type="dxa"/>
              <w:bottom w:w="90" w:type="dxa"/>
              <w:end w:w="110" w:type="dxa"/>
            </w:tcMar>
            <w:shd w:fill="FBF7EF"/>
          </w:tcPr>
          <w:p>
            <w:pPr>
              <w:spacing w:after="20" w:before="20"/>
            </w:pPr>
            <w:r>
              <w:rPr>
                <w:rFonts w:ascii="Aptos" w:hAnsi="Aptos"/>
                <w:color w:val="30251A"/>
                <w:sz w:val="17"/>
              </w:rPr>
              <w:t>Motion</w:t>
            </w:r>
          </w:p>
        </w:tc>
        <w:tc>
          <w:tcPr>
            <w:tcW w:type="dxa" w:w="4997"/>
            <w:vAlign w:val="center"/>
            <w:tcMar>
              <w:top w:w="90" w:type="dxa"/>
              <w:start w:w="110" w:type="dxa"/>
              <w:bottom w:w="90" w:type="dxa"/>
              <w:end w:w="110" w:type="dxa"/>
            </w:tcMar>
            <w:shd w:fill="FBF7EF"/>
          </w:tcPr>
          <w:p>
            <w:pPr>
              <w:spacing w:after="20" w:before="20"/>
            </w:pPr>
            <w:r>
              <w:rPr>
                <w:rFonts w:ascii="Aptos" w:hAnsi="Aptos"/>
                <w:color w:val="30251A"/>
                <w:sz w:val="17"/>
              </w:rPr>
              <w:t>Restrained hover/reveal effects; honour prefers-reduced-motion; do not depend on animation to reveal essential information.</w:t>
            </w:r>
          </w:p>
        </w:tc>
      </w:tr>
    </w:tbl>
    <w:p>
      <w:pPr>
        <w:spacing w:after="0"/>
      </w:pPr>
    </w:p>
    <w:p>
      <w:pPr>
        <w:pStyle w:val="Heading1"/>
      </w:pPr>
      <w:r>
        <w:t>7. Accessibility, performance and SEO acceptance criteria</w:t>
      </w:r>
    </w:p>
    <w:p>
      <w:pPr>
        <w:pStyle w:val="ListBullet"/>
        <w:spacing w:after="80"/>
      </w:pPr>
      <w:r>
        <w:t>Keyboard: every navigation item, dropdown, modal/search control, filter, form, quantity control and CTA is usable without a mouse; Escape dismisses overlays; focus remains logical.</w:t>
      </w:r>
    </w:p>
    <w:p>
      <w:pPr>
        <w:pStyle w:val="ListBullet"/>
        <w:spacing w:after="80"/>
      </w:pPr>
      <w:r>
        <w:t>Screen readers: semantic landmarks, one meaningful H1 per route, visible labels, appropriate aria-expanded/current states, useful alt text and status announcements for cart/form events.</w:t>
      </w:r>
    </w:p>
    <w:p>
      <w:pPr>
        <w:pStyle w:val="ListBullet"/>
        <w:spacing w:after="80"/>
      </w:pPr>
      <w:r>
        <w:t>Mobile: test at 320, 360, 390 and 430 CSS pixels, plus tablet and desktop. Test long headings, browser zoom, landscape orientation, keyboard, and safe-area bottom spacing.</w:t>
      </w:r>
    </w:p>
    <w:p>
      <w:pPr>
        <w:pStyle w:val="ListBullet"/>
        <w:spacing w:after="80"/>
      </w:pPr>
      <w:r>
        <w:t>Performance: aim for fast perceived loading; ship a small CSS/JS footprint, optimise the hero and book covers, lazy-load lower-page images, avoid blocking embeds and measure real Core Web Vitals on staging.</w:t>
      </w:r>
    </w:p>
    <w:p>
      <w:pPr>
        <w:pStyle w:val="ListBullet"/>
        <w:spacing w:after="80"/>
      </w:pPr>
      <w:r>
        <w:t>SEO: unique title and meta description for every public route; canonical URLs; XML sitemap; clean redirects from current URL structures; descriptive internal links; breadcrumbs where appropriate.</w:t>
      </w:r>
    </w:p>
    <w:p>
      <w:pPr>
        <w:pStyle w:val="ListBullet"/>
        <w:spacing w:after="80"/>
      </w:pPr>
      <w:r>
        <w:t>Structured data: use accurate Person/Organization, Book/Product, Article/BlogPosting, BreadcrumbList and appropriate charity/entity data only when the information is confirmed and eligible. Keep structured data aligned with visible page content.</w:t>
      </w:r>
    </w:p>
    <w:p>
      <w:pPr>
        <w:pStyle w:val="ListBullet"/>
        <w:spacing w:after="80"/>
      </w:pPr>
      <w:r>
        <w:t>Content quality: one clear page intent and topic; useful human-readable copy; avoid keyword stuffing and claims that cannot be substantiated. Search features and generative answers should be supported by clear, consistent facts rather than schema alone.</w:t>
      </w:r>
    </w:p>
    <w:p>
      <w:pPr>
        <w:pStyle w:val="ListBullet"/>
        <w:spacing w:after="80"/>
      </w:pPr>
      <w:r>
        <w:t>Security/privacy: HTTPS; server-side validation and sanitisation; nonce/capability checks where relevant; no secrets in client code; least-privilege access; privacy and retention review; tested backups and recovery.</w:t>
      </w:r>
    </w:p>
    <w:p>
      <w:pPr>
        <w:pStyle w:val="Heading1"/>
      </w:pPr>
      <w:r>
        <w:t>8. Recommended delivery plan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775014"/>
            <w:vAlign w:val="center"/>
            <w:tcMar>
              <w:top w:w="90" w:type="dxa"/>
              <w:start w:w="110" w:type="dxa"/>
              <w:bottom w:w="90" w:type="dxa"/>
              <w:end w:w="110" w:type="dxa"/>
            </w:tcMar>
          </w:tcPr>
          <w:p>
            <w:r>
              <w:rPr>
                <w:rFonts w:ascii="Aptos" w:hAnsi="Aptos"/>
                <w:b/>
                <w:color w:val="FFFFFF"/>
                <w:sz w:val="18"/>
              </w:rPr>
              <w:t>Phase</w:t>
            </w:r>
          </w:p>
        </w:tc>
        <w:tc>
          <w:tcPr>
            <w:tcW w:type="dxa" w:w="3331"/>
            <w:shd w:fill="775014"/>
            <w:vAlign w:val="center"/>
            <w:tcMar>
              <w:top w:w="90" w:type="dxa"/>
              <w:start w:w="110" w:type="dxa"/>
              <w:bottom w:w="90" w:type="dxa"/>
              <w:end w:w="110" w:type="dxa"/>
            </w:tcMar>
          </w:tcPr>
          <w:p>
            <w:r>
              <w:rPr>
                <w:rFonts w:ascii="Aptos" w:hAnsi="Aptos"/>
                <w:b/>
                <w:color w:val="FFFFFF"/>
                <w:sz w:val="18"/>
              </w:rPr>
              <w:t>Work</w:t>
            </w:r>
          </w:p>
        </w:tc>
        <w:tc>
          <w:tcPr>
            <w:tcW w:type="dxa" w:w="3331"/>
            <w:shd w:fill="775014"/>
            <w:vAlign w:val="center"/>
            <w:tcMar>
              <w:top w:w="90" w:type="dxa"/>
              <w:start w:w="110" w:type="dxa"/>
              <w:bottom w:w="90" w:type="dxa"/>
              <w:end w:w="110" w:type="dxa"/>
            </w:tcMar>
          </w:tcPr>
          <w:p>
            <w:r>
              <w:rPr>
                <w:rFonts w:ascii="Aptos" w:hAnsi="Aptos"/>
                <w:b/>
                <w:color w:val="FFFFFF"/>
                <w:sz w:val="18"/>
              </w:rPr>
              <w:t>Exit condition</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1. Design refinement</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Responsive visual QA, mobile dock, route/accessibility fixes, shared components.</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Silvia can review all intended routes on phone and desktop; agreed direction is documented.</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2. Content verification</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Books, covers, prices, formats, biography, ministry wording, photos, social/video links and policy text.</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No “to confirm” production content; all approvals recorded.</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3. WordPress implementation</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Theme patterns/templates, editable content, WooCommerce catalogue, menus, forms, newsletter and SEO settings.</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Sylvia can edit page content through agreed WordPress editing experience; no content hard-coded unnecessarily.</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4. Integration on staging</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Payments, giving, order confirmations, secure downloads, form delivery, analytics consent/settings.</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Successful test transactions and test messages in a safe test environment; no live charge during testing.</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5. Quality gate</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Accessibility, browser/device, performance, SEO schema, redirects, security and backup checks.</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QA checklist passes; critical issues closed; rollback path documented.</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6. Preview and launch</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Sylvia approval, production backup, deployment window, smoke test, redirects and monitoring.</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Written sign-off; smoke tests pass; launch issues tracked and reversible.</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7. Handover</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Editing guide, product management guide, order/download support, integrations and restore notes.</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Sylvia knows how to update pages and books; credentials stored securely outside the code repository.</w:t>
            </w:r>
          </w:p>
        </w:tc>
      </w:tr>
    </w:tbl>
    <w:p>
      <w:pPr>
        <w:spacing w:after="0"/>
      </w:pPr>
    </w:p>
    <w:p>
      <w:pPr>
        <w:pStyle w:val="Heading1"/>
      </w:pPr>
      <w:r>
        <w:t>9. Pre-launch content approval register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775014"/>
            <w:vAlign w:val="center"/>
            <w:tcMar>
              <w:top w:w="90" w:type="dxa"/>
              <w:start w:w="110" w:type="dxa"/>
              <w:bottom w:w="90" w:type="dxa"/>
              <w:end w:w="110" w:type="dxa"/>
            </w:tcMar>
          </w:tcPr>
          <w:p>
            <w:r>
              <w:rPr>
                <w:rFonts w:ascii="Aptos" w:hAnsi="Aptos"/>
                <w:b/>
                <w:color w:val="FFFFFF"/>
                <w:sz w:val="18"/>
              </w:rPr>
              <w:t>Item</w:t>
            </w:r>
          </w:p>
        </w:tc>
        <w:tc>
          <w:tcPr>
            <w:tcW w:type="dxa" w:w="3331"/>
            <w:shd w:fill="775014"/>
            <w:vAlign w:val="center"/>
            <w:tcMar>
              <w:top w:w="90" w:type="dxa"/>
              <w:start w:w="110" w:type="dxa"/>
              <w:bottom w:w="90" w:type="dxa"/>
              <w:end w:w="110" w:type="dxa"/>
            </w:tcMar>
          </w:tcPr>
          <w:p>
            <w:r>
              <w:rPr>
                <w:rFonts w:ascii="Aptos" w:hAnsi="Aptos"/>
                <w:b/>
                <w:color w:val="FFFFFF"/>
                <w:sz w:val="18"/>
              </w:rPr>
              <w:t>Required confirmation</w:t>
            </w:r>
          </w:p>
        </w:tc>
        <w:tc>
          <w:tcPr>
            <w:tcW w:type="dxa" w:w="3331"/>
            <w:shd w:fill="775014"/>
            <w:vAlign w:val="center"/>
            <w:tcMar>
              <w:top w:w="90" w:type="dxa"/>
              <w:start w:w="110" w:type="dxa"/>
              <w:bottom w:w="90" w:type="dxa"/>
              <w:end w:w="110" w:type="dxa"/>
            </w:tcMar>
          </w:tcPr>
          <w:p>
            <w:r>
              <w:rPr>
                <w:rFonts w:ascii="Aptos" w:hAnsi="Aptos"/>
                <w:b/>
                <w:color w:val="FFFFFF"/>
                <w:sz w:val="18"/>
              </w:rPr>
              <w:t>Launch status</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Book catalogue</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One title per distinct product; titles/subtitles, descriptions, formats, prices, availability, covers, Amazon links.</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Pending / confirm item-by-item</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Sylvia’s portrait and profile</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Approved portrait, final biography, age/timeline phrasing, mission history and current role wording.</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Pending written approval</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Heaven on Earth</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Approved legal name, registration details, location wording, giving uses, reporting cadence and accountability wording.</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Pending written approval</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Giving levels</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Currency, amounts, impact language, monthly/one-off options, provider, fees, receipts, tax language and cancellation.</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Pending verification</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Free resources</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Which file(s) may be offered, permission, format, email gate and terms.</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Keep disabled until approved</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Testimonials/reviews</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Exact text, source, attribution, consent and any required disclosure.</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Do not publish placeholders</w:t>
            </w:r>
          </w:p>
        </w:tc>
      </w:tr>
      <w:tr>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Policies</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Privacy/data controller, processors, cookies/analytics, sale terms, refund policy, download access rules.</w:t>
            </w:r>
          </w:p>
        </w:tc>
        <w:tc>
          <w:tcPr>
            <w:tcW w:type="dxa" w:w="3331"/>
            <w:vAlign w:val="center"/>
            <w:tcMar>
              <w:top w:w="90" w:type="dxa"/>
              <w:start w:w="110" w:type="dxa"/>
              <w:bottom w:w="90" w:type="dxa"/>
              <w:end w:w="110" w:type="dxa"/>
            </w:tcMar>
            <w:shd w:fill="FBF7EF"/>
          </w:tcPr>
          <w:p>
            <w:pPr>
              <w:spacing w:after="20" w:before="20"/>
            </w:pPr>
            <w:r>
              <w:rPr>
                <w:rFonts w:ascii="Aptos" w:hAnsi="Aptos"/>
                <w:color w:val="30251A"/>
                <w:sz w:val="17"/>
              </w:rPr>
              <w:t>Legal/operational review required</w:t>
            </w:r>
          </w:p>
        </w:tc>
      </w:tr>
      <w:tr>
        <w:tc>
          <w:tcPr>
            <w:tcW w:type="dxa" w:w="3331"/>
            <w:vAlign w:val="center"/>
            <w:tcMar>
              <w:top w:w="90" w:type="dxa"/>
              <w:start w:w="110" w:type="dxa"/>
              <w:bottom w:w="90" w:type="dxa"/>
              <w:end w:w="110" w:type="dxa"/>
            </w:tcMar>
          </w:tcPr>
          <w:p>
            <w:pPr>
              <w:spacing w:after="20" w:before="20"/>
            </w:pPr>
            <w:r>
              <w:rPr>
                <w:rFonts w:ascii="Aptos" w:hAnsi="Aptos"/>
                <w:color w:val="30251A"/>
                <w:sz w:val="17"/>
              </w:rPr>
              <w:t>External destinations</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Amazon author/product URLs, social profiles, YouTube/podcast episodes and contact email.</w:t>
            </w:r>
          </w:p>
        </w:tc>
        <w:tc>
          <w:tcPr>
            <w:tcW w:type="dxa" w:w="3331"/>
            <w:vAlign w:val="center"/>
            <w:tcMar>
              <w:top w:w="90" w:type="dxa"/>
              <w:start w:w="110" w:type="dxa"/>
              <w:bottom w:w="90" w:type="dxa"/>
              <w:end w:w="110" w:type="dxa"/>
            </w:tcMar>
          </w:tcPr>
          <w:p>
            <w:pPr>
              <w:spacing w:after="20" w:before="20"/>
            </w:pPr>
            <w:r>
              <w:rPr>
                <w:rFonts w:ascii="Aptos" w:hAnsi="Aptos"/>
                <w:color w:val="30251A"/>
                <w:sz w:val="17"/>
              </w:rPr>
              <w:t>Verify actual links</w:t>
            </w:r>
          </w:p>
        </w:tc>
      </w:tr>
    </w:tbl>
    <w:p>
      <w:pPr>
        <w:spacing w:after="0"/>
      </w:pPr>
    </w:p>
    <w:p>
      <w:pPr>
        <w:pStyle w:val="Heading1"/>
      </w:pPr>
      <w:r>
        <w:t>10. Summary and decision</w:t>
      </w:r>
    </w:p>
    <w:p>
      <w:r>
        <w:t>Recommendation: keep the approved identity and the breadth of the v3 information architecture. Ship the refined prototype as the visual/interaction baseline, with the persistent mobile bottom dock and more consistent responsive styling. Then move the validated patterns into the active WordPress theme and connect real systems only on the development/staging site. Preserve the live website untouched until backup, written approval and launch checks are complete.</w:t>
      </w:r>
    </w:p>
    <w:p>
      <w:pPr>
        <w:spacing w:before="200"/>
      </w:pPr>
      <w:r>
        <w:rPr>
          <w:rFonts w:ascii="Aptos" w:hAnsi="Aptos"/>
          <w:b/>
          <w:color w:val="775014"/>
        </w:rPr>
        <w:t xml:space="preserve">Important boundary: </w:t>
      </w:r>
      <w:r>
        <w:t>this document evaluates the supplied prototype and project context. It is not a claim that all production services are already working. The improved standalone HTML remains a front-end review prototype; payment, donations, mail delivery and secure downloads require separate implementation and testing.</w:t>
      </w:r>
    </w:p>
    <w:p>
      <w:pPr>
        <w:pStyle w:val="Heading1"/>
      </w:pPr>
      <w:r>
        <w:t>Sources reviewed</w:t>
      </w:r>
    </w:p>
    <w:p>
      <w:pPr>
        <w:pStyle w:val="ListBullet"/>
        <w:spacing w:after="80"/>
      </w:pPr>
      <w:r>
        <w:t>Supplied file: “v3 Silvia dream prototype.html” (reviewed as the approved design baseline).</w:t>
      </w:r>
    </w:p>
    <w:p>
      <w:pPr>
        <w:pStyle w:val="ListBullet"/>
        <w:spacing w:after="80"/>
      </w:pPr>
      <w:r>
        <w:t>Sylvia’s Dream live site: https://sylviasdream.com/ (public page content and site identity).</w:t>
      </w:r>
    </w:p>
    <w:p>
      <w:pPr>
        <w:pStyle w:val="ListBullet"/>
        <w:spacing w:after="80"/>
      </w:pPr>
      <w:r>
        <w:t>Sylvia’s Dream handoff/project notes in the accessible project repository: https://github.com/moselanto/sylviasdream.com (deployment boundary and current development context).</w:t>
      </w:r>
    </w:p>
    <w:p>
      <w:pPr>
        <w:pStyle w:val="ListBullet"/>
        <w:spacing w:after="80"/>
      </w:pPr>
      <w:r>
        <w:t>Reference implementation notes: https://github.com/moselanto/dckabeten.org and https://github.com/moselanto/smilecommunitycentre.org (responsive/mobile-first, bottom tab bar, editable-content and QA patterns; treated as internal engineering references rather than proof of current site behaviour).</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A765B"/>
        <w:sz w:val="16"/>
      </w:rPr>
      <w:t>Pimofy Digital  •  Prototype review  •  23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8A765B"/>
        <w:sz w:val="16"/>
      </w:rPr>
      <w:t>SYLVIA'S DREAM  /  WEBSITE REFINEMENT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3025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775014"/>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30251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7750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30251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Sylvia's Dream - Prototype Review and Improvement Plan</dc:title>
  <dc:subject>Design review and implementation recommendations for the Sylvia’s Dream website rebuild</dc:subject>
  <dc:creator>Pimofy Digital</dc:creator>
  <cp:keywords>Sylvia’s Dream, prototype, UX, accessibility, mobile navigation, website rebuild</cp:keywords>
  <dc:description>generated by python-docx</dc:description>
  <cp:lastModifiedBy/>
  <cp:revision>1</cp:revision>
  <dcterms:created xsi:type="dcterms:W3CDTF">2013-12-23T23:15:00Z</dcterms:created>
  <dcterms:modified xsi:type="dcterms:W3CDTF">2013-12-23T23:15:00Z</dcterms:modified>
  <cp:category/>
</cp:coreProperties>
</file>