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A065999">
      <w:pPr>
        <w:pStyle w:val="7"/>
        <w:spacing w:before="190" w:after="100"/>
        <w:jc w:val="center"/>
      </w:pPr>
      <w:r>
        <w:t>WHITFIELD &amp; CRANE LLP</w:t>
      </w:r>
    </w:p>
    <w:p w14:paraId="7D99CDB0">
      <w:pPr>
        <w:spacing w:after="230"/>
        <w:jc w:val="center"/>
      </w:pPr>
      <w:r>
        <w:drawing>
          <wp:inline distT="0" distB="0" distL="0" distR="0">
            <wp:extent cx="1749425" cy="1749425"/>
            <wp:effectExtent l="0" t="0" r="3175" b="3175"/>
            <wp:docPr id="1" name="Whitfield and Crane emblem" descr="Gold and black monogram of Whitfield and Crane LLP"/>
            <wp:cNvGraphicFramePr/>
            <a:graphic xmlns:a="http://schemas.openxmlformats.org/drawingml/2006/main">
              <a:graphicData uri="http://schemas.openxmlformats.org/drawingml/2006/picture">
                <pic:pic xmlns:pic="http://schemas.openxmlformats.org/drawingml/2006/picture">
                  <pic:nvPicPr>
                    <pic:cNvPr id="1" name="Whitfield and Crane emblem" descr="Gold and black monogram of Whitfield and Crane LLP"/>
                    <pic:cNvPicPr/>
                  </pic:nvPicPr>
                  <pic:blipFill>
                    <a:blip r:embed="rId8"/>
                    <a:stretch>
                      <a:fillRect/>
                    </a:stretch>
                  </pic:blipFill>
                  <pic:spPr>
                    <a:xfrm>
                      <a:off x="0" y="0"/>
                      <a:ext cx="1750000" cy="1750000"/>
                    </a:xfrm>
                    <a:prstGeom prst="rect">
                      <a:avLst/>
                    </a:prstGeom>
                  </pic:spPr>
                </pic:pic>
              </a:graphicData>
            </a:graphic>
          </wp:inline>
        </w:drawing>
      </w:r>
    </w:p>
    <w:p w14:paraId="768205C9">
      <w:pPr>
        <w:pStyle w:val="8"/>
        <w:spacing w:before="0" w:after="350"/>
        <w:jc w:val="center"/>
      </w:pPr>
      <w:r>
        <w:rPr>
          <w:b/>
          <w:sz w:val="28"/>
        </w:rPr>
        <w:t>DECLARATION IN SUPPORT OF</w:t>
      </w:r>
    </w:p>
    <w:p w14:paraId="2623DA93">
      <w:pPr>
        <w:pStyle w:val="9"/>
        <w:jc w:val="center"/>
      </w:pPr>
      <w:r>
        <w:rPr>
          <w:b/>
          <w:sz w:val="36"/>
        </w:rPr>
        <w:t>EX PARTE ASSET FREEZE</w:t>
      </w:r>
    </w:p>
    <w:p w14:paraId="6CB0CF84">
      <w:pPr>
        <w:pStyle w:val="9"/>
        <w:spacing w:before="0" w:after="230"/>
        <w:jc w:val="center"/>
      </w:pPr>
    </w:p>
    <w:p w14:paraId="216F92CF">
      <w:pPr>
        <w:pStyle w:val="10"/>
        <w:spacing w:before="0" w:after="450"/>
        <w:jc w:val="center"/>
      </w:pPr>
      <w:r>
        <w:t>FINANCIAL TRANSACTION FORENSICS  /  CASE RECORD</w:t>
      </w:r>
    </w:p>
    <w:tbl>
      <w:tblPr>
        <w:tblStyle w:val="2"/>
        <w:tblW w:w="10200" w:type="dxa"/>
        <w:tblInd w:w="0" w:type="dxa"/>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Layout w:type="fixed"/>
        <w:tblCellMar>
          <w:top w:w="110" w:type="dxa"/>
          <w:left w:w="135" w:type="dxa"/>
          <w:bottom w:w="110" w:type="dxa"/>
          <w:right w:w="135" w:type="dxa"/>
        </w:tblCellMar>
      </w:tblPr>
      <w:tblGrid>
        <w:gridCol w:w="5100"/>
        <w:gridCol w:w="5100"/>
      </w:tblGrid>
      <w:tr w14:paraId="1E49F5C1">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blHeader/>
        </w:trPr>
        <w:tc>
          <w:tcPr>
            <w:tcW w:w="5100" w:type="dxa"/>
            <w:shd w:val="clear" w:color="auto" w:fill="2A302F"/>
            <w:vAlign w:val="center"/>
          </w:tcPr>
          <w:p w14:paraId="581A6FA4">
            <w:pPr>
              <w:pStyle w:val="6"/>
              <w:spacing w:before="0" w:after="0" w:line="250" w:lineRule="auto"/>
              <w:jc w:val="left"/>
            </w:pPr>
            <w:r>
              <w:rPr>
                <w:b/>
                <w:color w:val="FFE0A2"/>
                <w:sz w:val="19"/>
              </w:rPr>
              <w:t xml:space="preserve">COURT </w:t>
            </w:r>
          </w:p>
        </w:tc>
        <w:tc>
          <w:tcPr>
            <w:tcW w:w="5100" w:type="dxa"/>
            <w:shd w:val="clear" w:color="auto" w:fill="2A302F"/>
            <w:vAlign w:val="center"/>
          </w:tcPr>
          <w:p w14:paraId="3E57000F">
            <w:pPr>
              <w:pStyle w:val="6"/>
              <w:spacing w:before="0" w:after="0" w:line="250" w:lineRule="auto"/>
              <w:jc w:val="left"/>
            </w:pPr>
            <w:r>
              <w:rPr>
                <w:b/>
                <w:color w:val="FFE0A2"/>
                <w:sz w:val="19"/>
              </w:rPr>
              <w:t>CASE NUMBER</w:t>
            </w:r>
          </w:p>
        </w:tc>
      </w:tr>
      <w:tr w14:paraId="7EF057B4">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7B82C19A">
            <w:pPr>
              <w:pStyle w:val="6"/>
              <w:spacing w:before="0" w:after="0" w:line="250" w:lineRule="auto"/>
              <w:jc w:val="left"/>
            </w:pPr>
            <w:r>
              <w:rPr>
                <w:color w:val="2A3030"/>
                <w:sz w:val="19"/>
              </w:rPr>
              <w:t>U.S. District Court for the Southern District of New York</w:t>
            </w:r>
          </w:p>
        </w:tc>
        <w:tc>
          <w:tcPr>
            <w:tcW w:w="5100" w:type="dxa"/>
            <w:vAlign w:val="center"/>
          </w:tcPr>
          <w:p w14:paraId="01250A87">
            <w:pPr>
              <w:pStyle w:val="6"/>
              <w:spacing w:before="0" w:after="0" w:line="250" w:lineRule="auto"/>
              <w:jc w:val="both"/>
            </w:pPr>
            <w:r>
              <w:rPr>
                <w:color w:val="2A3030"/>
                <w:sz w:val="19"/>
              </w:rPr>
              <w:t>#WC-2026-FX7717</w:t>
            </w:r>
          </w:p>
        </w:tc>
      </w:tr>
      <w:tr w14:paraId="2378F547">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shd w:val="clear" w:color="auto" w:fill="F7F2E9"/>
            <w:vAlign w:val="center"/>
          </w:tcPr>
          <w:p w14:paraId="546859FF">
            <w:pPr>
              <w:pStyle w:val="6"/>
              <w:spacing w:before="0" w:after="0" w:line="250" w:lineRule="auto"/>
              <w:jc w:val="left"/>
            </w:pPr>
            <w:r>
              <w:rPr>
                <w:color w:val="2A3030"/>
                <w:sz w:val="19"/>
              </w:rPr>
              <w:t>DOCUMENT TYPE</w:t>
            </w:r>
          </w:p>
        </w:tc>
        <w:tc>
          <w:tcPr>
            <w:tcW w:w="5100" w:type="dxa"/>
            <w:shd w:val="clear" w:color="auto" w:fill="F7F2E9"/>
            <w:vAlign w:val="center"/>
          </w:tcPr>
          <w:p w14:paraId="1FB3D518">
            <w:pPr>
              <w:pStyle w:val="6"/>
              <w:spacing w:before="0" w:after="0" w:line="250" w:lineRule="auto"/>
              <w:jc w:val="left"/>
            </w:pPr>
            <w:r>
              <w:rPr>
                <w:color w:val="2A3030"/>
                <w:sz w:val="19"/>
              </w:rPr>
              <w:t>DATE</w:t>
            </w:r>
          </w:p>
        </w:tc>
      </w:tr>
      <w:tr w14:paraId="353520A6">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3E6EADFC">
            <w:pPr>
              <w:pStyle w:val="6"/>
              <w:spacing w:before="0" w:after="0" w:line="250" w:lineRule="auto"/>
              <w:jc w:val="both"/>
            </w:pPr>
            <w:r>
              <w:rPr>
                <w:color w:val="2A3030"/>
                <w:sz w:val="19"/>
              </w:rPr>
              <w:t>Sworn Affidavit / Declaration</w:t>
            </w:r>
          </w:p>
        </w:tc>
        <w:tc>
          <w:tcPr>
            <w:tcW w:w="5100" w:type="dxa"/>
            <w:vAlign w:val="center"/>
          </w:tcPr>
          <w:p w14:paraId="0E021BFB">
            <w:pPr>
              <w:pStyle w:val="6"/>
              <w:spacing w:before="0" w:after="0" w:line="250" w:lineRule="auto"/>
              <w:jc w:val="both"/>
              <w:rPr>
                <w:rFonts w:hint="eastAsia" w:eastAsiaTheme="minorEastAsia"/>
                <w:lang w:eastAsia="zh-CN"/>
              </w:rPr>
            </w:pPr>
            <w:r>
              <w:rPr>
                <w:rFonts w:hint="eastAsia"/>
                <w:color w:val="2A3030"/>
                <w:sz w:val="19"/>
                <w:lang w:val="en-US" w:eastAsia="zh-CN"/>
              </w:rPr>
              <w:t>当天日期</w:t>
            </w:r>
          </w:p>
        </w:tc>
      </w:tr>
      <w:tr w14:paraId="6CACA2B4">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shd w:val="clear" w:color="auto" w:fill="F7F2E9"/>
            <w:vAlign w:val="center"/>
          </w:tcPr>
          <w:p w14:paraId="08AA7DAD">
            <w:pPr>
              <w:pStyle w:val="6"/>
              <w:spacing w:before="0" w:after="0" w:line="250" w:lineRule="auto"/>
              <w:jc w:val="left"/>
            </w:pPr>
            <w:r>
              <w:rPr>
                <w:color w:val="2A3030"/>
                <w:sz w:val="19"/>
              </w:rPr>
              <w:t>APPLICANT / VICTIM</w:t>
            </w:r>
          </w:p>
        </w:tc>
        <w:tc>
          <w:tcPr>
            <w:tcW w:w="5100" w:type="dxa"/>
            <w:shd w:val="clear" w:color="auto" w:fill="F7F2E9"/>
            <w:vAlign w:val="center"/>
          </w:tcPr>
          <w:p w14:paraId="2433DE33">
            <w:pPr>
              <w:pStyle w:val="6"/>
              <w:spacing w:before="0" w:after="0" w:line="250" w:lineRule="auto"/>
              <w:jc w:val="left"/>
            </w:pPr>
            <w:r>
              <w:rPr>
                <w:color w:val="2A3030"/>
                <w:sz w:val="19"/>
              </w:rPr>
              <w:t>TARGET INSTITUTION</w:t>
            </w:r>
          </w:p>
        </w:tc>
      </w:tr>
      <w:tr w14:paraId="2A5EED44">
        <w:tblPrEx>
          <w:tblBorders>
            <w:top w:val="single" w:color="D3C5AA" w:sz="4" w:space="0"/>
            <w:left w:val="single" w:color="E0D9CB" w:sz="2" w:space="0"/>
            <w:bottom w:val="single" w:color="D3C5AA" w:sz="4" w:space="0"/>
            <w:right w:val="single" w:color="E0D9CB" w:sz="2" w:space="0"/>
            <w:insideH w:val="single" w:color="E5DED1" w:sz="4" w:space="0"/>
            <w:insideV w:val="single" w:color="E5DED1" w:sz="2" w:space="0"/>
          </w:tblBorders>
          <w:tblCellMar>
            <w:top w:w="110" w:type="dxa"/>
            <w:left w:w="135" w:type="dxa"/>
            <w:bottom w:w="110" w:type="dxa"/>
            <w:right w:w="135" w:type="dxa"/>
          </w:tblCellMar>
        </w:tblPrEx>
        <w:trPr>
          <w:cantSplit/>
        </w:trPr>
        <w:tc>
          <w:tcPr>
            <w:tcW w:w="5100" w:type="dxa"/>
            <w:vAlign w:val="center"/>
          </w:tcPr>
          <w:p w14:paraId="23FB1CE9">
            <w:pPr>
              <w:pStyle w:val="6"/>
              <w:spacing w:before="0" w:after="0" w:line="250" w:lineRule="auto"/>
              <w:jc w:val="left"/>
              <w:rPr>
                <w:rFonts w:hint="eastAsia" w:eastAsiaTheme="minorEastAsia"/>
                <w:lang w:val="en-US" w:eastAsia="zh-CN"/>
              </w:rPr>
            </w:pPr>
            <w:r>
              <w:rPr>
                <w:rFonts w:hint="eastAsia"/>
                <w:lang w:val="en-US" w:eastAsia="zh-CN"/>
              </w:rPr>
              <w:t>客户姓名</w:t>
            </w:r>
          </w:p>
        </w:tc>
        <w:tc>
          <w:tcPr>
            <w:tcW w:w="5100" w:type="dxa"/>
            <w:vAlign w:val="center"/>
          </w:tcPr>
          <w:p w14:paraId="59C2E96B">
            <w:pPr>
              <w:pStyle w:val="6"/>
              <w:spacing w:before="0" w:after="0" w:line="250" w:lineRule="auto"/>
              <w:jc w:val="left"/>
            </w:pPr>
            <w:r>
              <w:rPr>
                <w:color w:val="2A3030"/>
                <w:sz w:val="19"/>
              </w:rPr>
              <w:t>Wise Payments Limited</w:t>
            </w:r>
          </w:p>
        </w:tc>
      </w:tr>
    </w:tbl>
    <w:p w14:paraId="638DB33D"/>
    <w:p w14:paraId="4CE23D0F">
      <w:r>
        <w:rPr>
          <w:b/>
          <w:color w:val="B89758"/>
          <w:sz w:val="22"/>
        </w:rPr>
        <w:t xml:space="preserve">SWORN STATEMENTS </w:t>
      </w:r>
    </w:p>
    <w:p w14:paraId="0E725DFC">
      <w:r>
        <w:rPr>
          <w:sz w:val="20"/>
        </w:rPr>
        <w:t xml:space="preserve">I, </w:t>
      </w:r>
      <w:r>
        <w:rPr>
          <w:rFonts w:hint="eastAsia"/>
          <w:sz w:val="20"/>
          <w:lang w:val="en-US" w:eastAsia="zh-CN"/>
        </w:rPr>
        <w:t>客户姓名</w:t>
      </w:r>
      <w:r>
        <w:rPr>
          <w:sz w:val="20"/>
        </w:rPr>
        <w:t>, the victim in this matter, declare under penalty of perjury that the following is true and correct:</w:t>
      </w:r>
    </w:p>
    <w:p w14:paraId="1D2D933F">
      <w:r>
        <w:rPr>
          <w:sz w:val="20"/>
        </w:rPr>
        <w:t>1. I am the direct victim of a highly organized transnational cyber fraud syndicate.</w:t>
      </w:r>
    </w:p>
    <w:p w14:paraId="44F7C665">
      <w:r>
        <w:rPr>
          <w:sz w:val="20"/>
        </w:rPr>
        <w:t>2. Following the incident, the legal representatives at Whitfield &amp; Crane LLP and their investigative team conducted a forensic trace of my funds.</w:t>
      </w:r>
    </w:p>
    <w:p w14:paraId="6BAF70A0">
      <w:r>
        <w:rPr>
          <w:sz w:val="20"/>
        </w:rPr>
        <w:t>3. According to the "Funds Tracking Report" (#WC-2026-FX7717), my initial transferred funds were subjected to 167 laundering transfers utilizing offshore shell companies, fictitious trade accounts, and cryptocurrency mixers.</w:t>
      </w:r>
      <w:r>
        <w:rPr>
          <w:rFonts w:hint="eastAsia" w:ascii="Arial" w:hAnsi="Arial" w:eastAsia="宋体" w:cs="Arial"/>
          <w:i w:val="0"/>
          <w:iCs w:val="0"/>
          <w:caps w:val="0"/>
          <w:color w:val="111111"/>
          <w:spacing w:val="0"/>
          <w:sz w:val="24"/>
          <w:szCs w:val="24"/>
          <w:lang w:eastAsia="zh-CN"/>
        </w:rPr>
        <w:drawing>
          <wp:anchor distT="0" distB="0" distL="114300" distR="114300" simplePos="0" relativeHeight="251660288" behindDoc="1" locked="0" layoutInCell="1" allowOverlap="1">
            <wp:simplePos x="0" y="0"/>
            <wp:positionH relativeFrom="column">
              <wp:posOffset>3114040</wp:posOffset>
            </wp:positionH>
            <wp:positionV relativeFrom="paragraph">
              <wp:posOffset>-3761740</wp:posOffset>
            </wp:positionV>
            <wp:extent cx="3877945" cy="3877945"/>
            <wp:effectExtent l="0" t="0" r="8255" b="8255"/>
            <wp:wrapNone/>
            <wp:docPr id="3" name="图片 3" descr="图标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图标黑白"/>
                    <pic:cNvPicPr>
                      <a:picLocks noChangeAspect="1"/>
                    </pic:cNvPicPr>
                  </pic:nvPicPr>
                  <pic:blipFill>
                    <a:blip r:embed="rId9">
                      <a:alphaModFix amt="5000"/>
                    </a:blip>
                    <a:stretch>
                      <a:fillRect/>
                    </a:stretch>
                  </pic:blipFill>
                  <pic:spPr>
                    <a:xfrm>
                      <a:off x="0" y="0"/>
                      <a:ext cx="3877945" cy="3877945"/>
                    </a:xfrm>
                    <a:prstGeom prst="rect">
                      <a:avLst/>
                    </a:prstGeom>
                  </pic:spPr>
                </pic:pic>
              </a:graphicData>
            </a:graphic>
          </wp:anchor>
        </w:drawing>
      </w:r>
    </w:p>
    <w:p w14:paraId="7C062640">
      <w:r>
        <w:rPr>
          <w:sz w:val="20"/>
        </w:rPr>
        <w:t>4. The trace definitively shows that the illicit funds have crossed international borders and are currently parked at the London, UK-based Wise platform. The account is under the name Toby A Blackburn, card ending in #8842.</w:t>
      </w:r>
    </w:p>
    <w:p w14:paraId="093B11F8">
      <w:r>
        <w:rPr>
          <w:sz w:val="20"/>
        </w:rPr>
        <w:t>5. I respectfully implore the Court to immediately issue an emergency ex parte asset freeze order. Without immediate ex parte intervention, these funds are highly likely to be transferred again, causing irreparable and permanent financial harm.</w:t>
      </w:r>
    </w:p>
    <w:p w14:paraId="60E7AFB6"/>
    <w:p w14:paraId="071DBDC1"/>
    <w:tbl>
      <w:tblPr>
        <w:tblStyle w:val="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814"/>
        <w:gridCol w:w="4814"/>
      </w:tblGrid>
      <w:tr w14:paraId="21D3B3B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66487BA7">
            <w:pPr>
              <w:spacing w:after="0" w:line="355" w:lineRule="auto"/>
              <w:jc w:val="left"/>
              <w:rPr>
                <w:rFonts w:hint="eastAsia" w:ascii="Times New Roman" w:hAnsi="Times New Roman" w:eastAsia="Times New Roman"/>
                <w:sz w:val="24"/>
                <w:szCs w:val="24"/>
                <w:lang w:eastAsia="zh-CN"/>
              </w:rPr>
            </w:pPr>
            <w:r>
              <w:rPr>
                <w:rFonts w:hint="eastAsia" w:ascii="Times New Roman" w:hAnsi="Times New Roman" w:eastAsia="Times New Roman"/>
                <w:sz w:val="24"/>
                <w:szCs w:val="24"/>
                <w:lang w:eastAsia="zh-CN"/>
              </w:rPr>
              <w:drawing>
                <wp:anchor distT="0" distB="0" distL="114300" distR="114300" simplePos="0" relativeHeight="251659264" behindDoc="0" locked="0" layoutInCell="1" allowOverlap="1">
                  <wp:simplePos x="0" y="0"/>
                  <wp:positionH relativeFrom="column">
                    <wp:posOffset>385445</wp:posOffset>
                  </wp:positionH>
                  <wp:positionV relativeFrom="paragraph">
                    <wp:posOffset>187325</wp:posOffset>
                  </wp:positionV>
                  <wp:extent cx="2223135" cy="741045"/>
                  <wp:effectExtent l="0" t="0" r="0" b="0"/>
                  <wp:wrapNone/>
                  <wp:docPr id="2" name="图片 2" descr="律师签名"/>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律师签名"/>
                          <pic:cNvPicPr>
                            <a:picLocks noChangeAspect="1"/>
                          </pic:cNvPicPr>
                        </pic:nvPicPr>
                        <pic:blipFill>
                          <a:blip r:embed="rId10"/>
                          <a:stretch>
                            <a:fillRect/>
                          </a:stretch>
                        </pic:blipFill>
                        <pic:spPr>
                          <a:xfrm>
                            <a:off x="0" y="0"/>
                            <a:ext cx="2223135" cy="741045"/>
                          </a:xfrm>
                          <a:prstGeom prst="rect">
                            <a:avLst/>
                          </a:prstGeom>
                        </pic:spPr>
                      </pic:pic>
                    </a:graphicData>
                  </a:graphic>
                </wp:anchor>
              </w:drawing>
            </w:r>
            <w:r>
              <w:rPr>
                <w:rFonts w:hint="eastAsia" w:ascii="Times New Roman" w:hAnsi="Times New Roman" w:eastAsia="Times New Roman"/>
                <w:sz w:val="24"/>
                <w:szCs w:val="24"/>
                <w:lang w:eastAsia="zh-CN"/>
              </w:rPr>
              <w:t>Counsel Signature:</w:t>
            </w:r>
          </w:p>
          <w:p w14:paraId="34A4E5D8">
            <w:pPr>
              <w:spacing w:after="0" w:line="355" w:lineRule="auto"/>
              <w:jc w:val="left"/>
              <w:rPr>
                <w:rFonts w:hint="eastAsia" w:ascii="Times New Roman" w:hAnsi="Times New Roman" w:eastAsia="Times New Roman"/>
                <w:sz w:val="24"/>
                <w:szCs w:val="24"/>
                <w:lang w:eastAsia="zh-CN"/>
              </w:rPr>
            </w:pPr>
          </w:p>
        </w:tc>
        <w:tc>
          <w:tcPr>
            <w:tcW w:w="4814" w:type="dxa"/>
            <w:tcBorders>
              <w:tl2br w:val="nil"/>
              <w:tr2bl w:val="nil"/>
            </w:tcBorders>
            <w:vAlign w:val="top"/>
          </w:tcPr>
          <w:p w14:paraId="7881BF5A">
            <w:pPr>
              <w:spacing w:after="0" w:line="355" w:lineRule="auto"/>
              <w:jc w:val="left"/>
              <w:rPr>
                <w:rFonts w:hint="eastAsia" w:ascii="Times New Roman" w:hAnsi="Times New Roman" w:eastAsia="Times New Roman"/>
                <w:sz w:val="24"/>
                <w:szCs w:val="24"/>
                <w:vertAlign w:val="baseline"/>
                <w:lang w:eastAsia="zh-CN"/>
              </w:rPr>
            </w:pPr>
            <w:r>
              <w:rPr>
                <w:rFonts w:hint="eastAsia" w:ascii="Times New Roman" w:hAnsi="Times New Roman" w:eastAsia="Times New Roman"/>
                <w:sz w:val="24"/>
                <w:szCs w:val="24"/>
                <w:lang w:eastAsia="zh-CN"/>
              </w:rPr>
              <w:t>Client Signature:</w:t>
            </w:r>
          </w:p>
        </w:tc>
      </w:tr>
      <w:tr w14:paraId="2B0AE6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5EE1EA2D">
            <w:pPr>
              <w:spacing w:after="0" w:line="355" w:lineRule="auto"/>
              <w:jc w:val="left"/>
              <w:rPr>
                <w:rFonts w:hint="default" w:ascii="Times New Roman" w:hAnsi="Times New Roman" w:eastAsia="Times New Roman"/>
                <w:sz w:val="24"/>
                <w:szCs w:val="24"/>
                <w:lang w:val="en-US" w:eastAsia="zh-CN"/>
              </w:rPr>
            </w:pPr>
            <w:r>
              <w:rPr>
                <w:rFonts w:hint="eastAsia" w:ascii="Times New Roman" w:hAnsi="Times New Roman" w:eastAsia="Times New Roman"/>
                <w:sz w:val="24"/>
                <w:szCs w:val="24"/>
                <w:lang w:eastAsia="zh-CN"/>
              </w:rPr>
              <w:t>Name:</w:t>
            </w:r>
          </w:p>
          <w:p w14:paraId="2BAC5F2C">
            <w:pPr>
              <w:spacing w:after="0" w:line="355" w:lineRule="auto"/>
              <w:jc w:val="left"/>
              <w:rPr>
                <w:rFonts w:hint="eastAsia" w:ascii="Times New Roman" w:hAnsi="Times New Roman" w:eastAsia="Times New Roman"/>
                <w:sz w:val="24"/>
                <w:szCs w:val="24"/>
                <w:lang w:eastAsia="zh-CN"/>
              </w:rPr>
            </w:pPr>
          </w:p>
        </w:tc>
        <w:tc>
          <w:tcPr>
            <w:tcW w:w="4814" w:type="dxa"/>
            <w:tcBorders>
              <w:tl2br w:val="nil"/>
              <w:tr2bl w:val="nil"/>
            </w:tcBorders>
            <w:vAlign w:val="top"/>
          </w:tcPr>
          <w:p w14:paraId="64AE9FA1">
            <w:pPr>
              <w:spacing w:after="0" w:line="355" w:lineRule="auto"/>
              <w:jc w:val="left"/>
              <w:rPr>
                <w:rFonts w:hint="default" w:ascii="Times New Roman" w:hAnsi="Times New Roman" w:eastAsia="Times New Roman"/>
                <w:sz w:val="24"/>
                <w:szCs w:val="24"/>
                <w:vertAlign w:val="baseline"/>
                <w:lang w:val="en-US" w:eastAsia="zh-CN"/>
              </w:rPr>
            </w:pPr>
            <w:r>
              <w:rPr>
                <w:rFonts w:hint="eastAsia" w:ascii="Times New Roman" w:hAnsi="Times New Roman" w:eastAsia="Times New Roman"/>
                <w:sz w:val="24"/>
                <w:szCs w:val="24"/>
                <w:lang w:eastAsia="zh-CN"/>
              </w:rPr>
              <w:t>Name:</w:t>
            </w:r>
          </w:p>
        </w:tc>
      </w:tr>
      <w:tr w14:paraId="54D82BE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814" w:type="dxa"/>
            <w:tcBorders>
              <w:tl2br w:val="nil"/>
              <w:tr2bl w:val="nil"/>
            </w:tcBorders>
            <w:vAlign w:val="top"/>
          </w:tcPr>
          <w:p w14:paraId="01B7F026">
            <w:pPr>
              <w:spacing w:after="0" w:line="355" w:lineRule="auto"/>
              <w:jc w:val="left"/>
              <w:rPr>
                <w:rFonts w:hint="eastAsia" w:ascii="Times New Roman" w:hAnsi="Times New Roman" w:eastAsia="Times New Roman"/>
                <w:sz w:val="24"/>
                <w:szCs w:val="24"/>
                <w:lang w:eastAsia="zh-CN"/>
              </w:rPr>
            </w:pPr>
            <w:r>
              <w:rPr>
                <w:rFonts w:hint="eastAsia"/>
                <w:sz w:val="24"/>
                <w:szCs w:val="24"/>
                <w:lang w:val="en-US" w:eastAsia="zh-CN"/>
              </w:rPr>
              <w:t>当天日期</w:t>
            </w:r>
          </w:p>
        </w:tc>
        <w:tc>
          <w:tcPr>
            <w:tcW w:w="4814" w:type="dxa"/>
            <w:tcBorders>
              <w:tl2br w:val="nil"/>
              <w:tr2bl w:val="nil"/>
            </w:tcBorders>
            <w:vAlign w:val="top"/>
          </w:tcPr>
          <w:p w14:paraId="7CE8D742">
            <w:pPr>
              <w:spacing w:after="0" w:line="355" w:lineRule="auto"/>
              <w:jc w:val="left"/>
              <w:rPr>
                <w:rFonts w:hint="default" w:ascii="Times New Roman" w:hAnsi="Times New Roman" w:eastAsia="Times New Roman"/>
                <w:sz w:val="24"/>
                <w:szCs w:val="24"/>
                <w:vertAlign w:val="baseline"/>
                <w:lang w:val="en-US" w:eastAsia="zh-CN"/>
              </w:rPr>
            </w:pPr>
            <w:r>
              <w:rPr>
                <w:rFonts w:hint="eastAsia"/>
                <w:sz w:val="24"/>
                <w:szCs w:val="24"/>
                <w:lang w:val="en-US" w:eastAsia="zh-CN"/>
              </w:rPr>
              <w:t>当天日期</w:t>
            </w:r>
          </w:p>
        </w:tc>
      </w:tr>
    </w:tbl>
    <w:p w14:paraId="00888318">
      <w:bookmarkStart w:id="0" w:name="_GoBack"/>
      <w:bookmarkEnd w:id="0"/>
      <w:r>
        <w:rPr>
          <w:rFonts w:hint="eastAsia" w:ascii="Arial" w:hAnsi="Arial" w:eastAsia="宋体" w:cs="Arial"/>
          <w:i w:val="0"/>
          <w:iCs w:val="0"/>
          <w:caps w:val="0"/>
          <w:color w:val="111111"/>
          <w:spacing w:val="0"/>
          <w:sz w:val="24"/>
          <w:szCs w:val="24"/>
          <w:lang w:eastAsia="zh-CN"/>
        </w:rPr>
        <w:drawing>
          <wp:anchor distT="0" distB="0" distL="114300" distR="114300" simplePos="0" relativeHeight="251661312" behindDoc="1" locked="0" layoutInCell="1" allowOverlap="1">
            <wp:simplePos x="0" y="0"/>
            <wp:positionH relativeFrom="column">
              <wp:posOffset>3114040</wp:posOffset>
            </wp:positionH>
            <wp:positionV relativeFrom="paragraph">
              <wp:posOffset>978535</wp:posOffset>
            </wp:positionV>
            <wp:extent cx="3877945" cy="3877945"/>
            <wp:effectExtent l="0" t="0" r="8255" b="8255"/>
            <wp:wrapNone/>
            <wp:docPr id="4" name="图片 4" descr="图标黑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标黑白"/>
                    <pic:cNvPicPr>
                      <a:picLocks noChangeAspect="1"/>
                    </pic:cNvPicPr>
                  </pic:nvPicPr>
                  <pic:blipFill>
                    <a:blip r:embed="rId9">
                      <a:alphaModFix amt="5000"/>
                    </a:blip>
                    <a:stretch>
                      <a:fillRect/>
                    </a:stretch>
                  </pic:blipFill>
                  <pic:spPr>
                    <a:xfrm>
                      <a:off x="0" y="0"/>
                      <a:ext cx="3877945" cy="3877945"/>
                    </a:xfrm>
                    <a:prstGeom prst="rect">
                      <a:avLst/>
                    </a:prstGeom>
                  </pic:spPr>
                </pic:pic>
              </a:graphicData>
            </a:graphic>
          </wp:anchor>
        </w:drawing>
      </w:r>
    </w:p>
    <w:sectPr>
      <w:headerReference r:id="rId5" w:type="default"/>
      <w:footerReference r:id="rId6" w:type="default"/>
      <w:pgSz w:w="12240" w:h="15840"/>
      <w:pgMar w:top="1150" w:right="1000" w:bottom="1050" w:left="1000" w:header="500" w:footer="55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Georgia">
    <w:panose1 w:val="02040502050405020303"/>
    <w:charset w:val="00"/>
    <w:family w:val="auto"/>
    <w:pitch w:val="default"/>
    <w:sig w:usb0="00000287" w:usb1="00000000" w:usb2="00000000" w:usb3="00000000" w:csb0="2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6D69654">
    <w:pPr>
      <w:pBdr>
        <w:top w:val="single" w:color="CAB88B" w:sz="6" w:space="8"/>
      </w:pBdr>
    </w:pPr>
    <w:r>
      <w:rPr>
        <w:color w:val="806C4D"/>
        <w:sz w:val="16"/>
      </w:rPr>
      <w:t>#WC-2026-FX7717</w:t>
    </w:r>
    <w:r>
      <w:rPr>
        <w:color w:val="807F77"/>
        <w:sz w:val="16"/>
      </w:rPr>
      <w:t xml:space="preserve">                            </w:t>
    </w:r>
    <w:r>
      <w:rPr>
        <w:rFonts w:hint="eastAsia"/>
        <w:color w:val="807F77"/>
        <w:sz w:val="16"/>
        <w:lang w:val="en-US" w:eastAsia="zh-CN"/>
      </w:rPr>
      <w:t xml:space="preserve">                                                                                                                                                       </w:t>
    </w:r>
    <w:r>
      <w:rPr>
        <w:color w:val="807F77"/>
        <w:sz w:val="16"/>
      </w:rPr>
      <w:t xml:space="preserve">           Page </w:t>
    </w:r>
    <w:r>
      <w:fldChar w:fldCharType="begin"/>
    </w:r>
    <w:r>
      <w:instrText xml:space="preserve"> PAGE </w:instrText>
    </w:r>
    <w: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00" w:lineRule="auto"/>
      </w:pPr>
      <w:r>
        <w:separator/>
      </w:r>
    </w:p>
  </w:footnote>
  <w:footnote w:type="continuationSeparator" w:id="1">
    <w:p>
      <w:pPr>
        <w:spacing w:before="0" w:after="0" w:line="30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098D3E4">
    <w:pPr>
      <w:pBdr>
        <w:bottom w:val="single" w:color="B98B45" w:sz="8" w:space="9"/>
      </w:pBdr>
      <w:jc w:val="right"/>
    </w:pPr>
    <w:r>
      <w:rPr>
        <w:b/>
        <w:color w:val="A37D43"/>
        <w:sz w:val="15"/>
      </w:rPr>
      <w:t xml:space="preserve">WHITFIELD &amp; CRANE LLP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footnotePr>
    <w:footnote w:id="0"/>
    <w:footnote w:id="1"/>
  </w:footnotePr>
  <w:endnotePr>
    <w:endnote w:id="0"/>
    <w:endnote w:id="1"/>
  </w:endnotePr>
  <w:compat>
    <w:useFELayout/>
    <w:splitPgBreakAndParaMark/>
    <w:compatSetting w:name="compatibilityMode" w:uri="http://schemas.microsoft.com/office/word" w:val="12"/>
  </w:compat>
  <w:rsids>
    <w:rsidRoot w:val="00000000"/>
    <w:rsid w:val="13EE483D"/>
    <w:rsid w:val="1FF94426"/>
    <w:rsid w:val="25A86641"/>
    <w:rsid w:val="42BE6697"/>
    <w:rsid w:val="72121AF9"/>
    <w:rsid w:val="74315C40"/>
    <w:rsid w:val="7AFA266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ptos" w:hAnsi="Aptos" w:eastAsiaTheme="minorEastAsia" w:cstheme="minorBidi"/>
      </w:rPr>
    </w:rPrDefault>
    <w:pPrDefault/>
  </w:docDefaults>
  <w:latentStyles w:count="260" w:defQFormat="0" w:defUnhideWhenUsed="1" w:defSemiHidden="1" w:defUIPriority="99" w:defLockedState="0">
    <w:lsdException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spacing w:after="95" w:line="300" w:lineRule="auto"/>
    </w:pPr>
    <w:rPr>
      <w:rFonts w:ascii="Aptos" w:hAnsi="Aptos" w:eastAsiaTheme="minorEastAsia" w:cstheme="minorBidi"/>
      <w:color w:val="343B3D"/>
      <w:sz w:val="21"/>
    </w:rPr>
  </w:style>
  <w:style w:type="character" w:default="1" w:styleId="4">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table" w:styleId="3">
    <w:name w:val="Table Grid"/>
    <w:basedOn w:val="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5">
    <w:name w:val="BodyText"/>
    <w:uiPriority w:val="0"/>
    <w:pPr>
      <w:spacing w:after="140" w:line="300" w:lineRule="auto"/>
    </w:pPr>
    <w:rPr>
      <w:rFonts w:ascii="Aptos" w:hAnsi="Aptos" w:eastAsiaTheme="minorEastAsia" w:cstheme="minorBidi"/>
      <w:color w:val="374046"/>
      <w:sz w:val="21"/>
    </w:rPr>
  </w:style>
  <w:style w:type="paragraph" w:customStyle="1" w:styleId="6">
    <w:name w:val="TableBody"/>
    <w:qFormat/>
    <w:uiPriority w:val="0"/>
    <w:pPr>
      <w:spacing w:after="0" w:line="300" w:lineRule="auto"/>
    </w:pPr>
    <w:rPr>
      <w:rFonts w:ascii="Aptos" w:hAnsi="Aptos" w:eastAsiaTheme="minorEastAsia" w:cstheme="minorBidi"/>
      <w:color w:val="343B3D"/>
      <w:sz w:val="18"/>
    </w:rPr>
  </w:style>
  <w:style w:type="paragraph" w:customStyle="1" w:styleId="7">
    <w:name w:val="Overline"/>
    <w:qFormat/>
    <w:uiPriority w:val="0"/>
    <w:pPr>
      <w:spacing w:after="140" w:line="300" w:lineRule="auto"/>
    </w:pPr>
    <w:rPr>
      <w:rFonts w:ascii="Aptos" w:hAnsi="Aptos" w:eastAsiaTheme="minorEastAsia" w:cstheme="minorBidi"/>
      <w:b/>
      <w:color w:val="9B7843"/>
      <w:sz w:val="24"/>
    </w:rPr>
  </w:style>
  <w:style w:type="paragraph" w:customStyle="1" w:styleId="8">
    <w:name w:val="CoverBrand"/>
    <w:qFormat/>
    <w:uiPriority w:val="0"/>
    <w:pPr>
      <w:spacing w:after="160" w:line="300" w:lineRule="auto"/>
    </w:pPr>
    <w:rPr>
      <w:rFonts w:ascii="Georgia" w:hAnsi="Georgia" w:eastAsiaTheme="minorEastAsia" w:cstheme="minorBidi"/>
      <w:b/>
      <w:color w:val="B88A43"/>
      <w:sz w:val="28"/>
    </w:rPr>
  </w:style>
  <w:style w:type="paragraph" w:customStyle="1" w:styleId="9">
    <w:name w:val="CoverTitle"/>
    <w:uiPriority w:val="0"/>
    <w:pPr>
      <w:spacing w:after="100" w:line="300" w:lineRule="auto"/>
    </w:pPr>
    <w:rPr>
      <w:rFonts w:ascii="Georgia" w:hAnsi="Georgia" w:eastAsiaTheme="minorEastAsia" w:cstheme="minorBidi"/>
      <w:b/>
      <w:color w:val="1D272B"/>
      <w:sz w:val="48"/>
    </w:rPr>
  </w:style>
  <w:style w:type="paragraph" w:customStyle="1" w:styleId="10">
    <w:name w:val="CoverSub"/>
    <w:qFormat/>
    <w:uiPriority w:val="0"/>
    <w:pPr>
      <w:spacing w:after="145" w:line="300" w:lineRule="auto"/>
    </w:pPr>
    <w:rPr>
      <w:rFonts w:ascii="Aptos" w:hAnsi="Aptos" w:eastAsiaTheme="minorEastAsia" w:cstheme="minorBidi"/>
      <w:color w:val="636C69"/>
      <w:sz w:val="20"/>
    </w:rPr>
  </w:style>
  <w:style w:type="paragraph" w:customStyle="1" w:styleId="11">
    <w:name w:val="CoverWarning"/>
    <w:qFormat/>
    <w:uiPriority w:val="0"/>
    <w:pPr>
      <w:spacing w:after="120" w:line="300" w:lineRule="auto"/>
    </w:pPr>
    <w:rPr>
      <w:rFonts w:ascii="Aptos" w:hAnsi="Aptos" w:eastAsiaTheme="minorEastAsia" w:cstheme="minorBidi"/>
      <w:b/>
      <w:color w:val="A15D44"/>
      <w:sz w:val="18"/>
    </w:rPr>
  </w:style>
  <w:style w:type="paragraph" w:customStyle="1" w:styleId="12">
    <w:name w:val="CoverFoot"/>
    <w:uiPriority w:val="0"/>
    <w:pPr>
      <w:spacing w:after="120" w:line="300" w:lineRule="auto"/>
    </w:pPr>
    <w:rPr>
      <w:rFonts w:ascii="Aptos" w:hAnsi="Aptos" w:eastAsiaTheme="minorEastAsia" w:cstheme="minorBidi"/>
      <w:color w:val="786D5E"/>
      <w:sz w:val="19"/>
    </w:rPr>
  </w:style>
  <w:style w:type="paragraph" w:customStyle="1" w:styleId="13">
    <w:name w:val="ReportTitle"/>
    <w:qFormat/>
    <w:uiPriority w:val="0"/>
    <w:pPr>
      <w:spacing w:after="160" w:line="300" w:lineRule="auto"/>
    </w:pPr>
    <w:rPr>
      <w:rFonts w:ascii="Georgia" w:hAnsi="Georgia" w:eastAsiaTheme="minorEastAsia" w:cstheme="minorBidi"/>
      <w:b/>
      <w:color w:val="1B2527"/>
      <w:sz w:val="35"/>
    </w:rPr>
  </w:style>
  <w:style w:type="paragraph" w:customStyle="1" w:styleId="14">
    <w:name w:val="Callout"/>
    <w:qFormat/>
    <w:uiPriority w:val="0"/>
    <w:pPr>
      <w:spacing w:after="110" w:line="300" w:lineRule="auto"/>
    </w:pPr>
    <w:rPr>
      <w:rFonts w:ascii="Aptos" w:hAnsi="Aptos" w:eastAsiaTheme="minorEastAsia" w:cstheme="minorBidi"/>
      <w:b/>
      <w:color w:val="99612C"/>
      <w:sz w:val="19"/>
    </w:rPr>
  </w:style>
  <w:style w:type="paragraph" w:customStyle="1" w:styleId="15">
    <w:name w:val="Heading1"/>
    <w:qFormat/>
    <w:uiPriority w:val="0"/>
    <w:pPr>
      <w:keepNext/>
      <w:spacing w:after="175" w:line="300" w:lineRule="auto"/>
    </w:pPr>
    <w:rPr>
      <w:rFonts w:ascii="Georgia" w:hAnsi="Georgia" w:eastAsiaTheme="minorEastAsia" w:cstheme="minorBidi"/>
      <w:b/>
      <w:color w:val="8E682B"/>
      <w:sz w:val="28"/>
    </w:rPr>
  </w:style>
  <w:style w:type="paragraph" w:customStyle="1" w:styleId="16">
    <w:name w:val="Heading2"/>
    <w:qFormat/>
    <w:uiPriority w:val="0"/>
    <w:pPr>
      <w:keepNext/>
      <w:spacing w:after="115" w:line="300" w:lineRule="auto"/>
    </w:pPr>
    <w:rPr>
      <w:rFonts w:ascii="Georgia" w:hAnsi="Georgia" w:eastAsiaTheme="minorEastAsia" w:cstheme="minorBidi"/>
      <w:b/>
      <w:color w:val="27302E"/>
      <w:sz w:val="23"/>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Company>Whitfield &amp; Crane LLP </Company>
  <Pages>2</Pages>
  <Words>234</Words>
  <Characters>1237</Characters>
  <TotalTime>0</TotalTime>
  <ScaleCrop>false</ScaleCrop>
  <LinksUpToDate>false</LinksUpToDate>
  <CharactersWithSpaces>1434</CharactersWithSpaces>
  <Application>WPS Office_12.1.0.28505_F1E327BC-269C-435d-A152-05C5408002CA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2026-10-12T20:37:00Z</dcterms:created>
  <dc:creator>Whitfield &amp; Crane LLP · RecoveryTrace Pro</dc:creator>
  <dc:description>Financial movement scenario register; source-data status is disclosed in the document header and footer.</dc:description>
  <cp:keywords>transaction register; financial routing; institution reconciliation</cp:keywords>
  <cp:lastModifiedBy>彦祖吴</cp:lastModifiedBy>
  <dcterms:modified xsi:type="dcterms:W3CDTF">2026-10-12T21:00:33Z</dcterms:modified>
  <dc:title>Investigative Financial Movement Investigation Report — #WC-2026-FX7717</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eyJoZGlkIjoiZWE4ZjA0MzE2NzhhNmJmMWI0MzVmNTc3ZTEzMzk2YjkiLCJ1c2VySWQiOiIxODAzNTg5ODczIn0=</vt:lpwstr>
  </property>
  <property fmtid="{D5CDD505-2E9C-101B-9397-08002B2CF9AE}" pid="3" name="KSOProductBuildVer">
    <vt:lpwstr>2052-12.1.0.28505</vt:lpwstr>
  </property>
  <property fmtid="{D5CDD505-2E9C-101B-9397-08002B2CF9AE}" pid="4" name="ICV">
    <vt:lpwstr>9EA716D47E714E7BBF57D858CE0ACBDD_12</vt:lpwstr>
  </property>
</Properties>
</file>