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4CEA8">
      <w:pPr>
        <w:pStyle w:val="7"/>
        <w:spacing w:before="190" w:after="100"/>
        <w:jc w:val="center"/>
      </w:pPr>
      <w:r>
        <w:t>WHITFIELD &amp; CRANE LLP</w:t>
      </w:r>
    </w:p>
    <w:p w14:paraId="1B983E2A">
      <w:pPr>
        <w:spacing w:after="230"/>
        <w:jc w:val="center"/>
      </w:pPr>
      <w:r>
        <w:drawing>
          <wp:inline distT="0" distB="0" distL="0" distR="0">
            <wp:extent cx="1749425" cy="1749425"/>
            <wp:effectExtent l="0" t="0" r="3175" b="3175"/>
            <wp:docPr id="1" name="Whitfield and Crane emblem" descr="Gold and black monogram of Whitfield and Crane LLP"/>
            <wp:cNvGraphicFramePr/>
            <a:graphic xmlns:a="http://schemas.openxmlformats.org/drawingml/2006/main">
              <a:graphicData uri="http://schemas.openxmlformats.org/drawingml/2006/picture">
                <pic:pic xmlns:pic="http://schemas.openxmlformats.org/drawingml/2006/picture">
                  <pic:nvPicPr>
                    <pic:cNvPr id="1" name="Whitfield and Crane emblem" descr="Gold and black monogram of Whitfield and Crane LLP"/>
                    <pic:cNvPicPr/>
                  </pic:nvPicPr>
                  <pic:blipFill>
                    <a:blip r:embed="rId8"/>
                    <a:stretch>
                      <a:fillRect/>
                    </a:stretch>
                  </pic:blipFill>
                  <pic:spPr>
                    <a:xfrm>
                      <a:off x="0" y="0"/>
                      <a:ext cx="1750000" cy="1750000"/>
                    </a:xfrm>
                    <a:prstGeom prst="rect">
                      <a:avLst/>
                    </a:prstGeom>
                  </pic:spPr>
                </pic:pic>
              </a:graphicData>
            </a:graphic>
          </wp:inline>
        </w:drawing>
      </w:r>
    </w:p>
    <w:p w14:paraId="7F902D7C">
      <w:pPr>
        <w:pStyle w:val="8"/>
        <w:spacing w:before="0" w:after="350"/>
        <w:jc w:val="center"/>
      </w:pPr>
      <w:r>
        <w:rPr>
          <w:b/>
          <w:sz w:val="28"/>
        </w:rPr>
        <w:t>UNDERLYING ASSET</w:t>
      </w:r>
    </w:p>
    <w:p w14:paraId="542B9D3B">
      <w:pPr>
        <w:pStyle w:val="9"/>
        <w:jc w:val="center"/>
      </w:pPr>
      <w:r>
        <w:rPr>
          <w:b/>
          <w:sz w:val="36"/>
        </w:rPr>
        <w:t>INVESTIGATION &amp; EVIDENCE DOSSIER</w:t>
      </w:r>
    </w:p>
    <w:p w14:paraId="0D700649">
      <w:pPr>
        <w:pStyle w:val="9"/>
        <w:spacing w:before="0" w:after="230"/>
        <w:jc w:val="center"/>
      </w:pPr>
    </w:p>
    <w:p w14:paraId="4084EDF7">
      <w:pPr>
        <w:pStyle w:val="10"/>
        <w:spacing w:before="0" w:after="450"/>
        <w:jc w:val="center"/>
      </w:pPr>
      <w:r>
        <w:t>FINANCIAL TRANSACTION FORENSICS  /  CASE RECORD</w:t>
      </w:r>
    </w:p>
    <w:tbl>
      <w:tblPr>
        <w:tblStyle w:val="2"/>
        <w:tblW w:w="10200" w:type="dxa"/>
        <w:tblInd w:w="0" w:type="dxa"/>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Layout w:type="fixed"/>
        <w:tblCellMar>
          <w:top w:w="110" w:type="dxa"/>
          <w:left w:w="135" w:type="dxa"/>
          <w:bottom w:w="110" w:type="dxa"/>
          <w:right w:w="135" w:type="dxa"/>
        </w:tblCellMar>
      </w:tblPr>
      <w:tblGrid>
        <w:gridCol w:w="5100"/>
        <w:gridCol w:w="5100"/>
      </w:tblGrid>
      <w:tr w14:paraId="455CE2B8">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blHeader/>
        </w:trPr>
        <w:tc>
          <w:tcPr>
            <w:tcW w:w="5100" w:type="dxa"/>
            <w:shd w:val="clear" w:color="auto" w:fill="2A302F"/>
            <w:vAlign w:val="center"/>
          </w:tcPr>
          <w:p w14:paraId="0F2EBEBD">
            <w:pPr>
              <w:pStyle w:val="6"/>
              <w:spacing w:before="0" w:after="0" w:line="250" w:lineRule="auto"/>
              <w:jc w:val="left"/>
            </w:pPr>
            <w:r>
              <w:rPr>
                <w:b/>
                <w:color w:val="FFE0A2"/>
                <w:sz w:val="19"/>
              </w:rPr>
              <w:t>CLIENT NAME</w:t>
            </w:r>
          </w:p>
        </w:tc>
        <w:tc>
          <w:tcPr>
            <w:tcW w:w="5100" w:type="dxa"/>
            <w:shd w:val="clear" w:color="auto" w:fill="2A302F"/>
            <w:vAlign w:val="center"/>
          </w:tcPr>
          <w:p w14:paraId="1A0974BD">
            <w:pPr>
              <w:pStyle w:val="6"/>
              <w:spacing w:before="0" w:after="0" w:line="250" w:lineRule="auto"/>
              <w:jc w:val="left"/>
            </w:pPr>
            <w:r>
              <w:rPr>
                <w:b/>
                <w:color w:val="FFE0A2"/>
                <w:sz w:val="19"/>
              </w:rPr>
              <w:t>CASE NUMBER</w:t>
            </w:r>
          </w:p>
        </w:tc>
      </w:tr>
      <w:tr w14:paraId="42484C2F">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203FCD24">
            <w:pPr>
              <w:pStyle w:val="6"/>
              <w:spacing w:before="0" w:after="0" w:line="250" w:lineRule="auto"/>
              <w:jc w:val="left"/>
              <w:rPr>
                <w:rFonts w:hint="default" w:eastAsiaTheme="minorEastAsia"/>
                <w:lang w:val="en-US" w:eastAsia="zh-CN"/>
              </w:rPr>
            </w:pPr>
            <w:r>
              <w:rPr>
                <w:rFonts w:hint="eastAsia"/>
                <w:color w:val="2A3030"/>
                <w:sz w:val="19"/>
                <w:lang w:val="en-US" w:eastAsia="zh-CN"/>
              </w:rPr>
              <w:t>客户姓名</w:t>
            </w:r>
          </w:p>
        </w:tc>
        <w:tc>
          <w:tcPr>
            <w:tcW w:w="5100" w:type="dxa"/>
            <w:vAlign w:val="center"/>
          </w:tcPr>
          <w:p w14:paraId="7533794D">
            <w:pPr>
              <w:pStyle w:val="6"/>
              <w:spacing w:before="0" w:after="0" w:line="250" w:lineRule="auto"/>
              <w:jc w:val="both"/>
            </w:pPr>
            <w:r>
              <w:rPr>
                <w:color w:val="2A3030"/>
                <w:sz w:val="19"/>
              </w:rPr>
              <w:t>#WC-2026-FX7717</w:t>
            </w:r>
          </w:p>
        </w:tc>
      </w:tr>
      <w:tr w14:paraId="01AD31F8">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3AF2AC9C">
            <w:pPr>
              <w:pStyle w:val="6"/>
              <w:spacing w:before="0" w:after="0" w:line="250" w:lineRule="auto"/>
              <w:jc w:val="left"/>
            </w:pPr>
            <w:r>
              <w:rPr>
                <w:color w:val="2A3030"/>
                <w:sz w:val="19"/>
              </w:rPr>
              <w:t>TOTAL REPORTED LOSS</w:t>
            </w:r>
          </w:p>
        </w:tc>
        <w:tc>
          <w:tcPr>
            <w:tcW w:w="5100" w:type="dxa"/>
            <w:shd w:val="clear" w:color="auto" w:fill="F7F2E9"/>
            <w:vAlign w:val="center"/>
          </w:tcPr>
          <w:p w14:paraId="773A9023">
            <w:pPr>
              <w:pStyle w:val="6"/>
              <w:spacing w:before="0" w:after="0" w:line="250" w:lineRule="auto"/>
              <w:jc w:val="left"/>
            </w:pPr>
            <w:r>
              <w:rPr>
                <w:color w:val="2A3030"/>
                <w:sz w:val="19"/>
              </w:rPr>
              <w:t>TRANSACTION EVENTS</w:t>
            </w:r>
          </w:p>
        </w:tc>
      </w:tr>
      <w:tr w14:paraId="62070126">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7C3FC1A2">
            <w:pPr>
              <w:pStyle w:val="6"/>
              <w:spacing w:before="0" w:after="0" w:line="250" w:lineRule="auto"/>
              <w:jc w:val="both"/>
              <w:rPr>
                <w:rFonts w:hint="default" w:eastAsiaTheme="minorEastAsia"/>
                <w:lang w:val="en-US" w:eastAsia="zh-CN"/>
              </w:rPr>
            </w:pPr>
            <w:r>
              <w:rPr>
                <w:color w:val="2A3030"/>
                <w:sz w:val="19"/>
              </w:rPr>
              <w:t>$</w:t>
            </w:r>
            <w:r>
              <w:rPr>
                <w:rFonts w:hint="eastAsia"/>
                <w:color w:val="2A3030"/>
                <w:sz w:val="19"/>
                <w:lang w:val="en-US" w:eastAsia="zh-CN"/>
              </w:rPr>
              <w:t>客户损失金额</w:t>
            </w:r>
          </w:p>
        </w:tc>
        <w:tc>
          <w:tcPr>
            <w:tcW w:w="5100" w:type="dxa"/>
            <w:vAlign w:val="center"/>
          </w:tcPr>
          <w:p w14:paraId="0A3D09C9">
            <w:pPr>
              <w:pStyle w:val="6"/>
              <w:spacing w:before="0" w:after="0" w:line="250" w:lineRule="auto"/>
              <w:jc w:val="both"/>
            </w:pPr>
            <w:r>
              <w:rPr>
                <w:color w:val="2A3030"/>
                <w:sz w:val="19"/>
              </w:rPr>
              <w:t>167</w:t>
            </w:r>
          </w:p>
        </w:tc>
      </w:tr>
      <w:tr w14:paraId="70C28CAC">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7E897081">
            <w:pPr>
              <w:pStyle w:val="6"/>
              <w:spacing w:before="0" w:after="0" w:line="250" w:lineRule="auto"/>
              <w:jc w:val="left"/>
            </w:pPr>
            <w:r>
              <w:rPr>
                <w:color w:val="2A3030"/>
                <w:sz w:val="19"/>
              </w:rPr>
              <w:t>TRACE VALUE</w:t>
            </w:r>
          </w:p>
        </w:tc>
        <w:tc>
          <w:tcPr>
            <w:tcW w:w="5100" w:type="dxa"/>
            <w:shd w:val="clear" w:color="auto" w:fill="F7F2E9"/>
            <w:vAlign w:val="center"/>
          </w:tcPr>
          <w:p w14:paraId="02C30734">
            <w:pPr>
              <w:pStyle w:val="6"/>
              <w:spacing w:before="0" w:after="0" w:line="250" w:lineRule="auto"/>
              <w:jc w:val="left"/>
            </w:pPr>
            <w:r>
              <w:rPr>
                <w:color w:val="2A3030"/>
                <w:sz w:val="19"/>
              </w:rPr>
              <w:t>FINAL TRACE REGION</w:t>
            </w:r>
          </w:p>
        </w:tc>
      </w:tr>
      <w:tr w14:paraId="6D80ECD7">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0C95A30D">
            <w:pPr>
              <w:pStyle w:val="6"/>
              <w:spacing w:before="0" w:after="0" w:line="250" w:lineRule="auto"/>
              <w:jc w:val="left"/>
              <w:rPr>
                <w:rFonts w:hint="default" w:eastAsiaTheme="minorEastAsia"/>
                <w:lang w:val="en-US" w:eastAsia="zh-CN"/>
              </w:rPr>
            </w:pPr>
            <w:r>
              <w:rPr>
                <w:color w:val="2A3030"/>
                <w:sz w:val="19"/>
              </w:rPr>
              <w:t>$</w:t>
            </w:r>
            <w:r>
              <w:rPr>
                <w:rFonts w:hint="eastAsia"/>
                <w:color w:val="2A3030"/>
                <w:sz w:val="19"/>
                <w:lang w:val="en-US" w:eastAsia="zh-CN"/>
              </w:rPr>
              <w:t>客户其中一笔转账金额</w:t>
            </w:r>
          </w:p>
        </w:tc>
        <w:tc>
          <w:tcPr>
            <w:tcW w:w="5100" w:type="dxa"/>
            <w:vAlign w:val="center"/>
          </w:tcPr>
          <w:p w14:paraId="5115A495">
            <w:pPr>
              <w:pStyle w:val="6"/>
              <w:spacing w:before="0" w:after="0" w:line="250" w:lineRule="auto"/>
              <w:jc w:val="left"/>
            </w:pPr>
            <w:r>
              <w:rPr>
                <w:color w:val="2A3030"/>
                <w:sz w:val="19"/>
              </w:rPr>
              <w:t>London, United Kingdom</w:t>
            </w:r>
          </w:p>
        </w:tc>
      </w:tr>
    </w:tbl>
    <w:p w14:paraId="5547EA34"/>
    <w:p w14:paraId="0C7DB384">
      <w:r>
        <w:rPr>
          <w:b/>
          <w:color w:val="B89758"/>
          <w:sz w:val="22"/>
        </w:rPr>
        <w:t>01</w:t>
      </w:r>
      <w:r>
        <w:rPr>
          <w:rFonts w:hint="eastAsia"/>
          <w:b/>
          <w:color w:val="B89758"/>
          <w:sz w:val="22"/>
          <w:lang w:val="en-US" w:eastAsia="zh-CN"/>
        </w:rPr>
        <w:t xml:space="preserve">. </w:t>
      </w:r>
      <w:r>
        <w:rPr>
          <w:b/>
          <w:color w:val="B89758"/>
          <w:sz w:val="22"/>
        </w:rPr>
        <w:t xml:space="preserve">BACKGROUND &amp; PURPOSE </w:t>
      </w:r>
    </w:p>
    <w:p w14:paraId="0D38E024">
      <w:r>
        <w:rPr>
          <w:sz w:val="20"/>
        </w:rPr>
        <w:t>Commissioned by the client, our asset tracing team conducted an in-depth, bottom-layer trace of the diverted funds originating from a cyber fraud scheme. The investigation aims to penetrate the obfuscation routing to identify the final physical and digital destination of the assets.</w:t>
      </w:r>
    </w:p>
    <w:p w14:paraId="3C3FDC73">
      <w:r>
        <w:rPr>
          <w:rFonts w:hint="eastAsia" w:ascii="Arial" w:hAnsi="Arial" w:eastAsia="宋体" w:cs="Arial"/>
          <w:i w:val="0"/>
          <w:iCs w:val="0"/>
          <w:caps w:val="0"/>
          <w:color w:val="111111"/>
          <w:spacing w:val="0"/>
          <w:sz w:val="24"/>
          <w:szCs w:val="24"/>
          <w:lang w:eastAsia="zh-CN"/>
        </w:rPr>
        <w:drawing>
          <wp:anchor distT="0" distB="0" distL="114300" distR="114300" simplePos="0" relativeHeight="251659264" behindDoc="1" locked="0" layoutInCell="1" allowOverlap="1">
            <wp:simplePos x="0" y="0"/>
            <wp:positionH relativeFrom="column">
              <wp:posOffset>3114040</wp:posOffset>
            </wp:positionH>
            <wp:positionV relativeFrom="paragraph">
              <wp:posOffset>-3434715</wp:posOffset>
            </wp:positionV>
            <wp:extent cx="3877945" cy="3877945"/>
            <wp:effectExtent l="0" t="0" r="8255" b="8255"/>
            <wp:wrapNone/>
            <wp:docPr id="3" name="图片 3"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p w14:paraId="479A7E76">
      <w:r>
        <w:rPr>
          <w:b/>
          <w:color w:val="B89758"/>
          <w:sz w:val="22"/>
        </w:rPr>
        <w:t>02</w:t>
      </w:r>
      <w:r>
        <w:rPr>
          <w:rFonts w:hint="eastAsia"/>
          <w:b/>
          <w:color w:val="B89758"/>
          <w:sz w:val="22"/>
          <w:lang w:val="en-US" w:eastAsia="zh-CN"/>
        </w:rPr>
        <w:t xml:space="preserve">. </w:t>
      </w:r>
      <w:r>
        <w:rPr>
          <w:b/>
          <w:color w:val="B89758"/>
          <w:sz w:val="22"/>
        </w:rPr>
        <w:t xml:space="preserve">FUNDS MOVEMENT ROUTE </w:t>
      </w:r>
    </w:p>
    <w:p w14:paraId="398A250F">
      <w:r>
        <w:rPr>
          <w:sz w:val="20"/>
        </w:rPr>
        <w:t>Based on blockchain and fiat penetration tracing, the client's defrauded funds underwent a highly complex laundering process post-transfer:</w:t>
      </w:r>
    </w:p>
    <w:p w14:paraId="659EC750">
      <w:r>
        <w:rPr>
          <w:sz w:val="20"/>
        </w:rPr>
        <w:t>• High-Frequency Routing: Funds were rapidly transferred 167 times within a short timeframe.</w:t>
      </w:r>
    </w:p>
    <w:p w14:paraId="4F03AB03">
      <w:r>
        <w:rPr>
          <w:sz w:val="20"/>
        </w:rPr>
        <w:t>• Obfuscation Network: The perpetrators cross-utilized offshore shell company corporate accounts and fictitious international trade settlement flows.</w:t>
      </w:r>
    </w:p>
    <w:p w14:paraId="2D706CFA">
      <w:r>
        <w:rPr>
          <w:sz w:val="20"/>
        </w:rPr>
        <w:t>• Crypto Mixing: Certain segments of the routing chain utilized cryptocurrency mixers (Crypto Mixers) to sever the fiat tracing links.</w:t>
      </w:r>
    </w:p>
    <w:p w14:paraId="2F6008B2"/>
    <w:p w14:paraId="4309F2B9">
      <w:r>
        <w:rPr>
          <w:b/>
          <w:color w:val="B89758"/>
          <w:sz w:val="22"/>
        </w:rPr>
        <w:t>03</w:t>
      </w:r>
      <w:r>
        <w:rPr>
          <w:rFonts w:hint="eastAsia"/>
          <w:b/>
          <w:color w:val="B89758"/>
          <w:sz w:val="22"/>
          <w:lang w:val="en-US" w:eastAsia="zh-CN"/>
        </w:rPr>
        <w:t xml:space="preserve">. </w:t>
      </w:r>
      <w:r>
        <w:rPr>
          <w:b/>
          <w:color w:val="B89758"/>
          <w:sz w:val="22"/>
        </w:rPr>
        <w:t xml:space="preserve">FINAL ASSET DESTINATION </w:t>
      </w:r>
    </w:p>
    <w:tbl>
      <w:tblPr>
        <w:tblStyle w:val="2"/>
        <w:tblW w:w="0" w:type="auto"/>
        <w:tblInd w:w="0" w:type="dxa"/>
        <w:tblLayout w:type="autofit"/>
        <w:tblCellMar>
          <w:top w:w="0" w:type="dxa"/>
          <w:left w:w="10" w:type="dxa"/>
          <w:bottom w:w="0" w:type="dxa"/>
          <w:right w:w="10" w:type="dxa"/>
        </w:tblCellMar>
      </w:tblPr>
      <w:tblGrid>
        <w:gridCol w:w="5120"/>
        <w:gridCol w:w="5120"/>
      </w:tblGrid>
      <w:tr w14:paraId="2F724147">
        <w:tblPrEx>
          <w:tblCellMar>
            <w:top w:w="0" w:type="dxa"/>
            <w:left w:w="10" w:type="dxa"/>
            <w:bottom w:w="0" w:type="dxa"/>
            <w:right w:w="10" w:type="dxa"/>
          </w:tblCellMar>
        </w:tblPrEx>
        <w:tc>
          <w:tcPr>
            <w:tcW w:w="5120" w:type="dxa"/>
          </w:tcPr>
          <w:p w14:paraId="0908C42A">
            <w:r>
              <w:rPr>
                <w:b/>
                <w:color w:val="B89758"/>
                <w:sz w:val="18"/>
              </w:rPr>
              <w:t>METRIC</w:t>
            </w:r>
          </w:p>
        </w:tc>
        <w:tc>
          <w:tcPr>
            <w:tcW w:w="5120" w:type="dxa"/>
          </w:tcPr>
          <w:p w14:paraId="7F1612B3">
            <w:r>
              <w:rPr>
                <w:b/>
                <w:color w:val="B89758"/>
                <w:sz w:val="18"/>
              </w:rPr>
              <w:t>VALUE</w:t>
            </w:r>
          </w:p>
        </w:tc>
      </w:tr>
      <w:tr w14:paraId="58A3EFFB">
        <w:tblPrEx>
          <w:tblCellMar>
            <w:top w:w="0" w:type="dxa"/>
            <w:left w:w="10" w:type="dxa"/>
            <w:bottom w:w="0" w:type="dxa"/>
            <w:right w:w="10" w:type="dxa"/>
          </w:tblCellMar>
        </w:tblPrEx>
        <w:tc>
          <w:tcPr>
            <w:tcW w:w="5120" w:type="dxa"/>
          </w:tcPr>
          <w:p w14:paraId="0EFE8A3C">
            <w:r>
              <w:rPr>
                <w:sz w:val="18"/>
              </w:rPr>
              <w:t>Destination Platform</w:t>
            </w:r>
          </w:p>
        </w:tc>
        <w:tc>
          <w:tcPr>
            <w:tcW w:w="5120" w:type="dxa"/>
          </w:tcPr>
          <w:p w14:paraId="54E37CD7">
            <w:r>
              <w:rPr>
                <w:sz w:val="18"/>
              </w:rPr>
              <w:t>Wise (formerly TransferWise)</w:t>
            </w:r>
          </w:p>
        </w:tc>
      </w:tr>
      <w:tr w14:paraId="76A1459B">
        <w:tblPrEx>
          <w:tblCellMar>
            <w:top w:w="0" w:type="dxa"/>
            <w:left w:w="10" w:type="dxa"/>
            <w:bottom w:w="0" w:type="dxa"/>
            <w:right w:w="10" w:type="dxa"/>
          </w:tblCellMar>
        </w:tblPrEx>
        <w:tc>
          <w:tcPr>
            <w:tcW w:w="5120" w:type="dxa"/>
          </w:tcPr>
          <w:p w14:paraId="119F976D">
            <w:r>
              <w:rPr>
                <w:sz w:val="18"/>
              </w:rPr>
              <w:t>Recipient Name</w:t>
            </w:r>
          </w:p>
        </w:tc>
        <w:tc>
          <w:tcPr>
            <w:tcW w:w="5120" w:type="dxa"/>
          </w:tcPr>
          <w:p w14:paraId="567F2AEC">
            <w:r>
              <w:rPr>
                <w:sz w:val="18"/>
              </w:rPr>
              <w:t>Toby A Blackburn</w:t>
            </w:r>
          </w:p>
        </w:tc>
      </w:tr>
      <w:tr w14:paraId="25A3C685">
        <w:tblPrEx>
          <w:tblCellMar>
            <w:top w:w="0" w:type="dxa"/>
            <w:left w:w="10" w:type="dxa"/>
            <w:bottom w:w="0" w:type="dxa"/>
            <w:right w:w="10" w:type="dxa"/>
          </w:tblCellMar>
        </w:tblPrEx>
        <w:tc>
          <w:tcPr>
            <w:tcW w:w="5120" w:type="dxa"/>
          </w:tcPr>
          <w:p w14:paraId="4C69B7BD">
            <w:r>
              <w:rPr>
                <w:sz w:val="18"/>
              </w:rPr>
              <w:t>Associated Card Reference</w:t>
            </w:r>
          </w:p>
        </w:tc>
        <w:tc>
          <w:tcPr>
            <w:tcW w:w="5120" w:type="dxa"/>
          </w:tcPr>
          <w:p w14:paraId="61EDE27D">
            <w:r>
              <w:rPr>
                <w:sz w:val="18"/>
              </w:rPr>
              <w:t>4756 **** **** 8842 / Ending in #8842</w:t>
            </w:r>
          </w:p>
        </w:tc>
      </w:tr>
    </w:tbl>
    <w:p w14:paraId="7BF0CEC6"/>
    <w:p w14:paraId="59D08AB9">
      <w:r>
        <w:rPr>
          <w:b/>
          <w:color w:val="B89758"/>
          <w:sz w:val="22"/>
        </w:rPr>
        <w:t>04</w:t>
      </w:r>
      <w:r>
        <w:rPr>
          <w:rFonts w:hint="eastAsia"/>
          <w:b/>
          <w:color w:val="B89758"/>
          <w:sz w:val="22"/>
          <w:lang w:val="en-US" w:eastAsia="zh-CN"/>
        </w:rPr>
        <w:t xml:space="preserve">. </w:t>
      </w:r>
      <w:r>
        <w:rPr>
          <w:b/>
          <w:color w:val="B89758"/>
          <w:sz w:val="22"/>
        </w:rPr>
        <w:t>INVESTIGATION CONCLUSION</w:t>
      </w:r>
    </w:p>
    <w:p w14:paraId="55BDDBCF">
      <w:r>
        <w:rPr>
          <w:sz w:val="20"/>
        </w:rPr>
        <w:t>This account exhibits classic characteristics of money laundering and illicit funds receipt. Given that the assets have crossed borders into the UK jurisdiction, we recommend the immediate initiation of mutual legal assistance protocols and regulatory freeze procedures.</w:t>
      </w:r>
    </w:p>
    <w:p w14:paraId="019C0DBB"/>
    <w:p w14:paraId="76303041"/>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Counsel Signature:</w:t>
            </w:r>
          </w:p>
          <w:p w14:paraId="34A4E5D8">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361950</wp:posOffset>
                  </wp:positionH>
                  <wp:positionV relativeFrom="paragraph">
                    <wp:posOffset>40005</wp:posOffset>
                  </wp:positionV>
                  <wp:extent cx="2070100" cy="689610"/>
                  <wp:effectExtent l="0" t="0" r="0" b="0"/>
                  <wp:wrapNone/>
                  <wp:docPr id="4" name="图片 4"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律师签名"/>
                          <pic:cNvPicPr>
                            <a:picLocks noChangeAspect="1"/>
                          </pic:cNvPicPr>
                        </pic:nvPicPr>
                        <pic:blipFill>
                          <a:blip r:embed="rId10"/>
                          <a:stretch>
                            <a:fillRect/>
                          </a:stretch>
                        </pic:blipFill>
                        <pic:spPr>
                          <a:xfrm>
                            <a:off x="0" y="0"/>
                            <a:ext cx="2070100" cy="689610"/>
                          </a:xfrm>
                          <a:prstGeom prst="rect">
                            <a:avLst/>
                          </a:prstGeom>
                        </pic:spPr>
                      </pic:pic>
                    </a:graphicData>
                  </a:graphic>
                </wp:anchor>
              </w:drawing>
            </w: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1"/>
                          <a:stretch>
                            <a:fillRect/>
                          </a:stretch>
                        </pic:blipFill>
                        <pic:spPr>
                          <a:xfrm>
                            <a:off x="0" y="0"/>
                            <a:ext cx="1410970" cy="357505"/>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73230AB4">
      <w:bookmarkStart w:id="0" w:name="_GoBack"/>
      <w:bookmarkEnd w:id="0"/>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2336" behindDoc="1" locked="0" layoutInCell="1" allowOverlap="1">
            <wp:simplePos x="0" y="0"/>
            <wp:positionH relativeFrom="column">
              <wp:posOffset>3114040</wp:posOffset>
            </wp:positionH>
            <wp:positionV relativeFrom="paragraph">
              <wp:posOffset>-1926590</wp:posOffset>
            </wp:positionV>
            <wp:extent cx="3877945" cy="3877945"/>
            <wp:effectExtent l="0" t="0" r="8255" b="8255"/>
            <wp:wrapNone/>
            <wp:docPr id="6" name="图片 6"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sectPr>
      <w:headerReference r:id="rId5" w:type="default"/>
      <w:footerReference r:id="rId6" w:type="default"/>
      <w:pgSz w:w="12240" w:h="15840"/>
      <w:pgMar w:top="1150" w:right="1000" w:bottom="1050" w:left="1000" w:header="500" w:footer="5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49CFE">
    <w:pPr>
      <w:pBdr>
        <w:top w:val="single" w:color="CAB88B" w:sz="6" w:space="8"/>
      </w:pBdr>
    </w:pPr>
    <w:r>
      <w:rPr>
        <w:color w:val="806C4D"/>
        <w:sz w:val="16"/>
      </w:rPr>
      <w:t>#WC-2026-FX7717</w:t>
    </w:r>
    <w:r>
      <w:rPr>
        <w:color w:val="807F77"/>
        <w:sz w:val="16"/>
      </w:rPr>
      <w:t xml:space="preserve">                                  </w:t>
    </w:r>
    <w:r>
      <w:rPr>
        <w:rFonts w:hint="eastAsia"/>
        <w:color w:val="807F77"/>
        <w:sz w:val="16"/>
        <w:lang w:val="en-US" w:eastAsia="zh-CN"/>
      </w:rPr>
      <w:t xml:space="preserve">                                                                                                                                                        </w:t>
    </w:r>
    <w:r>
      <w:rPr>
        <w:color w:val="807F77"/>
        <w:sz w:val="16"/>
      </w:rPr>
      <w:t xml:space="preserve">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6C710">
    <w:pPr>
      <w:pBdr>
        <w:bottom w:val="single" w:color="B98B45" w:sz="8" w:space="9"/>
      </w:pBdr>
      <w:jc w:val="right"/>
    </w:pPr>
    <w:r>
      <w:rPr>
        <w:b/>
        <w:color w:val="A37D43"/>
        <w:sz w:val="15"/>
      </w:rPr>
      <w:t xml:space="preserve">WHITFIELD &amp; CRANE LLP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2B2A78D0"/>
    <w:rsid w:val="37046FB6"/>
    <w:rsid w:val="44EE61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95" w:line="300" w:lineRule="auto"/>
    </w:pPr>
    <w:rPr>
      <w:rFonts w:ascii="Aptos" w:hAnsi="Aptos" w:eastAsiaTheme="minorEastAsia" w:cstheme="minorBidi"/>
      <w:color w:val="343B3D"/>
      <w:sz w:val="21"/>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BodyText"/>
    <w:qFormat/>
    <w:uiPriority w:val="0"/>
    <w:pPr>
      <w:spacing w:after="140" w:line="300" w:lineRule="auto"/>
    </w:pPr>
    <w:rPr>
      <w:rFonts w:ascii="Aptos" w:hAnsi="Aptos" w:eastAsiaTheme="minorEastAsia" w:cstheme="minorBidi"/>
      <w:color w:val="374046"/>
      <w:sz w:val="21"/>
    </w:rPr>
  </w:style>
  <w:style w:type="paragraph" w:customStyle="1" w:styleId="6">
    <w:name w:val="TableBody"/>
    <w:uiPriority w:val="0"/>
    <w:pPr>
      <w:spacing w:after="0" w:line="300" w:lineRule="auto"/>
    </w:pPr>
    <w:rPr>
      <w:rFonts w:ascii="Aptos" w:hAnsi="Aptos" w:eastAsiaTheme="minorEastAsia" w:cstheme="minorBidi"/>
      <w:color w:val="343B3D"/>
      <w:sz w:val="18"/>
    </w:rPr>
  </w:style>
  <w:style w:type="paragraph" w:customStyle="1" w:styleId="7">
    <w:name w:val="Overline"/>
    <w:qFormat/>
    <w:uiPriority w:val="0"/>
    <w:pPr>
      <w:spacing w:after="140" w:line="300" w:lineRule="auto"/>
    </w:pPr>
    <w:rPr>
      <w:rFonts w:ascii="Aptos" w:hAnsi="Aptos" w:eastAsiaTheme="minorEastAsia" w:cstheme="minorBidi"/>
      <w:b/>
      <w:color w:val="9B7843"/>
      <w:sz w:val="24"/>
    </w:rPr>
  </w:style>
  <w:style w:type="paragraph" w:customStyle="1" w:styleId="8">
    <w:name w:val="CoverBrand"/>
    <w:uiPriority w:val="0"/>
    <w:pPr>
      <w:spacing w:after="160" w:line="300" w:lineRule="auto"/>
    </w:pPr>
    <w:rPr>
      <w:rFonts w:ascii="Georgia" w:hAnsi="Georgia" w:eastAsiaTheme="minorEastAsia" w:cstheme="minorBidi"/>
      <w:b/>
      <w:color w:val="B88A43"/>
      <w:sz w:val="28"/>
    </w:rPr>
  </w:style>
  <w:style w:type="paragraph" w:customStyle="1" w:styleId="9">
    <w:name w:val="CoverTitle"/>
    <w:qFormat/>
    <w:uiPriority w:val="0"/>
    <w:pPr>
      <w:spacing w:after="100" w:line="300" w:lineRule="auto"/>
    </w:pPr>
    <w:rPr>
      <w:rFonts w:ascii="Georgia" w:hAnsi="Georgia" w:eastAsiaTheme="minorEastAsia" w:cstheme="minorBidi"/>
      <w:b/>
      <w:color w:val="1D272B"/>
      <w:sz w:val="48"/>
    </w:rPr>
  </w:style>
  <w:style w:type="paragraph" w:customStyle="1" w:styleId="10">
    <w:name w:val="CoverSub"/>
    <w:qFormat/>
    <w:uiPriority w:val="0"/>
    <w:pPr>
      <w:spacing w:after="145" w:line="300" w:lineRule="auto"/>
    </w:pPr>
    <w:rPr>
      <w:rFonts w:ascii="Aptos" w:hAnsi="Aptos" w:eastAsiaTheme="minorEastAsia" w:cstheme="minorBidi"/>
      <w:color w:val="636C69"/>
      <w:sz w:val="20"/>
    </w:rPr>
  </w:style>
  <w:style w:type="paragraph" w:customStyle="1" w:styleId="11">
    <w:name w:val="CoverWarning"/>
    <w:qFormat/>
    <w:uiPriority w:val="0"/>
    <w:pPr>
      <w:spacing w:after="120" w:line="300" w:lineRule="auto"/>
    </w:pPr>
    <w:rPr>
      <w:rFonts w:ascii="Aptos" w:hAnsi="Aptos" w:eastAsiaTheme="minorEastAsia" w:cstheme="minorBidi"/>
      <w:b/>
      <w:color w:val="A15D44"/>
      <w:sz w:val="18"/>
    </w:rPr>
  </w:style>
  <w:style w:type="paragraph" w:customStyle="1" w:styleId="12">
    <w:name w:val="CoverFoot"/>
    <w:qFormat/>
    <w:uiPriority w:val="0"/>
    <w:pPr>
      <w:spacing w:after="120" w:line="300" w:lineRule="auto"/>
    </w:pPr>
    <w:rPr>
      <w:rFonts w:ascii="Aptos" w:hAnsi="Aptos" w:eastAsiaTheme="minorEastAsia" w:cstheme="minorBidi"/>
      <w:color w:val="786D5E"/>
      <w:sz w:val="19"/>
    </w:rPr>
  </w:style>
  <w:style w:type="paragraph" w:customStyle="1" w:styleId="13">
    <w:name w:val="ReportTitle"/>
    <w:uiPriority w:val="0"/>
    <w:pPr>
      <w:spacing w:after="160" w:line="300" w:lineRule="auto"/>
    </w:pPr>
    <w:rPr>
      <w:rFonts w:ascii="Georgia" w:hAnsi="Georgia" w:eastAsiaTheme="minorEastAsia" w:cstheme="minorBidi"/>
      <w:b/>
      <w:color w:val="1B2527"/>
      <w:sz w:val="35"/>
    </w:rPr>
  </w:style>
  <w:style w:type="paragraph" w:customStyle="1" w:styleId="14">
    <w:name w:val="Callout"/>
    <w:uiPriority w:val="0"/>
    <w:pPr>
      <w:spacing w:after="110" w:line="300" w:lineRule="auto"/>
    </w:pPr>
    <w:rPr>
      <w:rFonts w:ascii="Aptos" w:hAnsi="Aptos" w:eastAsiaTheme="minorEastAsia" w:cstheme="minorBidi"/>
      <w:b/>
      <w:color w:val="99612C"/>
      <w:sz w:val="19"/>
    </w:rPr>
  </w:style>
  <w:style w:type="paragraph" w:customStyle="1" w:styleId="15">
    <w:name w:val="Heading1"/>
    <w:qFormat/>
    <w:uiPriority w:val="0"/>
    <w:pPr>
      <w:keepNext/>
      <w:spacing w:after="175" w:line="300" w:lineRule="auto"/>
    </w:pPr>
    <w:rPr>
      <w:rFonts w:ascii="Georgia" w:hAnsi="Georgia" w:eastAsiaTheme="minorEastAsia" w:cstheme="minorBidi"/>
      <w:b/>
      <w:color w:val="8E682B"/>
      <w:sz w:val="28"/>
    </w:rPr>
  </w:style>
  <w:style w:type="paragraph" w:customStyle="1" w:styleId="16">
    <w:name w:val="Heading2"/>
    <w:qFormat/>
    <w:uiPriority w:val="0"/>
    <w:pPr>
      <w:keepNext/>
      <w:spacing w:after="115" w:line="300" w:lineRule="auto"/>
    </w:pPr>
    <w:rPr>
      <w:rFonts w:ascii="Georgia" w:hAnsi="Georgia" w:eastAsiaTheme="minorEastAsia" w:cstheme="minorBidi"/>
      <w:b/>
      <w:color w:val="27302E"/>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Whitfield &amp; Crane LLP </Company>
  <Pages>2</Pages>
  <Words>269</Words>
  <Characters>1461</Characters>
  <TotalTime>0</TotalTime>
  <ScaleCrop>false</ScaleCrop>
  <LinksUpToDate>false</LinksUpToDate>
  <CharactersWithSpaces>1674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2026-10-12T20:38:00Z</dcterms:created>
  <dc:creator>Whitfield &amp; Crane LLP · RecoveryTrace Pro</dc:creator>
  <dc:description>Financial movement scenario register; source-data status is disclosed in the document header and footer.</dc:description>
  <cp:keywords>transaction register; financial routing; institution reconciliation</cp:keywords>
  <cp:lastModifiedBy>彦祖吴</cp:lastModifiedBy>
  <dcterms:modified xsi:type="dcterms:W3CDTF">2026-10-12T21:38:44Z</dcterms:modified>
  <dc:title>Investigative Financial Movement Investigation Report — #WC-2026-FX7717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3B6B97C102604F4E98B7995785990494_12</vt:lpwstr>
  </property>
</Properties>
</file>