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7EFB1">
      <w:pPr>
        <w:pStyle w:val="7"/>
        <w:spacing w:before="190" w:after="100"/>
        <w:jc w:val="center"/>
      </w:pPr>
      <w:r>
        <w:t>WHITFIELD &amp; CRANE LLP</w:t>
      </w:r>
    </w:p>
    <w:p w14:paraId="5E0FFA7C">
      <w:pPr>
        <w:spacing w:after="230"/>
        <w:jc w:val="center"/>
      </w:pPr>
      <w:r>
        <w:drawing>
          <wp:inline distT="0" distB="0" distL="0" distR="0">
            <wp:extent cx="1749425" cy="1749425"/>
            <wp:effectExtent l="0" t="0" r="3175" b="3175"/>
            <wp:docPr id="1" name="Whitfield and Crane emblem" descr="Gold and black monogram of Whitfield and Crane LLP"/>
            <wp:cNvGraphicFramePr/>
            <a:graphic xmlns:a="http://schemas.openxmlformats.org/drawingml/2006/main">
              <a:graphicData uri="http://schemas.openxmlformats.org/drawingml/2006/picture">
                <pic:pic xmlns:pic="http://schemas.openxmlformats.org/drawingml/2006/picture">
                  <pic:nvPicPr>
                    <pic:cNvPr id="1" name="Whitfield and Crane emblem" descr="Gold and black monogram of Whitfield and Crane LLP"/>
                    <pic:cNvPicPr/>
                  </pic:nvPicPr>
                  <pic:blipFill>
                    <a:blip r:embed="rId8"/>
                    <a:stretch>
                      <a:fillRect/>
                    </a:stretch>
                  </pic:blipFill>
                  <pic:spPr>
                    <a:xfrm>
                      <a:off x="0" y="0"/>
                      <a:ext cx="1750000" cy="1750000"/>
                    </a:xfrm>
                    <a:prstGeom prst="rect">
                      <a:avLst/>
                    </a:prstGeom>
                  </pic:spPr>
                </pic:pic>
              </a:graphicData>
            </a:graphic>
          </wp:inline>
        </w:drawing>
      </w:r>
    </w:p>
    <w:p w14:paraId="1FDF9767">
      <w:pPr>
        <w:pStyle w:val="8"/>
        <w:spacing w:before="0" w:after="350"/>
        <w:jc w:val="center"/>
      </w:pPr>
      <w:r>
        <w:rPr>
          <w:b/>
          <w:sz w:val="28"/>
        </w:rPr>
        <w:t>URGENT NOTICE OF</w:t>
      </w:r>
    </w:p>
    <w:p w14:paraId="27266F77">
      <w:pPr>
        <w:pStyle w:val="9"/>
        <w:jc w:val="center"/>
      </w:pPr>
      <w:r>
        <w:rPr>
          <w:b/>
          <w:sz w:val="36"/>
        </w:rPr>
        <w:t>FRAUDULENT FUNDS</w:t>
      </w:r>
    </w:p>
    <w:p w14:paraId="3C2A5030">
      <w:pPr>
        <w:pStyle w:val="9"/>
        <w:spacing w:before="0" w:after="230"/>
        <w:jc w:val="center"/>
      </w:pPr>
    </w:p>
    <w:p w14:paraId="0B0520A7">
      <w:pPr>
        <w:pStyle w:val="10"/>
        <w:spacing w:before="0" w:after="450"/>
        <w:jc w:val="center"/>
      </w:pPr>
      <w:r>
        <w:t>FINANCIAL TRANSACTION FORENSICS  /  CASE RECORD</w:t>
      </w:r>
    </w:p>
    <w:tbl>
      <w:tblPr>
        <w:tblStyle w:val="2"/>
        <w:tblW w:w="10200" w:type="dxa"/>
        <w:tblInd w:w="0" w:type="dxa"/>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Layout w:type="fixed"/>
        <w:tblCellMar>
          <w:top w:w="110" w:type="dxa"/>
          <w:left w:w="135" w:type="dxa"/>
          <w:bottom w:w="110" w:type="dxa"/>
          <w:right w:w="135" w:type="dxa"/>
        </w:tblCellMar>
      </w:tblPr>
      <w:tblGrid>
        <w:gridCol w:w="5100"/>
        <w:gridCol w:w="5100"/>
      </w:tblGrid>
      <w:tr w14:paraId="3D9F9340">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blHeader/>
        </w:trPr>
        <w:tc>
          <w:tcPr>
            <w:tcW w:w="5100" w:type="dxa"/>
            <w:shd w:val="clear" w:color="auto" w:fill="2A302F"/>
            <w:vAlign w:val="center"/>
          </w:tcPr>
          <w:p w14:paraId="3AAAF3DD">
            <w:pPr>
              <w:pStyle w:val="6"/>
              <w:spacing w:before="0" w:after="0" w:line="250" w:lineRule="auto"/>
              <w:jc w:val="left"/>
            </w:pPr>
            <w:r>
              <w:rPr>
                <w:b/>
                <w:color w:val="FFE0A2"/>
                <w:sz w:val="19"/>
              </w:rPr>
              <w:t>TO: COMPLIANCE DEPT</w:t>
            </w:r>
          </w:p>
        </w:tc>
        <w:tc>
          <w:tcPr>
            <w:tcW w:w="5100" w:type="dxa"/>
            <w:shd w:val="clear" w:color="auto" w:fill="2A302F"/>
            <w:vAlign w:val="center"/>
          </w:tcPr>
          <w:p w14:paraId="00818C33">
            <w:pPr>
              <w:pStyle w:val="6"/>
              <w:spacing w:before="0" w:after="0" w:line="250" w:lineRule="auto"/>
              <w:jc w:val="left"/>
            </w:pPr>
            <w:r>
              <w:rPr>
                <w:b/>
                <w:color w:val="FFE0A2"/>
                <w:sz w:val="19"/>
              </w:rPr>
              <w:t>CASE NUMBER</w:t>
            </w:r>
          </w:p>
        </w:tc>
      </w:tr>
      <w:tr w14:paraId="3CB36844">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44FD17B8">
            <w:pPr>
              <w:pStyle w:val="6"/>
              <w:spacing w:before="0" w:after="0" w:line="250" w:lineRule="auto"/>
              <w:jc w:val="left"/>
            </w:pPr>
            <w:r>
              <w:rPr>
                <w:color w:val="2A3030"/>
                <w:sz w:val="19"/>
              </w:rPr>
              <w:t>Wise Payments Limited</w:t>
            </w:r>
          </w:p>
        </w:tc>
        <w:tc>
          <w:tcPr>
            <w:tcW w:w="5100" w:type="dxa"/>
            <w:vAlign w:val="center"/>
          </w:tcPr>
          <w:p w14:paraId="05A9BF83">
            <w:pPr>
              <w:pStyle w:val="6"/>
              <w:spacing w:before="0" w:after="0" w:line="250" w:lineRule="auto"/>
              <w:jc w:val="both"/>
            </w:pPr>
            <w:r>
              <w:rPr>
                <w:color w:val="2A3030"/>
                <w:sz w:val="19"/>
              </w:rPr>
              <w:t>#WC-2026-FX7717</w:t>
            </w:r>
          </w:p>
        </w:tc>
      </w:tr>
      <w:tr w14:paraId="4F7BCC1B">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shd w:val="clear" w:color="auto" w:fill="F7F2E9"/>
            <w:vAlign w:val="center"/>
          </w:tcPr>
          <w:p w14:paraId="7FEFD0CD">
            <w:pPr>
              <w:pStyle w:val="6"/>
              <w:spacing w:before="0" w:after="0" w:line="250" w:lineRule="auto"/>
              <w:jc w:val="left"/>
            </w:pPr>
            <w:r>
              <w:rPr>
                <w:color w:val="2A3030"/>
                <w:sz w:val="19"/>
              </w:rPr>
              <w:t>FROM</w:t>
            </w:r>
          </w:p>
        </w:tc>
        <w:tc>
          <w:tcPr>
            <w:tcW w:w="5100" w:type="dxa"/>
            <w:shd w:val="clear" w:color="auto" w:fill="F7F2E9"/>
            <w:vAlign w:val="center"/>
          </w:tcPr>
          <w:p w14:paraId="4F9D5E11">
            <w:pPr>
              <w:pStyle w:val="6"/>
              <w:spacing w:before="0" w:after="0" w:line="250" w:lineRule="auto"/>
              <w:jc w:val="left"/>
            </w:pPr>
            <w:r>
              <w:rPr>
                <w:color w:val="2A3030"/>
                <w:sz w:val="19"/>
              </w:rPr>
              <w:t>SUBJECT</w:t>
            </w:r>
          </w:p>
        </w:tc>
      </w:tr>
      <w:tr w14:paraId="6998919F">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5925F9B0">
            <w:pPr>
              <w:pStyle w:val="6"/>
              <w:spacing w:before="0" w:after="0" w:line="250" w:lineRule="auto"/>
              <w:jc w:val="both"/>
            </w:pPr>
            <w:r>
              <w:rPr>
                <w:color w:val="2A3030"/>
                <w:sz w:val="19"/>
              </w:rPr>
              <w:t>Whitfield &amp; Crane LLP</w:t>
            </w:r>
          </w:p>
        </w:tc>
        <w:tc>
          <w:tcPr>
            <w:tcW w:w="5100" w:type="dxa"/>
            <w:vAlign w:val="center"/>
          </w:tcPr>
          <w:p w14:paraId="467C754F">
            <w:pPr>
              <w:pStyle w:val="6"/>
              <w:spacing w:before="0" w:after="0" w:line="250" w:lineRule="auto"/>
              <w:jc w:val="both"/>
            </w:pPr>
            <w:r>
              <w:rPr>
                <w:color w:val="2A3030"/>
                <w:sz w:val="19"/>
              </w:rPr>
              <w:t>Urgent Notice of Fraudulent Funds</w:t>
            </w:r>
          </w:p>
        </w:tc>
      </w:tr>
      <w:tr w14:paraId="48E252CB">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shd w:val="clear" w:color="auto" w:fill="F7F2E9"/>
            <w:vAlign w:val="center"/>
          </w:tcPr>
          <w:p w14:paraId="0EA42E42">
            <w:pPr>
              <w:pStyle w:val="6"/>
              <w:spacing w:before="0" w:after="0" w:line="250" w:lineRule="auto"/>
              <w:jc w:val="left"/>
            </w:pPr>
            <w:r>
              <w:rPr>
                <w:color w:val="2A3030"/>
                <w:sz w:val="19"/>
              </w:rPr>
              <w:t>TARGET ACCOUNT</w:t>
            </w:r>
          </w:p>
        </w:tc>
        <w:tc>
          <w:tcPr>
            <w:tcW w:w="5100" w:type="dxa"/>
            <w:shd w:val="clear" w:color="auto" w:fill="F7F2E9"/>
            <w:vAlign w:val="center"/>
          </w:tcPr>
          <w:p w14:paraId="0C931869">
            <w:pPr>
              <w:pStyle w:val="6"/>
              <w:spacing w:before="0" w:after="0" w:line="250" w:lineRule="auto"/>
              <w:jc w:val="left"/>
            </w:pPr>
            <w:r>
              <w:rPr>
                <w:color w:val="2A3030"/>
                <w:sz w:val="19"/>
              </w:rPr>
              <w:t>CARD REFERENCE</w:t>
            </w:r>
          </w:p>
        </w:tc>
      </w:tr>
      <w:tr w14:paraId="0A726001">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3AFA2EA2">
            <w:pPr>
              <w:pStyle w:val="6"/>
              <w:spacing w:before="0" w:after="0" w:line="250" w:lineRule="auto"/>
              <w:jc w:val="left"/>
            </w:pPr>
            <w:r>
              <w:rPr>
                <w:color w:val="2A3030"/>
                <w:sz w:val="19"/>
              </w:rPr>
              <w:t>Toby A Blackburn</w:t>
            </w:r>
          </w:p>
        </w:tc>
        <w:tc>
          <w:tcPr>
            <w:tcW w:w="5100" w:type="dxa"/>
            <w:vAlign w:val="center"/>
          </w:tcPr>
          <w:p w14:paraId="61BFBCBB">
            <w:pPr>
              <w:pStyle w:val="6"/>
              <w:spacing w:before="0" w:after="0" w:line="250" w:lineRule="auto"/>
              <w:jc w:val="left"/>
            </w:pPr>
            <w:r>
              <w:rPr>
                <w:color w:val="2A3030"/>
                <w:sz w:val="19"/>
              </w:rPr>
              <w:t>#8842</w:t>
            </w:r>
          </w:p>
        </w:tc>
      </w:tr>
    </w:tbl>
    <w:p w14:paraId="7FEBCC77"/>
    <w:p w14:paraId="46F06348">
      <w:r>
        <w:rPr>
          <w:b/>
          <w:color w:val="B89758"/>
          <w:sz w:val="22"/>
        </w:rPr>
        <w:t>01</w:t>
      </w:r>
      <w:r>
        <w:rPr>
          <w:rFonts w:hint="eastAsia"/>
          <w:b/>
          <w:color w:val="B89758"/>
          <w:sz w:val="22"/>
          <w:lang w:val="en-US" w:eastAsia="zh-CN"/>
        </w:rPr>
        <w:t xml:space="preserve">. </w:t>
      </w:r>
      <w:r>
        <w:rPr>
          <w:b/>
          <w:color w:val="B89758"/>
          <w:sz w:val="22"/>
        </w:rPr>
        <w:t xml:space="preserve">NOTICE OF KNOWING RECEIPT </w:t>
      </w:r>
    </w:p>
    <w:p w14:paraId="5D3F181A">
      <w:r>
        <w:rPr>
          <w:sz w:val="20"/>
        </w:rPr>
        <w:t>The funds currently held in the account of Toby A Blackburn (Card ending in #8842) on your platform are the direct proceeds of cyber fraud. Tracing evidence confirms these funds entered this account after 167 layers of offshore and cryptocurrency mixing laundering. Your AML monitoring systems failed to intercept this illicit activity.</w:t>
      </w:r>
    </w:p>
    <w:p w14:paraId="1D465E11"/>
    <w:p w14:paraId="29868708">
      <w:r>
        <w:rPr>
          <w:b/>
          <w:color w:val="B89758"/>
          <w:sz w:val="22"/>
        </w:rPr>
        <w:t>02</w:t>
      </w:r>
      <w:r>
        <w:rPr>
          <w:rFonts w:hint="eastAsia"/>
          <w:b/>
          <w:color w:val="B89758"/>
          <w:sz w:val="22"/>
          <w:lang w:val="en-US" w:eastAsia="zh-CN"/>
        </w:rPr>
        <w:t xml:space="preserve">. </w:t>
      </w:r>
      <w:r>
        <w:rPr>
          <w:b/>
          <w:color w:val="B89758"/>
          <w:sz w:val="22"/>
        </w:rPr>
        <w:t xml:space="preserve">LEGAL LIABILITY WARNING </w:t>
      </w:r>
    </w:p>
    <w:p w14:paraId="2A744629">
      <w:r>
        <w:rPr>
          <w:sz w:val="20"/>
        </w:rPr>
        <w:t xml:space="preserve">Effective upon receipt of this notice, your company is deemed to have "Actual Knowledge" of the illicit nature of </w:t>
      </w:r>
      <w:r>
        <w:rPr>
          <w:rFonts w:hint="eastAsia" w:ascii="Arial" w:hAnsi="Arial" w:eastAsia="宋体" w:cs="Arial"/>
          <w:i w:val="0"/>
          <w:iCs w:val="0"/>
          <w:caps w:val="0"/>
          <w:color w:val="111111"/>
          <w:spacing w:val="0"/>
          <w:sz w:val="24"/>
          <w:szCs w:val="24"/>
          <w:lang w:eastAsia="zh-CN"/>
        </w:rPr>
        <w:drawing>
          <wp:anchor distT="0" distB="0" distL="114300" distR="114300" simplePos="0" relativeHeight="251659264" behindDoc="1" locked="0" layoutInCell="1" allowOverlap="1">
            <wp:simplePos x="0" y="0"/>
            <wp:positionH relativeFrom="column">
              <wp:posOffset>3114040</wp:posOffset>
            </wp:positionH>
            <wp:positionV relativeFrom="paragraph">
              <wp:posOffset>-3999230</wp:posOffset>
            </wp:positionV>
            <wp:extent cx="3877945" cy="3877945"/>
            <wp:effectExtent l="0" t="0" r="8255" b="8255"/>
            <wp:wrapNone/>
            <wp:docPr id="3" name="图片 3" descr="图标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标黑白"/>
                    <pic:cNvPicPr>
                      <a:picLocks noChangeAspect="1"/>
                    </pic:cNvPicPr>
                  </pic:nvPicPr>
                  <pic:blipFill>
                    <a:blip r:embed="rId9">
                      <a:alphaModFix amt="5000"/>
                    </a:blip>
                    <a:stretch>
                      <a:fillRect/>
                    </a:stretch>
                  </pic:blipFill>
                  <pic:spPr>
                    <a:xfrm>
                      <a:off x="0" y="0"/>
                      <a:ext cx="3877945" cy="3877945"/>
                    </a:xfrm>
                    <a:prstGeom prst="rect">
                      <a:avLst/>
                    </a:prstGeom>
                  </pic:spPr>
                </pic:pic>
              </a:graphicData>
            </a:graphic>
          </wp:anchor>
        </w:drawing>
      </w:r>
      <w:r>
        <w:rPr>
          <w:sz w:val="20"/>
        </w:rPr>
        <w:t>these assets under the law. Should you permit the suspect to dissipate these funds, your institution will face liability for constructive trust, knowing receipt, and facilitating money laundering, along with joint and several claims for damages.</w:t>
      </w:r>
    </w:p>
    <w:p w14:paraId="71F3819A"/>
    <w:p w14:paraId="6AED325A">
      <w:r>
        <w:rPr>
          <w:b/>
          <w:color w:val="B89758"/>
          <w:sz w:val="22"/>
        </w:rPr>
        <w:t>03</w:t>
      </w:r>
      <w:r>
        <w:rPr>
          <w:rFonts w:hint="eastAsia"/>
          <w:b/>
          <w:color w:val="B89758"/>
          <w:sz w:val="22"/>
          <w:lang w:val="en-US" w:eastAsia="zh-CN"/>
        </w:rPr>
        <w:t xml:space="preserve">. </w:t>
      </w:r>
      <w:r>
        <w:rPr>
          <w:b/>
          <w:color w:val="B89758"/>
          <w:sz w:val="22"/>
        </w:rPr>
        <w:t>DEMANDS FOR IMMEDIATE ACTION</w:t>
      </w:r>
    </w:p>
    <w:p w14:paraId="083684F4">
      <w:r>
        <w:rPr>
          <w:sz w:val="20"/>
        </w:rPr>
        <w:t>• Immediately freeze all funds held under the account of Toby A Blackburn (Ending #8842).</w:t>
      </w:r>
    </w:p>
    <w:p w14:paraId="199FDA7D">
      <w:r>
        <w:rPr>
          <w:sz w:val="20"/>
        </w:rPr>
        <w:t>• Preserve all KYC registration data and IP login records associated with this account pending subpoenas from law enforcement authorities.</w:t>
      </w:r>
    </w:p>
    <w:p w14:paraId="3587C16A"/>
    <w:p w14:paraId="2CB864EE"/>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4"/>
        <w:gridCol w:w="4814"/>
      </w:tblGrid>
      <w:tr w14:paraId="46D9F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3DDB5AF5">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Counsel Signature:</w:t>
            </w:r>
          </w:p>
          <w:p w14:paraId="0039BC49">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drawing>
                <wp:anchor distT="0" distB="0" distL="114300" distR="114300" simplePos="0" relativeHeight="251662336" behindDoc="0" locked="0" layoutInCell="1" allowOverlap="1">
                  <wp:simplePos x="0" y="0"/>
                  <wp:positionH relativeFrom="column">
                    <wp:posOffset>361950</wp:posOffset>
                  </wp:positionH>
                  <wp:positionV relativeFrom="paragraph">
                    <wp:posOffset>40005</wp:posOffset>
                  </wp:positionV>
                  <wp:extent cx="2070100" cy="689610"/>
                  <wp:effectExtent l="0" t="0" r="0" b="0"/>
                  <wp:wrapNone/>
                  <wp:docPr id="2" name="图片 2" descr="律师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律师签名"/>
                          <pic:cNvPicPr>
                            <a:picLocks noChangeAspect="1"/>
                          </pic:cNvPicPr>
                        </pic:nvPicPr>
                        <pic:blipFill>
                          <a:blip r:embed="rId10"/>
                          <a:stretch>
                            <a:fillRect/>
                          </a:stretch>
                        </pic:blipFill>
                        <pic:spPr>
                          <a:xfrm>
                            <a:off x="0" y="0"/>
                            <a:ext cx="2070100" cy="689610"/>
                          </a:xfrm>
                          <a:prstGeom prst="rect">
                            <a:avLst/>
                          </a:prstGeom>
                        </pic:spPr>
                      </pic:pic>
                    </a:graphicData>
                  </a:graphic>
                </wp:anchor>
              </w:drawing>
            </w:r>
          </w:p>
        </w:tc>
        <w:tc>
          <w:tcPr>
            <w:tcW w:w="4814" w:type="dxa"/>
            <w:tcBorders>
              <w:tl2br w:val="nil"/>
              <w:tr2bl w:val="nil"/>
            </w:tcBorders>
            <w:vAlign w:val="top"/>
          </w:tcPr>
          <w:p w14:paraId="0FC0EBD9">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drawing>
                <wp:anchor distT="0" distB="0" distL="114300" distR="114300" simplePos="0" relativeHeight="251661312" behindDoc="0" locked="0" layoutInCell="1" allowOverlap="1">
                  <wp:simplePos x="0" y="0"/>
                  <wp:positionH relativeFrom="column">
                    <wp:posOffset>524510</wp:posOffset>
                  </wp:positionH>
                  <wp:positionV relativeFrom="paragraph">
                    <wp:posOffset>387985</wp:posOffset>
                  </wp:positionV>
                  <wp:extent cx="1410970" cy="357505"/>
                  <wp:effectExtent l="0" t="0" r="17780" b="4445"/>
                  <wp:wrapNone/>
                  <wp:docPr id="8" name="图片 8" descr="纽约州法官签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纽约州法官签名(1)"/>
                          <pic:cNvPicPr>
                            <a:picLocks noChangeAspect="1"/>
                          </pic:cNvPicPr>
                        </pic:nvPicPr>
                        <pic:blipFill>
                          <a:blip r:embed="rId11"/>
                          <a:stretch>
                            <a:fillRect/>
                          </a:stretch>
                        </pic:blipFill>
                        <pic:spPr>
                          <a:xfrm>
                            <a:off x="0" y="0"/>
                            <a:ext cx="1410970" cy="357505"/>
                          </a:xfrm>
                          <a:prstGeom prst="rect">
                            <a:avLst/>
                          </a:prstGeom>
                        </pic:spPr>
                      </pic:pic>
                    </a:graphicData>
                  </a:graphic>
                </wp:anchor>
              </w:drawing>
            </w:r>
            <w:r>
              <w:rPr>
                <w:rFonts w:hint="eastAsia" w:ascii="Times New Roman" w:hAnsi="Times New Roman" w:eastAsia="Times New Roman"/>
                <w:sz w:val="24"/>
                <w:szCs w:val="24"/>
                <w:lang w:eastAsia="zh-CN"/>
              </w:rPr>
              <w:t>Judge Signature:</w:t>
            </w:r>
          </w:p>
        </w:tc>
      </w:tr>
      <w:tr w14:paraId="178A2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38BFA747">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Name:</w:t>
            </w:r>
          </w:p>
          <w:p w14:paraId="23D8946D">
            <w:pPr>
              <w:spacing w:after="0" w:line="355" w:lineRule="auto"/>
              <w:jc w:val="left"/>
              <w:rPr>
                <w:rFonts w:hint="eastAsia" w:ascii="Times New Roman" w:hAnsi="Times New Roman" w:eastAsia="Times New Roman"/>
                <w:sz w:val="24"/>
                <w:szCs w:val="24"/>
                <w:lang w:eastAsia="zh-CN"/>
              </w:rPr>
            </w:pPr>
          </w:p>
        </w:tc>
        <w:tc>
          <w:tcPr>
            <w:tcW w:w="4814" w:type="dxa"/>
            <w:tcBorders>
              <w:tl2br w:val="nil"/>
              <w:tr2bl w:val="nil"/>
            </w:tcBorders>
            <w:vAlign w:val="top"/>
          </w:tcPr>
          <w:p w14:paraId="0CEA61D5">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t>Name:</w:t>
            </w:r>
          </w:p>
        </w:tc>
      </w:tr>
      <w:tr w14:paraId="47B00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145324F6">
            <w:pPr>
              <w:spacing w:after="0" w:line="355" w:lineRule="auto"/>
              <w:jc w:val="left"/>
              <w:rPr>
                <w:rFonts w:hint="eastAsia" w:ascii="Times New Roman" w:hAnsi="Times New Roman" w:eastAsia="Times New Roman"/>
                <w:sz w:val="24"/>
                <w:szCs w:val="24"/>
                <w:lang w:eastAsia="zh-CN"/>
              </w:rPr>
            </w:pPr>
            <w:r>
              <w:rPr>
                <w:rFonts w:hint="eastAsia"/>
                <w:sz w:val="24"/>
                <w:szCs w:val="24"/>
                <w:lang w:val="en-US" w:eastAsia="zh-CN"/>
              </w:rPr>
              <w:t>当天日期</w:t>
            </w:r>
          </w:p>
        </w:tc>
        <w:tc>
          <w:tcPr>
            <w:tcW w:w="4814" w:type="dxa"/>
            <w:tcBorders>
              <w:tl2br w:val="nil"/>
              <w:tr2bl w:val="nil"/>
            </w:tcBorders>
            <w:vAlign w:val="top"/>
          </w:tcPr>
          <w:p w14:paraId="03CE8563">
            <w:pPr>
              <w:spacing w:after="0" w:line="355" w:lineRule="auto"/>
              <w:jc w:val="left"/>
              <w:rPr>
                <w:rFonts w:hint="default" w:ascii="Times New Roman" w:hAnsi="Times New Roman" w:eastAsia="Times New Roman"/>
                <w:sz w:val="24"/>
                <w:szCs w:val="24"/>
                <w:vertAlign w:val="baseline"/>
                <w:lang w:val="en-US" w:eastAsia="zh-CN"/>
              </w:rPr>
            </w:pPr>
            <w:r>
              <w:rPr>
                <w:rFonts w:hint="eastAsia"/>
                <w:sz w:val="24"/>
                <w:szCs w:val="24"/>
                <w:lang w:val="en-US" w:eastAsia="zh-CN"/>
              </w:rPr>
              <w:t>当天日期</w:t>
            </w:r>
          </w:p>
        </w:tc>
      </w:tr>
    </w:tbl>
    <w:p w14:paraId="54F788BE">
      <w:bookmarkStart w:id="0" w:name="_GoBack"/>
      <w:bookmarkEnd w:id="0"/>
      <w:r>
        <w:rPr>
          <w:rFonts w:hint="eastAsia" w:ascii="Arial" w:hAnsi="Arial" w:eastAsia="宋体" w:cs="Arial"/>
          <w:i w:val="0"/>
          <w:iCs w:val="0"/>
          <w:caps w:val="0"/>
          <w:color w:val="111111"/>
          <w:spacing w:val="0"/>
          <w:sz w:val="24"/>
          <w:szCs w:val="24"/>
          <w:lang w:eastAsia="zh-CN"/>
        </w:rPr>
        <w:drawing>
          <wp:anchor distT="0" distB="0" distL="114300" distR="114300" simplePos="0" relativeHeight="251660288" behindDoc="1" locked="0" layoutInCell="1" allowOverlap="1">
            <wp:simplePos x="0" y="0"/>
            <wp:positionH relativeFrom="column">
              <wp:posOffset>3114040</wp:posOffset>
            </wp:positionH>
            <wp:positionV relativeFrom="paragraph">
              <wp:posOffset>343535</wp:posOffset>
            </wp:positionV>
            <wp:extent cx="3877945" cy="3877945"/>
            <wp:effectExtent l="0" t="0" r="8255" b="8255"/>
            <wp:wrapNone/>
            <wp:docPr id="4" name="图片 4" descr="图标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标黑白"/>
                    <pic:cNvPicPr>
                      <a:picLocks noChangeAspect="1"/>
                    </pic:cNvPicPr>
                  </pic:nvPicPr>
                  <pic:blipFill>
                    <a:blip r:embed="rId9">
                      <a:alphaModFix amt="5000"/>
                    </a:blip>
                    <a:stretch>
                      <a:fillRect/>
                    </a:stretch>
                  </pic:blipFill>
                  <pic:spPr>
                    <a:xfrm>
                      <a:off x="0" y="0"/>
                      <a:ext cx="3877945" cy="3877945"/>
                    </a:xfrm>
                    <a:prstGeom prst="rect">
                      <a:avLst/>
                    </a:prstGeom>
                  </pic:spPr>
                </pic:pic>
              </a:graphicData>
            </a:graphic>
          </wp:anchor>
        </w:drawing>
      </w:r>
    </w:p>
    <w:sectPr>
      <w:headerReference r:id="rId5" w:type="default"/>
      <w:footerReference r:id="rId6" w:type="default"/>
      <w:pgSz w:w="12240" w:h="15840"/>
      <w:pgMar w:top="1150" w:right="1000" w:bottom="1050" w:left="1000" w:header="500" w:footer="5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F5EF5">
    <w:pPr>
      <w:pBdr>
        <w:top w:val="single" w:color="CAB88B" w:sz="6" w:space="8"/>
      </w:pBdr>
    </w:pPr>
    <w:r>
      <w:rPr>
        <w:color w:val="806C4D"/>
        <w:sz w:val="16"/>
      </w:rPr>
      <w:t>#WC-2026-FX7717</w:t>
    </w:r>
    <w:r>
      <w:rPr>
        <w:color w:val="807F77"/>
        <w:sz w:val="16"/>
      </w:rPr>
      <w:t xml:space="preserve">                               </w:t>
    </w:r>
    <w:r>
      <w:rPr>
        <w:rFonts w:hint="eastAsia"/>
        <w:color w:val="807F77"/>
        <w:sz w:val="16"/>
        <w:lang w:val="en-US" w:eastAsia="zh-CN"/>
      </w:rPr>
      <w:t xml:space="preserve">                                                                                                                                                        </w:t>
    </w:r>
    <w:r>
      <w:rPr>
        <w:color w:val="807F77"/>
        <w:sz w:val="16"/>
      </w:rPr>
      <w:t xml:space="preserve">        Page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610B2">
    <w:pPr>
      <w:pBdr>
        <w:bottom w:val="single" w:color="B98B45" w:sz="8" w:space="9"/>
      </w:pBdr>
      <w:jc w:val="right"/>
    </w:pPr>
    <w:r>
      <w:rPr>
        <w:b/>
        <w:color w:val="A37D43"/>
        <w:sz w:val="15"/>
      </w:rPr>
      <w:t xml:space="preserve">WHITFIELD &amp; CRANE LLP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06971452"/>
    <w:rsid w:val="1C50290E"/>
    <w:rsid w:val="2C1909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5" w:line="300" w:lineRule="auto"/>
    </w:pPr>
    <w:rPr>
      <w:rFonts w:ascii="Aptos" w:hAnsi="Aptos" w:eastAsiaTheme="minorEastAsia" w:cstheme="minorBidi"/>
      <w:color w:val="343B3D"/>
      <w:sz w:val="21"/>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
    <w:name w:val="BodyText"/>
    <w:uiPriority w:val="0"/>
    <w:pPr>
      <w:spacing w:after="140" w:line="300" w:lineRule="auto"/>
    </w:pPr>
    <w:rPr>
      <w:rFonts w:ascii="Aptos" w:hAnsi="Aptos" w:eastAsiaTheme="minorEastAsia" w:cstheme="minorBidi"/>
      <w:color w:val="374046"/>
      <w:sz w:val="21"/>
    </w:rPr>
  </w:style>
  <w:style w:type="paragraph" w:customStyle="1" w:styleId="6">
    <w:name w:val="TableBody"/>
    <w:uiPriority w:val="0"/>
    <w:pPr>
      <w:spacing w:after="0" w:line="300" w:lineRule="auto"/>
    </w:pPr>
    <w:rPr>
      <w:rFonts w:ascii="Aptos" w:hAnsi="Aptos" w:eastAsiaTheme="minorEastAsia" w:cstheme="minorBidi"/>
      <w:color w:val="343B3D"/>
      <w:sz w:val="18"/>
    </w:rPr>
  </w:style>
  <w:style w:type="paragraph" w:customStyle="1" w:styleId="7">
    <w:name w:val="Overline"/>
    <w:qFormat/>
    <w:uiPriority w:val="0"/>
    <w:pPr>
      <w:spacing w:after="140" w:line="300" w:lineRule="auto"/>
    </w:pPr>
    <w:rPr>
      <w:rFonts w:ascii="Aptos" w:hAnsi="Aptos" w:eastAsiaTheme="minorEastAsia" w:cstheme="minorBidi"/>
      <w:b/>
      <w:color w:val="9B7843"/>
      <w:sz w:val="24"/>
    </w:rPr>
  </w:style>
  <w:style w:type="paragraph" w:customStyle="1" w:styleId="8">
    <w:name w:val="CoverBrand"/>
    <w:qFormat/>
    <w:uiPriority w:val="0"/>
    <w:pPr>
      <w:spacing w:after="160" w:line="300" w:lineRule="auto"/>
    </w:pPr>
    <w:rPr>
      <w:rFonts w:ascii="Georgia" w:hAnsi="Georgia" w:eastAsiaTheme="minorEastAsia" w:cstheme="minorBidi"/>
      <w:b/>
      <w:color w:val="B88A43"/>
      <w:sz w:val="28"/>
    </w:rPr>
  </w:style>
  <w:style w:type="paragraph" w:customStyle="1" w:styleId="9">
    <w:name w:val="CoverTitle"/>
    <w:qFormat/>
    <w:uiPriority w:val="0"/>
    <w:pPr>
      <w:spacing w:after="100" w:line="300" w:lineRule="auto"/>
    </w:pPr>
    <w:rPr>
      <w:rFonts w:ascii="Georgia" w:hAnsi="Georgia" w:eastAsiaTheme="minorEastAsia" w:cstheme="minorBidi"/>
      <w:b/>
      <w:color w:val="1D272B"/>
      <w:sz w:val="48"/>
    </w:rPr>
  </w:style>
  <w:style w:type="paragraph" w:customStyle="1" w:styleId="10">
    <w:name w:val="CoverSub"/>
    <w:uiPriority w:val="0"/>
    <w:pPr>
      <w:spacing w:after="145" w:line="300" w:lineRule="auto"/>
    </w:pPr>
    <w:rPr>
      <w:rFonts w:ascii="Aptos" w:hAnsi="Aptos" w:eastAsiaTheme="minorEastAsia" w:cstheme="minorBidi"/>
      <w:color w:val="636C69"/>
      <w:sz w:val="20"/>
    </w:rPr>
  </w:style>
  <w:style w:type="paragraph" w:customStyle="1" w:styleId="11">
    <w:name w:val="CoverWarning"/>
    <w:qFormat/>
    <w:uiPriority w:val="0"/>
    <w:pPr>
      <w:spacing w:after="120" w:line="300" w:lineRule="auto"/>
    </w:pPr>
    <w:rPr>
      <w:rFonts w:ascii="Aptos" w:hAnsi="Aptos" w:eastAsiaTheme="minorEastAsia" w:cstheme="minorBidi"/>
      <w:b/>
      <w:color w:val="A15D44"/>
      <w:sz w:val="18"/>
    </w:rPr>
  </w:style>
  <w:style w:type="paragraph" w:customStyle="1" w:styleId="12">
    <w:name w:val="CoverFoot"/>
    <w:qFormat/>
    <w:uiPriority w:val="0"/>
    <w:pPr>
      <w:spacing w:after="120" w:line="300" w:lineRule="auto"/>
    </w:pPr>
    <w:rPr>
      <w:rFonts w:ascii="Aptos" w:hAnsi="Aptos" w:eastAsiaTheme="minorEastAsia" w:cstheme="minorBidi"/>
      <w:color w:val="786D5E"/>
      <w:sz w:val="19"/>
    </w:rPr>
  </w:style>
  <w:style w:type="paragraph" w:customStyle="1" w:styleId="13">
    <w:name w:val="ReportTitle"/>
    <w:qFormat/>
    <w:uiPriority w:val="0"/>
    <w:pPr>
      <w:spacing w:after="160" w:line="300" w:lineRule="auto"/>
    </w:pPr>
    <w:rPr>
      <w:rFonts w:ascii="Georgia" w:hAnsi="Georgia" w:eastAsiaTheme="minorEastAsia" w:cstheme="minorBidi"/>
      <w:b/>
      <w:color w:val="1B2527"/>
      <w:sz w:val="35"/>
    </w:rPr>
  </w:style>
  <w:style w:type="paragraph" w:customStyle="1" w:styleId="14">
    <w:name w:val="Callout"/>
    <w:uiPriority w:val="0"/>
    <w:pPr>
      <w:spacing w:after="110" w:line="300" w:lineRule="auto"/>
    </w:pPr>
    <w:rPr>
      <w:rFonts w:ascii="Aptos" w:hAnsi="Aptos" w:eastAsiaTheme="minorEastAsia" w:cstheme="minorBidi"/>
      <w:b/>
      <w:color w:val="99612C"/>
      <w:sz w:val="19"/>
    </w:rPr>
  </w:style>
  <w:style w:type="paragraph" w:customStyle="1" w:styleId="15">
    <w:name w:val="Heading1"/>
    <w:qFormat/>
    <w:uiPriority w:val="0"/>
    <w:pPr>
      <w:keepNext/>
      <w:spacing w:after="175" w:line="300" w:lineRule="auto"/>
    </w:pPr>
    <w:rPr>
      <w:rFonts w:ascii="Georgia" w:hAnsi="Georgia" w:eastAsiaTheme="minorEastAsia" w:cstheme="minorBidi"/>
      <w:b/>
      <w:color w:val="8E682B"/>
      <w:sz w:val="28"/>
    </w:rPr>
  </w:style>
  <w:style w:type="paragraph" w:customStyle="1" w:styleId="16">
    <w:name w:val="Heading2"/>
    <w:qFormat/>
    <w:uiPriority w:val="0"/>
    <w:pPr>
      <w:keepNext/>
      <w:spacing w:after="115" w:line="300" w:lineRule="auto"/>
    </w:pPr>
    <w:rPr>
      <w:rFonts w:ascii="Georgia" w:hAnsi="Georgia" w:eastAsiaTheme="minorEastAsia" w:cstheme="minorBidi"/>
      <w:b/>
      <w:color w:val="27302E"/>
      <w:sz w:val="23"/>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Whitfield &amp; Crane LLP </Company>
  <Pages>2</Pages>
  <Words>199</Words>
  <Characters>1112</Characters>
  <TotalTime>0</TotalTime>
  <ScaleCrop>false</ScaleCrop>
  <LinksUpToDate>false</LinksUpToDate>
  <CharactersWithSpaces>1296</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2026-10-12T20:37:00Z</dcterms:created>
  <dc:creator>Whitfield &amp; Crane LLP · RecoveryTrace Pro</dc:creator>
  <dc:description>Financial movement scenario register; source-data status is disclosed in the document header and footer.</dc:description>
  <cp:keywords>transaction register; financial routing; institution reconciliation</cp:keywords>
  <cp:lastModifiedBy>彦祖吴</cp:lastModifiedBy>
  <dcterms:modified xsi:type="dcterms:W3CDTF">2026-10-12T21:21:45Z</dcterms:modified>
  <dc:title>Investigative Financial Movement Investigation Report — #WC-2026-FX7717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eyJoZGlkIjoiZWE4ZjA0MzE2NzhhNmJmMWI0MzVmNTc3ZTEzMzk2YjkiLCJ1c2VySWQiOiIxODAzNTg5ODczIn0=</vt:lpwstr>
  </property>
  <property fmtid="{D5CDD505-2E9C-101B-9397-08002B2CF9AE}" pid="3" name="KSOProductBuildVer">
    <vt:lpwstr>2052-12.1.0.28505</vt:lpwstr>
  </property>
  <property fmtid="{D5CDD505-2E9C-101B-9397-08002B2CF9AE}" pid="4" name="ICV">
    <vt:lpwstr>CB5B09B30B4E4EDF81FBFEE4B2CA75BB_12</vt:lpwstr>
  </property>
</Properties>
</file>