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CE568">
      <w:pPr>
        <w:pStyle w:val="7"/>
        <w:spacing w:before="190" w:after="100"/>
        <w:jc w:val="center"/>
      </w:pPr>
      <w:r>
        <w:t>WHITFIELD &amp; CRANE LLP</w:t>
      </w:r>
    </w:p>
    <w:p w14:paraId="5B784DA7">
      <w:pPr>
        <w:spacing w:after="230"/>
        <w:jc w:val="center"/>
      </w:pPr>
      <w:r>
        <w:drawing>
          <wp:inline distT="0" distB="0" distL="0" distR="0">
            <wp:extent cx="1749425" cy="1749425"/>
            <wp:effectExtent l="0" t="0" r="3175" b="3175"/>
            <wp:docPr id="1" name="Whitfield and Crane emblem" descr="Gold and black monogram of Whitfield and Crane LLP"/>
            <wp:cNvGraphicFramePr/>
            <a:graphic xmlns:a="http://schemas.openxmlformats.org/drawingml/2006/main">
              <a:graphicData uri="http://schemas.openxmlformats.org/drawingml/2006/picture">
                <pic:pic xmlns:pic="http://schemas.openxmlformats.org/drawingml/2006/picture">
                  <pic:nvPicPr>
                    <pic:cNvPr id="1" name="Whitfield and Crane emblem" descr="Gold and black monogram of Whitfield and Crane LLP"/>
                    <pic:cNvPicPr/>
                  </pic:nvPicPr>
                  <pic:blipFill>
                    <a:blip r:embed="rId8"/>
                    <a:stretch>
                      <a:fillRect/>
                    </a:stretch>
                  </pic:blipFill>
                  <pic:spPr>
                    <a:xfrm>
                      <a:off x="0" y="0"/>
                      <a:ext cx="1750000" cy="1750000"/>
                    </a:xfrm>
                    <a:prstGeom prst="rect">
                      <a:avLst/>
                    </a:prstGeom>
                  </pic:spPr>
                </pic:pic>
              </a:graphicData>
            </a:graphic>
          </wp:inline>
        </w:drawing>
      </w:r>
    </w:p>
    <w:p w14:paraId="798EDE8B">
      <w:pPr>
        <w:pStyle w:val="8"/>
        <w:spacing w:before="0" w:after="350"/>
        <w:jc w:val="center"/>
      </w:pPr>
      <w:r>
        <w:rPr>
          <w:b/>
          <w:sz w:val="28"/>
        </w:rPr>
        <w:t>REGULATORY FREEZE REQUEST</w:t>
      </w:r>
    </w:p>
    <w:p w14:paraId="71114855">
      <w:pPr>
        <w:pStyle w:val="9"/>
        <w:jc w:val="center"/>
      </w:pPr>
      <w:r>
        <w:rPr>
          <w:b/>
          <w:sz w:val="36"/>
        </w:rPr>
        <w:t>MONEY LAUNDERING WHISTLEBLOWER</w:t>
      </w:r>
    </w:p>
    <w:p w14:paraId="757EF6AB">
      <w:pPr>
        <w:pStyle w:val="9"/>
        <w:spacing w:before="0" w:after="230"/>
        <w:jc w:val="center"/>
      </w:pPr>
    </w:p>
    <w:p w14:paraId="279E8D12">
      <w:pPr>
        <w:pStyle w:val="10"/>
        <w:spacing w:before="0" w:after="450"/>
        <w:jc w:val="center"/>
      </w:pPr>
      <w:r>
        <w:t>FINANCIAL TRANSACTION FORENSICS  /  CASE RECORD</w:t>
      </w:r>
    </w:p>
    <w:tbl>
      <w:tblPr>
        <w:tblStyle w:val="2"/>
        <w:tblW w:w="10200" w:type="dxa"/>
        <w:tblInd w:w="0" w:type="dxa"/>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Layout w:type="fixed"/>
        <w:tblCellMar>
          <w:top w:w="110" w:type="dxa"/>
          <w:left w:w="135" w:type="dxa"/>
          <w:bottom w:w="110" w:type="dxa"/>
          <w:right w:w="135" w:type="dxa"/>
        </w:tblCellMar>
      </w:tblPr>
      <w:tblGrid>
        <w:gridCol w:w="5100"/>
        <w:gridCol w:w="5100"/>
      </w:tblGrid>
      <w:tr w14:paraId="33A0013B">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blHeader/>
        </w:trPr>
        <w:tc>
          <w:tcPr>
            <w:tcW w:w="5100" w:type="dxa"/>
            <w:shd w:val="clear" w:color="auto" w:fill="2A302F"/>
            <w:vAlign w:val="center"/>
          </w:tcPr>
          <w:p w14:paraId="529A278A">
            <w:pPr>
              <w:pStyle w:val="6"/>
              <w:spacing w:before="0" w:after="0" w:line="250" w:lineRule="auto"/>
              <w:jc w:val="left"/>
            </w:pPr>
            <w:r>
              <w:rPr>
                <w:b/>
                <w:color w:val="FFE0A2"/>
                <w:sz w:val="19"/>
              </w:rPr>
              <w:t>TO: REGULATORY BODY</w:t>
            </w:r>
          </w:p>
        </w:tc>
        <w:tc>
          <w:tcPr>
            <w:tcW w:w="5100" w:type="dxa"/>
            <w:shd w:val="clear" w:color="auto" w:fill="2A302F"/>
            <w:vAlign w:val="center"/>
          </w:tcPr>
          <w:p w14:paraId="156805B9">
            <w:pPr>
              <w:pStyle w:val="6"/>
              <w:spacing w:before="0" w:after="0" w:line="250" w:lineRule="auto"/>
              <w:jc w:val="left"/>
            </w:pPr>
            <w:r>
              <w:rPr>
                <w:b/>
                <w:color w:val="FFE0A2"/>
                <w:sz w:val="19"/>
              </w:rPr>
              <w:t>CASE NUMBER</w:t>
            </w:r>
          </w:p>
        </w:tc>
      </w:tr>
      <w:tr w14:paraId="258C37F3">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03ECE1D7">
            <w:pPr>
              <w:pStyle w:val="6"/>
              <w:spacing w:before="0" w:after="0" w:line="250" w:lineRule="auto"/>
              <w:jc w:val="left"/>
            </w:pPr>
            <w:r>
              <w:rPr>
                <w:color w:val="2A3030"/>
                <w:sz w:val="19"/>
              </w:rPr>
              <w:t>Financial Conduct Authority (FCA)</w:t>
            </w:r>
          </w:p>
        </w:tc>
        <w:tc>
          <w:tcPr>
            <w:tcW w:w="5100" w:type="dxa"/>
            <w:vAlign w:val="center"/>
          </w:tcPr>
          <w:p w14:paraId="4C0B0757">
            <w:pPr>
              <w:pStyle w:val="6"/>
              <w:spacing w:before="0" w:after="0" w:line="250" w:lineRule="auto"/>
              <w:jc w:val="both"/>
            </w:pPr>
            <w:r>
              <w:rPr>
                <w:color w:val="2A3030"/>
                <w:sz w:val="19"/>
              </w:rPr>
              <w:t>#WC-2026-FX7717</w:t>
            </w:r>
          </w:p>
        </w:tc>
      </w:tr>
      <w:tr w14:paraId="4770B3B1">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25054E78">
            <w:pPr>
              <w:pStyle w:val="6"/>
              <w:spacing w:before="0" w:after="0" w:line="250" w:lineRule="auto"/>
              <w:jc w:val="left"/>
            </w:pPr>
            <w:r>
              <w:rPr>
                <w:color w:val="2A3030"/>
                <w:sz w:val="19"/>
              </w:rPr>
              <w:t>FROM</w:t>
            </w:r>
          </w:p>
        </w:tc>
        <w:tc>
          <w:tcPr>
            <w:tcW w:w="5100" w:type="dxa"/>
            <w:shd w:val="clear" w:color="auto" w:fill="F7F2E9"/>
            <w:vAlign w:val="center"/>
          </w:tcPr>
          <w:p w14:paraId="1486DF16">
            <w:pPr>
              <w:pStyle w:val="6"/>
              <w:spacing w:before="0" w:after="0" w:line="250" w:lineRule="auto"/>
              <w:jc w:val="left"/>
            </w:pPr>
            <w:r>
              <w:rPr>
                <w:color w:val="2A3030"/>
                <w:sz w:val="19"/>
              </w:rPr>
              <w:t>SUBJECT</w:t>
            </w:r>
          </w:p>
        </w:tc>
      </w:tr>
      <w:tr w14:paraId="2FE105A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2FEB9ACC">
            <w:pPr>
              <w:pStyle w:val="6"/>
              <w:spacing w:before="0" w:after="0" w:line="250" w:lineRule="auto"/>
              <w:jc w:val="both"/>
            </w:pPr>
            <w:r>
              <w:rPr>
                <w:color w:val="2A3030"/>
                <w:sz w:val="19"/>
              </w:rPr>
              <w:t>Whitfield &amp; Crane LLP</w:t>
            </w:r>
          </w:p>
        </w:tc>
        <w:tc>
          <w:tcPr>
            <w:tcW w:w="5100" w:type="dxa"/>
            <w:vAlign w:val="center"/>
          </w:tcPr>
          <w:p w14:paraId="2F26ACF9">
            <w:pPr>
              <w:pStyle w:val="6"/>
              <w:spacing w:before="0" w:after="0" w:line="250" w:lineRule="auto"/>
              <w:jc w:val="both"/>
            </w:pPr>
            <w:r>
              <w:rPr>
                <w:color w:val="2A3030"/>
                <w:sz w:val="19"/>
              </w:rPr>
              <w:t>Whistleblower Report &amp; Freeze Request</w:t>
            </w:r>
          </w:p>
        </w:tc>
      </w:tr>
      <w:tr w14:paraId="51CA549A">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6A95718A">
            <w:pPr>
              <w:pStyle w:val="6"/>
              <w:spacing w:before="0" w:after="0" w:line="250" w:lineRule="auto"/>
              <w:jc w:val="left"/>
            </w:pPr>
            <w:r>
              <w:rPr>
                <w:color w:val="2A3030"/>
                <w:sz w:val="19"/>
              </w:rPr>
              <w:t>TARGET INSTITUTION</w:t>
            </w:r>
          </w:p>
        </w:tc>
        <w:tc>
          <w:tcPr>
            <w:tcW w:w="5100" w:type="dxa"/>
            <w:shd w:val="clear" w:color="auto" w:fill="F7F2E9"/>
            <w:vAlign w:val="center"/>
          </w:tcPr>
          <w:p w14:paraId="4D013B0F">
            <w:pPr>
              <w:pStyle w:val="6"/>
              <w:spacing w:before="0" w:after="0" w:line="250" w:lineRule="auto"/>
              <w:jc w:val="left"/>
            </w:pPr>
            <w:r>
              <w:rPr>
                <w:color w:val="2A3030"/>
                <w:sz w:val="19"/>
              </w:rPr>
              <w:t>VIOLATION TYPE</w:t>
            </w:r>
          </w:p>
        </w:tc>
      </w:tr>
      <w:tr w14:paraId="326C3ED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42833FE9">
            <w:pPr>
              <w:pStyle w:val="6"/>
              <w:spacing w:before="0" w:after="0" w:line="250" w:lineRule="auto"/>
              <w:jc w:val="left"/>
            </w:pPr>
            <w:r>
              <w:rPr>
                <w:color w:val="2A3030"/>
                <w:sz w:val="19"/>
              </w:rPr>
              <w:t>Wise Payments Limited</w:t>
            </w:r>
          </w:p>
        </w:tc>
        <w:tc>
          <w:tcPr>
            <w:tcW w:w="5100" w:type="dxa"/>
            <w:vAlign w:val="center"/>
          </w:tcPr>
          <w:p w14:paraId="58E4ACCE">
            <w:pPr>
              <w:pStyle w:val="6"/>
              <w:spacing w:before="0" w:after="0" w:line="250" w:lineRule="auto"/>
              <w:jc w:val="left"/>
            </w:pPr>
            <w:r>
              <w:rPr>
                <w:color w:val="2A3030"/>
                <w:sz w:val="19"/>
              </w:rPr>
              <w:t>AML/KYC Failure &amp; Money Laundering</w:t>
            </w:r>
          </w:p>
        </w:tc>
      </w:tr>
    </w:tbl>
    <w:p w14:paraId="3E3F39C1"/>
    <w:p w14:paraId="4FD98967">
      <w:r>
        <w:rPr>
          <w:b/>
          <w:color w:val="B89758"/>
          <w:sz w:val="22"/>
        </w:rPr>
        <w:t>01</w:t>
      </w:r>
      <w:r>
        <w:rPr>
          <w:rFonts w:hint="eastAsia"/>
          <w:b/>
          <w:color w:val="B89758"/>
          <w:sz w:val="22"/>
          <w:lang w:val="en-US" w:eastAsia="zh-CN"/>
        </w:rPr>
        <w:t xml:space="preserve">. </w:t>
      </w:r>
      <w:r>
        <w:rPr>
          <w:b/>
          <w:color w:val="B89758"/>
          <w:sz w:val="22"/>
        </w:rPr>
        <w:t>SUMMARY OF REPORT</w:t>
      </w:r>
    </w:p>
    <w:p w14:paraId="38931BA6">
      <w:r>
        <w:rPr>
          <w:sz w:val="20"/>
        </w:rPr>
        <w:t>We have secured technical forensic evidence demonstrating that the regulated entity, Wise Payments Limited, is currently facilitating the processing of highly laundered criminal proceeds.</w:t>
      </w:r>
    </w:p>
    <w:p w14:paraId="1EDAA2B8"/>
    <w:p w14:paraId="3CFA46A4">
      <w:r>
        <w:rPr>
          <w:b/>
          <w:color w:val="B89758"/>
          <w:sz w:val="22"/>
        </w:rPr>
        <w:t>02</w:t>
      </w:r>
      <w:r>
        <w:rPr>
          <w:rFonts w:hint="eastAsia"/>
          <w:b/>
          <w:color w:val="B89758"/>
          <w:sz w:val="22"/>
          <w:lang w:val="en-US" w:eastAsia="zh-CN"/>
        </w:rPr>
        <w:t xml:space="preserve">. </w:t>
      </w:r>
      <w:r>
        <w:rPr>
          <w:b/>
          <w:color w:val="B89758"/>
          <w:sz w:val="22"/>
        </w:rPr>
        <w:t>MONEY LAUNDERING FACTS &amp; COMPLIANCE FAILURES</w:t>
      </w:r>
    </w:p>
    <w:p w14:paraId="57DF75AF">
      <w:r>
        <w:rPr>
          <w:sz w:val="20"/>
        </w:rPr>
        <w:t>Funds tracing reveals the illicit assets underwent 167 anomalous transfers, routing through fictitious trade accounts and crypto mixers. The funds were ultimately received by the following account on the Wise platform:</w:t>
      </w: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59264" behindDoc="1" locked="0" layoutInCell="1" allowOverlap="1">
            <wp:simplePos x="0" y="0"/>
            <wp:positionH relativeFrom="column">
              <wp:posOffset>3114040</wp:posOffset>
            </wp:positionH>
            <wp:positionV relativeFrom="paragraph">
              <wp:posOffset>-3799205</wp:posOffset>
            </wp:positionV>
            <wp:extent cx="3877945" cy="3877945"/>
            <wp:effectExtent l="0" t="0" r="8255" b="8255"/>
            <wp:wrapNone/>
            <wp:docPr id="2" name="图片 2"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p w14:paraId="348BE914">
      <w:r>
        <w:rPr>
          <w:sz w:val="20"/>
        </w:rPr>
        <w:t>Account Name: Toby A Blackburn | Account Ending: #8842</w:t>
      </w:r>
    </w:p>
    <w:p w14:paraId="24F2D0BE">
      <w:r>
        <w:rPr>
          <w:sz w:val="20"/>
        </w:rPr>
        <w:t>The high-frequency, large-volume anomalous deposits into this account constitute a direct violation of standard KYC/AML regulations, indicating a failure of oversight by the Wise platform.</w:t>
      </w:r>
    </w:p>
    <w:p w14:paraId="7B3127CC"/>
    <w:p w14:paraId="2E9BAC5B">
      <w:r>
        <w:rPr>
          <w:b/>
          <w:color w:val="B89758"/>
          <w:sz w:val="22"/>
        </w:rPr>
        <w:t>03</w:t>
      </w:r>
      <w:r>
        <w:rPr>
          <w:rFonts w:hint="eastAsia"/>
          <w:b/>
          <w:color w:val="B89758"/>
          <w:sz w:val="22"/>
          <w:lang w:val="en-US" w:eastAsia="zh-CN"/>
        </w:rPr>
        <w:t xml:space="preserve">. </w:t>
      </w:r>
      <w:r>
        <w:rPr>
          <w:b/>
          <w:color w:val="B89758"/>
          <w:sz w:val="22"/>
        </w:rPr>
        <w:t>REQUEST FOR REGULATORY INTERVENTION</w:t>
      </w:r>
    </w:p>
    <w:p w14:paraId="4CFA333D">
      <w:r>
        <w:rPr>
          <w:sz w:val="20"/>
        </w:rPr>
        <w:t>Pursuant to the UK Proceeds of Crime Act 2002 (POCA), we urgently request the FCA to:</w:t>
      </w:r>
    </w:p>
    <w:p w14:paraId="3EEF6D2C">
      <w:r>
        <w:rPr>
          <w:sz w:val="20"/>
        </w:rPr>
        <w:t>• Issue a mandatory freeze order against the Wise platform account ending in #8842.</w:t>
      </w:r>
    </w:p>
    <w:p w14:paraId="4F2E4542">
      <w:pPr>
        <w:rPr>
          <w:sz w:val="20"/>
        </w:rPr>
      </w:pPr>
      <w:r>
        <w:rPr>
          <w:sz w:val="20"/>
        </w:rPr>
        <w:t>• Launch an investigation into the compliance failures of the Wise platform within this specific money laundering chain.</w:t>
      </w:r>
    </w:p>
    <w:p w14:paraId="3A235E5E">
      <w:pPr>
        <w:rPr>
          <w:sz w:val="20"/>
        </w:rPr>
      </w:pPr>
    </w:p>
    <w:p w14:paraId="6413FDE3">
      <w:pPr>
        <w:rPr>
          <w:sz w:val="20"/>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Counsel Signature:</w:t>
            </w:r>
          </w:p>
          <w:p w14:paraId="34A4E5D8">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361950</wp:posOffset>
                  </wp:positionH>
                  <wp:positionV relativeFrom="paragraph">
                    <wp:posOffset>40005</wp:posOffset>
                  </wp:positionV>
                  <wp:extent cx="2070100" cy="689610"/>
                  <wp:effectExtent l="0" t="0" r="0" b="0"/>
                  <wp:wrapNone/>
                  <wp:docPr id="4" name="图片 4"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律师签名"/>
                          <pic:cNvPicPr>
                            <a:picLocks noChangeAspect="1"/>
                          </pic:cNvPicPr>
                        </pic:nvPicPr>
                        <pic:blipFill>
                          <a:blip r:embed="rId10"/>
                          <a:stretch>
                            <a:fillRect/>
                          </a:stretch>
                        </pic:blipFill>
                        <pic:spPr>
                          <a:xfrm>
                            <a:off x="0" y="0"/>
                            <a:ext cx="2070100" cy="689610"/>
                          </a:xfrm>
                          <a:prstGeom prst="rect">
                            <a:avLst/>
                          </a:prstGeom>
                        </pic:spPr>
                      </pic:pic>
                    </a:graphicData>
                  </a:graphic>
                </wp:anchor>
              </w:drawing>
            </w: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1"/>
                          <a:stretch>
                            <a:fillRect/>
                          </a:stretch>
                        </pic:blipFill>
                        <pic:spPr>
                          <a:xfrm>
                            <a:off x="0" y="0"/>
                            <a:ext cx="1410970" cy="357505"/>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4B0A75DD">
      <w:bookmarkStart w:id="0" w:name="_GoBack"/>
      <w:bookmarkEnd w:id="0"/>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2336" behindDoc="1" locked="0" layoutInCell="1" allowOverlap="1">
            <wp:simplePos x="0" y="0"/>
            <wp:positionH relativeFrom="column">
              <wp:posOffset>3114040</wp:posOffset>
            </wp:positionH>
            <wp:positionV relativeFrom="paragraph">
              <wp:posOffset>82550</wp:posOffset>
            </wp:positionV>
            <wp:extent cx="3877945" cy="3877945"/>
            <wp:effectExtent l="0" t="0" r="8255" b="8255"/>
            <wp:wrapNone/>
            <wp:docPr id="7" name="图片 7"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sectPr>
      <w:headerReference r:id="rId5" w:type="default"/>
      <w:footerReference r:id="rId6" w:type="default"/>
      <w:pgSz w:w="12240" w:h="15840"/>
      <w:pgMar w:top="1150" w:right="1000" w:bottom="1050" w:left="1000" w:header="500" w:footer="5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5D86A">
    <w:pPr>
      <w:pBdr>
        <w:top w:val="single" w:color="CAB88B" w:sz="6" w:space="8"/>
      </w:pBdr>
    </w:pPr>
    <w:r>
      <w:rPr>
        <w:color w:val="806C4D"/>
        <w:sz w:val="16"/>
      </w:rPr>
      <w:t>#WC-2026-FX7717</w:t>
    </w:r>
    <w:r>
      <w:rPr>
        <w:color w:val="807F77"/>
        <w:sz w:val="16"/>
      </w:rPr>
      <w:t xml:space="preserve">                                </w:t>
    </w:r>
    <w:r>
      <w:rPr>
        <w:rFonts w:hint="eastAsia"/>
        <w:color w:val="807F77"/>
        <w:sz w:val="16"/>
        <w:lang w:val="en-US" w:eastAsia="zh-CN"/>
      </w:rPr>
      <w:t xml:space="preserve">                                                                                                                                                        </w:t>
    </w:r>
    <w:r>
      <w:rPr>
        <w:color w:val="807F77"/>
        <w:sz w:val="16"/>
      </w:rPr>
      <w:t xml:space="preserve">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22DF4">
    <w:pPr>
      <w:pBdr>
        <w:bottom w:val="single" w:color="B98B45" w:sz="8" w:space="9"/>
      </w:pBdr>
      <w:jc w:val="right"/>
    </w:pPr>
    <w:r>
      <w:rPr>
        <w:b/>
        <w:color w:val="A37D43"/>
        <w:sz w:val="15"/>
      </w:rPr>
      <w:t>WHITFIELD &amp; CRANE LLP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68F7F60"/>
    <w:rsid w:val="142E5C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5" w:line="300" w:lineRule="auto"/>
    </w:pPr>
    <w:rPr>
      <w:rFonts w:ascii="Aptos" w:hAnsi="Aptos" w:eastAsiaTheme="minorEastAsia" w:cstheme="minorBidi"/>
      <w:color w:val="343B3D"/>
      <w:sz w:val="21"/>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BodyText"/>
    <w:qFormat/>
    <w:uiPriority w:val="0"/>
    <w:pPr>
      <w:spacing w:after="140" w:line="300" w:lineRule="auto"/>
    </w:pPr>
    <w:rPr>
      <w:rFonts w:ascii="Aptos" w:hAnsi="Aptos" w:eastAsiaTheme="minorEastAsia" w:cstheme="minorBidi"/>
      <w:color w:val="374046"/>
      <w:sz w:val="21"/>
    </w:rPr>
  </w:style>
  <w:style w:type="paragraph" w:customStyle="1" w:styleId="6">
    <w:name w:val="TableBody"/>
    <w:qFormat/>
    <w:uiPriority w:val="0"/>
    <w:pPr>
      <w:spacing w:after="0" w:line="300" w:lineRule="auto"/>
    </w:pPr>
    <w:rPr>
      <w:rFonts w:ascii="Aptos" w:hAnsi="Aptos" w:eastAsiaTheme="minorEastAsia" w:cstheme="minorBidi"/>
      <w:color w:val="343B3D"/>
      <w:sz w:val="18"/>
    </w:rPr>
  </w:style>
  <w:style w:type="paragraph" w:customStyle="1" w:styleId="7">
    <w:name w:val="Overline"/>
    <w:qFormat/>
    <w:uiPriority w:val="0"/>
    <w:pPr>
      <w:spacing w:after="140" w:line="300" w:lineRule="auto"/>
    </w:pPr>
    <w:rPr>
      <w:rFonts w:ascii="Aptos" w:hAnsi="Aptos" w:eastAsiaTheme="minorEastAsia" w:cstheme="minorBidi"/>
      <w:b/>
      <w:color w:val="9B7843"/>
      <w:sz w:val="24"/>
    </w:rPr>
  </w:style>
  <w:style w:type="paragraph" w:customStyle="1" w:styleId="8">
    <w:name w:val="CoverBrand"/>
    <w:qFormat/>
    <w:uiPriority w:val="0"/>
    <w:pPr>
      <w:spacing w:after="160" w:line="300" w:lineRule="auto"/>
    </w:pPr>
    <w:rPr>
      <w:rFonts w:ascii="Georgia" w:hAnsi="Georgia" w:eastAsiaTheme="minorEastAsia" w:cstheme="minorBidi"/>
      <w:b/>
      <w:color w:val="B88A43"/>
      <w:sz w:val="28"/>
    </w:rPr>
  </w:style>
  <w:style w:type="paragraph" w:customStyle="1" w:styleId="9">
    <w:name w:val="CoverTitle"/>
    <w:qFormat/>
    <w:uiPriority w:val="0"/>
    <w:pPr>
      <w:spacing w:after="100" w:line="300" w:lineRule="auto"/>
    </w:pPr>
    <w:rPr>
      <w:rFonts w:ascii="Georgia" w:hAnsi="Georgia" w:eastAsiaTheme="minorEastAsia" w:cstheme="minorBidi"/>
      <w:b/>
      <w:color w:val="1D272B"/>
      <w:sz w:val="48"/>
    </w:rPr>
  </w:style>
  <w:style w:type="paragraph" w:customStyle="1" w:styleId="10">
    <w:name w:val="CoverSub"/>
    <w:qFormat/>
    <w:uiPriority w:val="0"/>
    <w:pPr>
      <w:spacing w:after="145" w:line="300" w:lineRule="auto"/>
    </w:pPr>
    <w:rPr>
      <w:rFonts w:ascii="Aptos" w:hAnsi="Aptos" w:eastAsiaTheme="minorEastAsia" w:cstheme="minorBidi"/>
      <w:color w:val="636C69"/>
      <w:sz w:val="20"/>
    </w:rPr>
  </w:style>
  <w:style w:type="paragraph" w:customStyle="1" w:styleId="11">
    <w:name w:val="CoverWarning"/>
    <w:qFormat/>
    <w:uiPriority w:val="0"/>
    <w:pPr>
      <w:spacing w:after="120" w:line="300" w:lineRule="auto"/>
    </w:pPr>
    <w:rPr>
      <w:rFonts w:ascii="Aptos" w:hAnsi="Aptos" w:eastAsiaTheme="minorEastAsia" w:cstheme="minorBidi"/>
      <w:b/>
      <w:color w:val="A15D44"/>
      <w:sz w:val="18"/>
    </w:rPr>
  </w:style>
  <w:style w:type="paragraph" w:customStyle="1" w:styleId="12">
    <w:name w:val="CoverFoot"/>
    <w:qFormat/>
    <w:uiPriority w:val="0"/>
    <w:pPr>
      <w:spacing w:after="120" w:line="300" w:lineRule="auto"/>
    </w:pPr>
    <w:rPr>
      <w:rFonts w:ascii="Aptos" w:hAnsi="Aptos" w:eastAsiaTheme="minorEastAsia" w:cstheme="minorBidi"/>
      <w:color w:val="786D5E"/>
      <w:sz w:val="19"/>
    </w:rPr>
  </w:style>
  <w:style w:type="paragraph" w:customStyle="1" w:styleId="13">
    <w:name w:val="ReportTitle"/>
    <w:qFormat/>
    <w:uiPriority w:val="0"/>
    <w:pPr>
      <w:spacing w:after="160" w:line="300" w:lineRule="auto"/>
    </w:pPr>
    <w:rPr>
      <w:rFonts w:ascii="Georgia" w:hAnsi="Georgia" w:eastAsiaTheme="minorEastAsia" w:cstheme="minorBidi"/>
      <w:b/>
      <w:color w:val="1B2527"/>
      <w:sz w:val="35"/>
    </w:rPr>
  </w:style>
  <w:style w:type="paragraph" w:customStyle="1" w:styleId="14">
    <w:name w:val="Callout"/>
    <w:qFormat/>
    <w:uiPriority w:val="0"/>
    <w:pPr>
      <w:spacing w:after="110" w:line="300" w:lineRule="auto"/>
    </w:pPr>
    <w:rPr>
      <w:rFonts w:ascii="Aptos" w:hAnsi="Aptos" w:eastAsiaTheme="minorEastAsia" w:cstheme="minorBidi"/>
      <w:b/>
      <w:color w:val="99612C"/>
      <w:sz w:val="19"/>
    </w:rPr>
  </w:style>
  <w:style w:type="paragraph" w:customStyle="1" w:styleId="15">
    <w:name w:val="Heading1"/>
    <w:qFormat/>
    <w:uiPriority w:val="0"/>
    <w:pPr>
      <w:keepNext/>
      <w:spacing w:after="175" w:line="300" w:lineRule="auto"/>
    </w:pPr>
    <w:rPr>
      <w:rFonts w:ascii="Georgia" w:hAnsi="Georgia" w:eastAsiaTheme="minorEastAsia" w:cstheme="minorBidi"/>
      <w:b/>
      <w:color w:val="8E682B"/>
      <w:sz w:val="28"/>
    </w:rPr>
  </w:style>
  <w:style w:type="paragraph" w:customStyle="1" w:styleId="16">
    <w:name w:val="Heading2"/>
    <w:qFormat/>
    <w:uiPriority w:val="0"/>
    <w:pPr>
      <w:keepNext/>
      <w:spacing w:after="115" w:line="300" w:lineRule="auto"/>
    </w:pPr>
    <w:rPr>
      <w:rFonts w:ascii="Georgia" w:hAnsi="Georgia" w:eastAsiaTheme="minorEastAsia" w:cstheme="minorBidi"/>
      <w:b/>
      <w:color w:val="27302E"/>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Whitfield &amp; Crane LLP </Company>
  <Pages>2</Pages>
  <Words>227</Words>
  <Characters>1244</Characters>
  <TotalTime>18</TotalTime>
  <ScaleCrop>false</ScaleCrop>
  <LinksUpToDate>false</LinksUpToDate>
  <CharactersWithSpaces>1437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2026-10-12T20:38:00Z</dcterms:created>
  <dc:creator>Whitfield &amp; Crane LLP · RecoveryTrace Pro</dc:creator>
  <dc:description>Financial movement scenario register; source-data status is disclosed in the document header and footer.</dc:description>
  <cp:keywords>transaction register; financial routing; institution reconciliation</cp:keywords>
  <cp:lastModifiedBy>彦祖吴</cp:lastModifiedBy>
  <dcterms:modified xsi:type="dcterms:W3CDTF">2026-10-12T21:28:26Z</dcterms:modified>
  <dc:title>Investigative Financial Movement Investigation Report — #WC-2026-FX7717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C8DE78B7EB7B4D80B38EBEF04DC4B816_12</vt:lpwstr>
  </property>
</Properties>
</file>