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E5DC9A">
      <w:pPr>
        <w:pStyle w:val="7"/>
        <w:spacing w:before="190" w:after="100"/>
        <w:jc w:val="center"/>
      </w:pPr>
      <w:r>
        <w:t>WHITFIELD &amp; CRANE LLP</w:t>
      </w:r>
    </w:p>
    <w:p w14:paraId="59B3DA2F">
      <w:pPr>
        <w:spacing w:after="230"/>
        <w:jc w:val="center"/>
      </w:pPr>
      <w:r>
        <w:drawing>
          <wp:inline distT="0" distB="0" distL="0" distR="0">
            <wp:extent cx="1749425" cy="1749425"/>
            <wp:effectExtent l="0" t="0" r="3175" b="3175"/>
            <wp:docPr id="1" name="Whitfield and Crane emblem" descr="Gold and black monogram of Whitfield and Crane LLP"/>
            <wp:cNvGraphicFramePr/>
            <a:graphic xmlns:a="http://schemas.openxmlformats.org/drawingml/2006/main">
              <a:graphicData uri="http://schemas.openxmlformats.org/drawingml/2006/picture">
                <pic:pic xmlns:pic="http://schemas.openxmlformats.org/drawingml/2006/picture">
                  <pic:nvPicPr>
                    <pic:cNvPr id="1" name="Whitfield and Crane emblem" descr="Gold and black monogram of Whitfield and Crane LLP"/>
                    <pic:cNvPicPr/>
                  </pic:nvPicPr>
                  <pic:blipFill>
                    <a:blip r:embed="rId8"/>
                    <a:stretch>
                      <a:fillRect/>
                    </a:stretch>
                  </pic:blipFill>
                  <pic:spPr>
                    <a:xfrm>
                      <a:off x="0" y="0"/>
                      <a:ext cx="1750000" cy="1750000"/>
                    </a:xfrm>
                    <a:prstGeom prst="rect">
                      <a:avLst/>
                    </a:prstGeom>
                  </pic:spPr>
                </pic:pic>
              </a:graphicData>
            </a:graphic>
          </wp:inline>
        </w:drawing>
      </w:r>
    </w:p>
    <w:p w14:paraId="43667C8E">
      <w:pPr>
        <w:pStyle w:val="8"/>
        <w:spacing w:before="0" w:after="350"/>
        <w:jc w:val="center"/>
      </w:pPr>
      <w:r>
        <w:rPr>
          <w:b/>
          <w:sz w:val="28"/>
        </w:rPr>
        <w:t>MUTUAL LEGAL ASSISTANCE</w:t>
      </w:r>
    </w:p>
    <w:p w14:paraId="56F134BF">
      <w:pPr>
        <w:pStyle w:val="9"/>
        <w:jc w:val="center"/>
      </w:pPr>
      <w:r>
        <w:rPr>
          <w:b/>
          <w:sz w:val="36"/>
        </w:rPr>
        <w:t>REQUEST (MLAT)</w:t>
      </w:r>
    </w:p>
    <w:p w14:paraId="5A3EFC3B">
      <w:pPr>
        <w:pStyle w:val="9"/>
        <w:spacing w:before="0" w:after="230"/>
        <w:jc w:val="center"/>
      </w:pPr>
    </w:p>
    <w:p w14:paraId="541C7CE7">
      <w:pPr>
        <w:pStyle w:val="10"/>
        <w:spacing w:before="0" w:after="450"/>
        <w:jc w:val="center"/>
      </w:pPr>
      <w:r>
        <w:t>FINANCIAL TRANSACTION FORENSICS  /  CASE RECORD</w:t>
      </w:r>
    </w:p>
    <w:tbl>
      <w:tblPr>
        <w:tblStyle w:val="2"/>
        <w:tblW w:w="10200" w:type="dxa"/>
        <w:tblInd w:w="0" w:type="dxa"/>
        <w:tblBorders>
          <w:top w:val="single" w:color="D3C5AA" w:sz="4" w:space="0"/>
          <w:left w:val="single" w:color="E0D9CB" w:sz="2" w:space="0"/>
          <w:bottom w:val="single" w:color="D3C5AA" w:sz="4" w:space="0"/>
          <w:right w:val="single" w:color="E0D9CB" w:sz="2" w:space="0"/>
          <w:insideH w:val="single" w:color="E5DED1" w:sz="4" w:space="0"/>
          <w:insideV w:val="single" w:color="E5DED1" w:sz="2" w:space="0"/>
        </w:tblBorders>
        <w:tblLayout w:type="fixed"/>
        <w:tblCellMar>
          <w:top w:w="110" w:type="dxa"/>
          <w:left w:w="135" w:type="dxa"/>
          <w:bottom w:w="110" w:type="dxa"/>
          <w:right w:w="135" w:type="dxa"/>
        </w:tblCellMar>
      </w:tblPr>
      <w:tblGrid>
        <w:gridCol w:w="5100"/>
        <w:gridCol w:w="5100"/>
      </w:tblGrid>
      <w:tr w14:paraId="6A7E8207">
        <w:tblPrEx>
          <w:tblBorders>
            <w:top w:val="single" w:color="D3C5AA" w:sz="4" w:space="0"/>
            <w:left w:val="single" w:color="E0D9CB" w:sz="2" w:space="0"/>
            <w:bottom w:val="single" w:color="D3C5AA" w:sz="4" w:space="0"/>
            <w:right w:val="single" w:color="E0D9CB" w:sz="2" w:space="0"/>
            <w:insideH w:val="single" w:color="E5DED1" w:sz="4" w:space="0"/>
            <w:insideV w:val="single" w:color="E5DED1" w:sz="2" w:space="0"/>
          </w:tblBorders>
          <w:tblCellMar>
            <w:top w:w="110" w:type="dxa"/>
            <w:left w:w="135" w:type="dxa"/>
            <w:bottom w:w="110" w:type="dxa"/>
            <w:right w:w="135" w:type="dxa"/>
          </w:tblCellMar>
        </w:tblPrEx>
        <w:trPr>
          <w:cantSplit/>
          <w:tblHeader/>
        </w:trPr>
        <w:tc>
          <w:tcPr>
            <w:tcW w:w="5100" w:type="dxa"/>
            <w:shd w:val="clear" w:color="auto" w:fill="2A302F"/>
            <w:vAlign w:val="center"/>
          </w:tcPr>
          <w:p w14:paraId="3B863026">
            <w:pPr>
              <w:pStyle w:val="6"/>
              <w:spacing w:before="0" w:after="0" w:line="250" w:lineRule="auto"/>
              <w:jc w:val="left"/>
            </w:pPr>
            <w:r>
              <w:rPr>
                <w:b/>
                <w:color w:val="FFE0A2"/>
                <w:sz w:val="19"/>
              </w:rPr>
              <w:t>TO: CENTRAL AUTHORITY</w:t>
            </w:r>
          </w:p>
        </w:tc>
        <w:tc>
          <w:tcPr>
            <w:tcW w:w="5100" w:type="dxa"/>
            <w:shd w:val="clear" w:color="auto" w:fill="2A302F"/>
            <w:vAlign w:val="center"/>
          </w:tcPr>
          <w:p w14:paraId="1BD4246E">
            <w:pPr>
              <w:pStyle w:val="6"/>
              <w:spacing w:before="0" w:after="0" w:line="250" w:lineRule="auto"/>
              <w:jc w:val="left"/>
            </w:pPr>
            <w:r>
              <w:rPr>
                <w:b/>
                <w:color w:val="FFE0A2"/>
                <w:sz w:val="19"/>
              </w:rPr>
              <w:t>CASE NUMBER</w:t>
            </w:r>
          </w:p>
        </w:tc>
      </w:tr>
      <w:tr w14:paraId="0DB84289">
        <w:tblPrEx>
          <w:tblBorders>
            <w:top w:val="single" w:color="D3C5AA" w:sz="4" w:space="0"/>
            <w:left w:val="single" w:color="E0D9CB" w:sz="2" w:space="0"/>
            <w:bottom w:val="single" w:color="D3C5AA" w:sz="4" w:space="0"/>
            <w:right w:val="single" w:color="E0D9CB" w:sz="2" w:space="0"/>
            <w:insideH w:val="single" w:color="E5DED1" w:sz="4" w:space="0"/>
            <w:insideV w:val="single" w:color="E5DED1" w:sz="2" w:space="0"/>
          </w:tblBorders>
          <w:tblCellMar>
            <w:top w:w="110" w:type="dxa"/>
            <w:left w:w="135" w:type="dxa"/>
            <w:bottom w:w="110" w:type="dxa"/>
            <w:right w:w="135" w:type="dxa"/>
          </w:tblCellMar>
        </w:tblPrEx>
        <w:trPr>
          <w:cantSplit/>
        </w:trPr>
        <w:tc>
          <w:tcPr>
            <w:tcW w:w="5100" w:type="dxa"/>
            <w:vAlign w:val="center"/>
          </w:tcPr>
          <w:p w14:paraId="13C8655F">
            <w:pPr>
              <w:pStyle w:val="6"/>
              <w:spacing w:before="0" w:after="0" w:line="250" w:lineRule="auto"/>
              <w:jc w:val="left"/>
            </w:pPr>
            <w:r>
              <w:rPr>
                <w:color w:val="2A3030"/>
                <w:sz w:val="19"/>
              </w:rPr>
              <w:t xml:space="preserve">UK Home Office </w:t>
            </w:r>
          </w:p>
        </w:tc>
        <w:tc>
          <w:tcPr>
            <w:tcW w:w="5100" w:type="dxa"/>
            <w:vAlign w:val="center"/>
          </w:tcPr>
          <w:p w14:paraId="27FC92D7">
            <w:pPr>
              <w:pStyle w:val="6"/>
              <w:spacing w:before="0" w:after="0" w:line="250" w:lineRule="auto"/>
              <w:jc w:val="both"/>
            </w:pPr>
            <w:r>
              <w:rPr>
                <w:color w:val="2A3030"/>
                <w:sz w:val="19"/>
              </w:rPr>
              <w:t>#WC-2026-FX7717</w:t>
            </w:r>
          </w:p>
        </w:tc>
      </w:tr>
      <w:tr w14:paraId="038EB6C5">
        <w:tblPrEx>
          <w:tblBorders>
            <w:top w:val="single" w:color="D3C5AA" w:sz="4" w:space="0"/>
            <w:left w:val="single" w:color="E0D9CB" w:sz="2" w:space="0"/>
            <w:bottom w:val="single" w:color="D3C5AA" w:sz="4" w:space="0"/>
            <w:right w:val="single" w:color="E0D9CB" w:sz="2" w:space="0"/>
            <w:insideH w:val="single" w:color="E5DED1" w:sz="4" w:space="0"/>
            <w:insideV w:val="single" w:color="E5DED1" w:sz="2" w:space="0"/>
          </w:tblBorders>
          <w:tblCellMar>
            <w:top w:w="110" w:type="dxa"/>
            <w:left w:w="135" w:type="dxa"/>
            <w:bottom w:w="110" w:type="dxa"/>
            <w:right w:w="135" w:type="dxa"/>
          </w:tblCellMar>
        </w:tblPrEx>
        <w:trPr>
          <w:cantSplit/>
        </w:trPr>
        <w:tc>
          <w:tcPr>
            <w:tcW w:w="5100" w:type="dxa"/>
            <w:shd w:val="clear" w:color="auto" w:fill="F7F2E9"/>
            <w:vAlign w:val="center"/>
          </w:tcPr>
          <w:p w14:paraId="7A21D36F">
            <w:pPr>
              <w:pStyle w:val="6"/>
              <w:spacing w:before="0" w:after="0" w:line="250" w:lineRule="auto"/>
              <w:jc w:val="left"/>
            </w:pPr>
            <w:r>
              <w:rPr>
                <w:color w:val="2A3030"/>
                <w:sz w:val="19"/>
              </w:rPr>
              <w:t>FROM: ISSUING COURT</w:t>
            </w:r>
          </w:p>
        </w:tc>
        <w:tc>
          <w:tcPr>
            <w:tcW w:w="5100" w:type="dxa"/>
            <w:shd w:val="clear" w:color="auto" w:fill="F7F2E9"/>
            <w:vAlign w:val="center"/>
          </w:tcPr>
          <w:p w14:paraId="123259DF">
            <w:pPr>
              <w:pStyle w:val="6"/>
              <w:spacing w:before="0" w:after="0" w:line="250" w:lineRule="auto"/>
              <w:jc w:val="left"/>
            </w:pPr>
            <w:r>
              <w:rPr>
                <w:color w:val="2A3030"/>
                <w:sz w:val="19"/>
              </w:rPr>
              <w:t>DATE</w:t>
            </w:r>
          </w:p>
        </w:tc>
      </w:tr>
      <w:tr w14:paraId="0C363A80">
        <w:tblPrEx>
          <w:tblBorders>
            <w:top w:val="single" w:color="D3C5AA" w:sz="4" w:space="0"/>
            <w:left w:val="single" w:color="E0D9CB" w:sz="2" w:space="0"/>
            <w:bottom w:val="single" w:color="D3C5AA" w:sz="4" w:space="0"/>
            <w:right w:val="single" w:color="E0D9CB" w:sz="2" w:space="0"/>
            <w:insideH w:val="single" w:color="E5DED1" w:sz="4" w:space="0"/>
            <w:insideV w:val="single" w:color="E5DED1" w:sz="2" w:space="0"/>
          </w:tblBorders>
          <w:tblCellMar>
            <w:top w:w="110" w:type="dxa"/>
            <w:left w:w="135" w:type="dxa"/>
            <w:bottom w:w="110" w:type="dxa"/>
            <w:right w:w="135" w:type="dxa"/>
          </w:tblCellMar>
        </w:tblPrEx>
        <w:trPr>
          <w:cantSplit/>
        </w:trPr>
        <w:tc>
          <w:tcPr>
            <w:tcW w:w="5100" w:type="dxa"/>
            <w:vAlign w:val="center"/>
          </w:tcPr>
          <w:p w14:paraId="65558199">
            <w:pPr>
              <w:pStyle w:val="6"/>
              <w:spacing w:before="0" w:after="0" w:line="250" w:lineRule="auto"/>
              <w:jc w:val="right"/>
            </w:pPr>
            <w:r>
              <w:rPr>
                <w:color w:val="2A3030"/>
                <w:sz w:val="19"/>
              </w:rPr>
              <w:t>U.S. District Court for the Southern District of New York</w:t>
            </w:r>
          </w:p>
        </w:tc>
        <w:tc>
          <w:tcPr>
            <w:tcW w:w="5100" w:type="dxa"/>
            <w:vAlign w:val="center"/>
          </w:tcPr>
          <w:p w14:paraId="57F430FA">
            <w:pPr>
              <w:pStyle w:val="6"/>
              <w:spacing w:before="0" w:after="0" w:line="250" w:lineRule="auto"/>
              <w:jc w:val="both"/>
            </w:pPr>
            <w:r>
              <w:rPr>
                <w:color w:val="2A3030"/>
                <w:sz w:val="19"/>
              </w:rPr>
              <w:t>October 12, 2026</w:t>
            </w:r>
          </w:p>
        </w:tc>
      </w:tr>
      <w:tr w14:paraId="71FFF586">
        <w:tblPrEx>
          <w:tblBorders>
            <w:top w:val="single" w:color="D3C5AA" w:sz="4" w:space="0"/>
            <w:left w:val="single" w:color="E0D9CB" w:sz="2" w:space="0"/>
            <w:bottom w:val="single" w:color="D3C5AA" w:sz="4" w:space="0"/>
            <w:right w:val="single" w:color="E0D9CB" w:sz="2" w:space="0"/>
            <w:insideH w:val="single" w:color="E5DED1" w:sz="4" w:space="0"/>
            <w:insideV w:val="single" w:color="E5DED1" w:sz="2" w:space="0"/>
          </w:tblBorders>
          <w:tblCellMar>
            <w:top w:w="110" w:type="dxa"/>
            <w:left w:w="135" w:type="dxa"/>
            <w:bottom w:w="110" w:type="dxa"/>
            <w:right w:w="135" w:type="dxa"/>
          </w:tblCellMar>
        </w:tblPrEx>
        <w:trPr>
          <w:cantSplit/>
        </w:trPr>
        <w:tc>
          <w:tcPr>
            <w:tcW w:w="5100" w:type="dxa"/>
            <w:shd w:val="clear" w:color="auto" w:fill="F7F2E9"/>
            <w:vAlign w:val="center"/>
          </w:tcPr>
          <w:p w14:paraId="310DC1D6">
            <w:pPr>
              <w:pStyle w:val="6"/>
              <w:spacing w:before="0" w:after="0" w:line="250" w:lineRule="auto"/>
              <w:jc w:val="left"/>
            </w:pPr>
            <w:r>
              <w:rPr>
                <w:color w:val="2A3030"/>
                <w:sz w:val="19"/>
              </w:rPr>
              <w:t>TARGET INSTITUTION</w:t>
            </w:r>
          </w:p>
        </w:tc>
        <w:tc>
          <w:tcPr>
            <w:tcW w:w="5100" w:type="dxa"/>
            <w:shd w:val="clear" w:color="auto" w:fill="F7F2E9"/>
            <w:vAlign w:val="center"/>
          </w:tcPr>
          <w:p w14:paraId="68CE1906">
            <w:pPr>
              <w:pStyle w:val="6"/>
              <w:spacing w:before="0" w:after="0" w:line="250" w:lineRule="auto"/>
              <w:jc w:val="left"/>
            </w:pPr>
            <w:r>
              <w:rPr>
                <w:color w:val="2A3030"/>
                <w:sz w:val="19"/>
              </w:rPr>
              <w:t>TARGET ACCOUNT</w:t>
            </w:r>
          </w:p>
        </w:tc>
      </w:tr>
      <w:tr w14:paraId="3B040FB3">
        <w:tblPrEx>
          <w:tblBorders>
            <w:top w:val="single" w:color="D3C5AA" w:sz="4" w:space="0"/>
            <w:left w:val="single" w:color="E0D9CB" w:sz="2" w:space="0"/>
            <w:bottom w:val="single" w:color="D3C5AA" w:sz="4" w:space="0"/>
            <w:right w:val="single" w:color="E0D9CB" w:sz="2" w:space="0"/>
            <w:insideH w:val="single" w:color="E5DED1" w:sz="4" w:space="0"/>
            <w:insideV w:val="single" w:color="E5DED1" w:sz="2" w:space="0"/>
          </w:tblBorders>
          <w:tblCellMar>
            <w:top w:w="110" w:type="dxa"/>
            <w:left w:w="135" w:type="dxa"/>
            <w:bottom w:w="110" w:type="dxa"/>
            <w:right w:w="135" w:type="dxa"/>
          </w:tblCellMar>
        </w:tblPrEx>
        <w:trPr>
          <w:cantSplit/>
        </w:trPr>
        <w:tc>
          <w:tcPr>
            <w:tcW w:w="5100" w:type="dxa"/>
            <w:vAlign w:val="center"/>
          </w:tcPr>
          <w:p w14:paraId="1482A53D">
            <w:pPr>
              <w:pStyle w:val="6"/>
              <w:spacing w:before="0" w:after="0" w:line="250" w:lineRule="auto"/>
              <w:jc w:val="left"/>
            </w:pPr>
            <w:r>
              <w:rPr>
                <w:color w:val="2A3030"/>
                <w:sz w:val="19"/>
              </w:rPr>
              <w:t>Wise Payments Limited</w:t>
            </w:r>
          </w:p>
        </w:tc>
        <w:tc>
          <w:tcPr>
            <w:tcW w:w="5100" w:type="dxa"/>
            <w:vAlign w:val="center"/>
          </w:tcPr>
          <w:p w14:paraId="0D3592CC">
            <w:pPr>
              <w:pStyle w:val="6"/>
              <w:spacing w:before="0" w:after="0" w:line="250" w:lineRule="auto"/>
              <w:jc w:val="left"/>
            </w:pPr>
            <w:r>
              <w:rPr>
                <w:color w:val="2A3030"/>
                <w:sz w:val="19"/>
              </w:rPr>
              <w:t>Toby A Blackburn (#8842)</w:t>
            </w:r>
          </w:p>
        </w:tc>
      </w:tr>
    </w:tbl>
    <w:p w14:paraId="3175EFEC"/>
    <w:p w14:paraId="4689B5F9">
      <w:r>
        <w:rPr>
          <w:b/>
          <w:color w:val="B89758"/>
          <w:sz w:val="22"/>
        </w:rPr>
        <w:t>01</w:t>
      </w:r>
      <w:r>
        <w:rPr>
          <w:rFonts w:hint="eastAsia"/>
          <w:b/>
          <w:color w:val="B89758"/>
          <w:sz w:val="22"/>
          <w:lang w:val="en-US" w:eastAsia="zh-CN"/>
        </w:rPr>
        <w:t xml:space="preserve">. </w:t>
      </w:r>
      <w:r>
        <w:rPr>
          <w:b/>
          <w:color w:val="B89758"/>
          <w:sz w:val="22"/>
        </w:rPr>
        <w:t>OVERVIEW OF REQUEST</w:t>
      </w:r>
    </w:p>
    <w:p w14:paraId="663AFCCA">
      <w:r>
        <w:rPr>
          <w:sz w:val="20"/>
        </w:rPr>
        <w:t>Pursuant to the Treaty Between the Government of the United States of America and the Government of the United Kingdom of Great Britain and Northern Ireland on Mutual Legal Assistance in Criminal Matters, the United States hereby requests the UK Central Authority to take emergency asset preservation measures regarding proceeds of a severe transnational cyber fraud and money laundering case located within UK jurisdiction.</w:t>
      </w:r>
      <w:r>
        <w:rPr>
          <w:rFonts w:hint="eastAsia" w:ascii="Arial" w:hAnsi="Arial" w:eastAsia="宋体" w:cs="Arial"/>
          <w:i w:val="0"/>
          <w:iCs w:val="0"/>
          <w:caps w:val="0"/>
          <w:color w:val="111111"/>
          <w:spacing w:val="0"/>
          <w:sz w:val="24"/>
          <w:szCs w:val="24"/>
          <w:lang w:eastAsia="zh-CN"/>
        </w:rPr>
        <w:drawing>
          <wp:anchor distT="0" distB="0" distL="114300" distR="114300" simplePos="0" relativeHeight="251659264" behindDoc="1" locked="0" layoutInCell="1" allowOverlap="1">
            <wp:simplePos x="0" y="0"/>
            <wp:positionH relativeFrom="column">
              <wp:posOffset>3114040</wp:posOffset>
            </wp:positionH>
            <wp:positionV relativeFrom="paragraph">
              <wp:posOffset>-2741295</wp:posOffset>
            </wp:positionV>
            <wp:extent cx="3877945" cy="3877945"/>
            <wp:effectExtent l="0" t="0" r="8255" b="8255"/>
            <wp:wrapNone/>
            <wp:docPr id="3" name="图片 3" descr="图标黑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标黑白"/>
                    <pic:cNvPicPr>
                      <a:picLocks noChangeAspect="1"/>
                    </pic:cNvPicPr>
                  </pic:nvPicPr>
                  <pic:blipFill>
                    <a:blip r:embed="rId9">
                      <a:alphaModFix amt="5000"/>
                    </a:blip>
                    <a:stretch>
                      <a:fillRect/>
                    </a:stretch>
                  </pic:blipFill>
                  <pic:spPr>
                    <a:xfrm>
                      <a:off x="0" y="0"/>
                      <a:ext cx="3877945" cy="3877945"/>
                    </a:xfrm>
                    <a:prstGeom prst="rect">
                      <a:avLst/>
                    </a:prstGeom>
                  </pic:spPr>
                </pic:pic>
              </a:graphicData>
            </a:graphic>
          </wp:anchor>
        </w:drawing>
      </w:r>
    </w:p>
    <w:p w14:paraId="6DA39648"/>
    <w:p w14:paraId="084A15A1">
      <w:r>
        <w:rPr>
          <w:b/>
          <w:color w:val="B89758"/>
          <w:sz w:val="22"/>
        </w:rPr>
        <w:t>02</w:t>
      </w:r>
      <w:r>
        <w:rPr>
          <w:rFonts w:hint="eastAsia"/>
          <w:b/>
          <w:color w:val="B89758"/>
          <w:sz w:val="22"/>
          <w:lang w:val="en-US" w:eastAsia="zh-CN"/>
        </w:rPr>
        <w:t xml:space="preserve">. </w:t>
      </w:r>
      <w:r>
        <w:rPr>
          <w:b/>
          <w:color w:val="B89758"/>
          <w:sz w:val="22"/>
        </w:rPr>
        <w:t>CASE BACKGROUND &amp; LAUNDERING TYPOLOGY</w:t>
      </w:r>
    </w:p>
    <w:p w14:paraId="6ADFFC45">
      <w:r>
        <w:rPr>
          <w:sz w:val="20"/>
        </w:rPr>
        <w:t>The criminal network involved laundered the funds through a complex obfuscation process involving 167 transfers, offshore shell entities, and crypto mixers. The US investigation has successfully penetrated this veil.</w:t>
      </w:r>
    </w:p>
    <w:p w14:paraId="7972FC6A"/>
    <w:p w14:paraId="3B85FAA6">
      <w:r>
        <w:rPr>
          <w:b/>
          <w:color w:val="B89758"/>
          <w:sz w:val="22"/>
        </w:rPr>
        <w:t>03</w:t>
      </w:r>
      <w:r>
        <w:rPr>
          <w:rFonts w:hint="eastAsia"/>
          <w:b/>
          <w:color w:val="B89758"/>
          <w:sz w:val="22"/>
          <w:lang w:val="en-US" w:eastAsia="zh-CN"/>
        </w:rPr>
        <w:t xml:space="preserve">. </w:t>
      </w:r>
      <w:r>
        <w:rPr>
          <w:b/>
          <w:color w:val="B89758"/>
          <w:sz w:val="22"/>
        </w:rPr>
        <w:t xml:space="preserve">FREEZE DIRECTIVE TO BE EXECUTED </w:t>
      </w:r>
    </w:p>
    <w:p w14:paraId="1394AB4D">
      <w:r>
        <w:rPr>
          <w:sz w:val="20"/>
        </w:rPr>
        <w:t>The illicit funds are currently locked within a UK-based financial institution. We request the UK authorities to immediately issue a binding freeze order to the following institution:</w:t>
      </w:r>
    </w:p>
    <w:tbl>
      <w:tblPr>
        <w:tblStyle w:val="2"/>
        <w:tblW w:w="0" w:type="auto"/>
        <w:tblInd w:w="0" w:type="dxa"/>
        <w:tblLayout w:type="autofit"/>
        <w:tblCellMar>
          <w:top w:w="0" w:type="dxa"/>
          <w:left w:w="10" w:type="dxa"/>
          <w:bottom w:w="0" w:type="dxa"/>
          <w:right w:w="10" w:type="dxa"/>
        </w:tblCellMar>
      </w:tblPr>
      <w:tblGrid>
        <w:gridCol w:w="5120"/>
        <w:gridCol w:w="5120"/>
      </w:tblGrid>
      <w:tr w14:paraId="77AE246C">
        <w:tblPrEx>
          <w:tblCellMar>
            <w:top w:w="0" w:type="dxa"/>
            <w:left w:w="10" w:type="dxa"/>
            <w:bottom w:w="0" w:type="dxa"/>
            <w:right w:w="10" w:type="dxa"/>
          </w:tblCellMar>
        </w:tblPrEx>
        <w:tc>
          <w:tcPr>
            <w:tcW w:w="5120" w:type="dxa"/>
          </w:tcPr>
          <w:p w14:paraId="200CD253">
            <w:r>
              <w:rPr>
                <w:b/>
                <w:color w:val="B89758"/>
                <w:sz w:val="18"/>
              </w:rPr>
              <w:t>TARGET FIELD</w:t>
            </w:r>
          </w:p>
        </w:tc>
        <w:tc>
          <w:tcPr>
            <w:tcW w:w="5120" w:type="dxa"/>
          </w:tcPr>
          <w:p w14:paraId="565368D7">
            <w:r>
              <w:rPr>
                <w:b/>
                <w:color w:val="B89758"/>
                <w:sz w:val="18"/>
              </w:rPr>
              <w:t>DETAILS</w:t>
            </w:r>
          </w:p>
        </w:tc>
      </w:tr>
      <w:tr w14:paraId="2D787D68">
        <w:tblPrEx>
          <w:tblCellMar>
            <w:top w:w="0" w:type="dxa"/>
            <w:left w:w="10" w:type="dxa"/>
            <w:bottom w:w="0" w:type="dxa"/>
            <w:right w:w="10" w:type="dxa"/>
          </w:tblCellMar>
        </w:tblPrEx>
        <w:tc>
          <w:tcPr>
            <w:tcW w:w="5120" w:type="dxa"/>
          </w:tcPr>
          <w:p w14:paraId="52808311">
            <w:r>
              <w:rPr>
                <w:sz w:val="18"/>
              </w:rPr>
              <w:t>Institution</w:t>
            </w:r>
          </w:p>
        </w:tc>
        <w:tc>
          <w:tcPr>
            <w:tcW w:w="5120" w:type="dxa"/>
          </w:tcPr>
          <w:p w14:paraId="65EBACD1">
            <w:r>
              <w:rPr>
                <w:sz w:val="18"/>
              </w:rPr>
              <w:t>Wise Payments Limited</w:t>
            </w:r>
          </w:p>
        </w:tc>
      </w:tr>
      <w:tr w14:paraId="76F99B6B">
        <w:tblPrEx>
          <w:tblCellMar>
            <w:top w:w="0" w:type="dxa"/>
            <w:left w:w="10" w:type="dxa"/>
            <w:bottom w:w="0" w:type="dxa"/>
            <w:right w:w="10" w:type="dxa"/>
          </w:tblCellMar>
        </w:tblPrEx>
        <w:tc>
          <w:tcPr>
            <w:tcW w:w="5120" w:type="dxa"/>
          </w:tcPr>
          <w:p w14:paraId="42842C09">
            <w:r>
              <w:rPr>
                <w:sz w:val="18"/>
              </w:rPr>
              <w:t>Account Name</w:t>
            </w:r>
          </w:p>
        </w:tc>
        <w:tc>
          <w:tcPr>
            <w:tcW w:w="5120" w:type="dxa"/>
          </w:tcPr>
          <w:p w14:paraId="0C3DFF99">
            <w:r>
              <w:rPr>
                <w:sz w:val="18"/>
              </w:rPr>
              <w:t>Toby A Blackburn</w:t>
            </w:r>
          </w:p>
        </w:tc>
      </w:tr>
      <w:tr w14:paraId="18E46EA8">
        <w:tblPrEx>
          <w:tblCellMar>
            <w:top w:w="0" w:type="dxa"/>
            <w:left w:w="10" w:type="dxa"/>
            <w:bottom w:w="0" w:type="dxa"/>
            <w:right w:w="10" w:type="dxa"/>
          </w:tblCellMar>
        </w:tblPrEx>
        <w:tc>
          <w:tcPr>
            <w:tcW w:w="5120" w:type="dxa"/>
          </w:tcPr>
          <w:p w14:paraId="64519C93">
            <w:r>
              <w:rPr>
                <w:sz w:val="18"/>
              </w:rPr>
              <w:t>Card Info</w:t>
            </w:r>
          </w:p>
        </w:tc>
        <w:tc>
          <w:tcPr>
            <w:tcW w:w="5120" w:type="dxa"/>
          </w:tcPr>
          <w:p w14:paraId="39DBE486">
            <w:r>
              <w:rPr>
                <w:sz w:val="18"/>
              </w:rPr>
              <w:t>Ending in #8842</w:t>
            </w:r>
          </w:p>
        </w:tc>
      </w:tr>
    </w:tbl>
    <w:p w14:paraId="469F2795"/>
    <w:p w14:paraId="254BB345">
      <w:r>
        <w:rPr>
          <w:b/>
          <w:color w:val="B89758"/>
          <w:sz w:val="22"/>
        </w:rPr>
        <w:t>04</w:t>
      </w:r>
      <w:r>
        <w:rPr>
          <w:rFonts w:hint="eastAsia"/>
          <w:b/>
          <w:color w:val="B89758"/>
          <w:sz w:val="22"/>
          <w:lang w:val="en-US" w:eastAsia="zh-CN"/>
        </w:rPr>
        <w:t xml:space="preserve">. </w:t>
      </w:r>
      <w:r>
        <w:rPr>
          <w:b/>
          <w:color w:val="B89758"/>
          <w:sz w:val="22"/>
        </w:rPr>
        <w:t>DECLARATION OF URGENCY</w:t>
      </w:r>
    </w:p>
    <w:p w14:paraId="30AC3BC6">
      <w:pPr>
        <w:rPr>
          <w:sz w:val="20"/>
        </w:rPr>
      </w:pPr>
      <w:r>
        <w:rPr>
          <w:sz w:val="20"/>
        </w:rPr>
        <w:t>Without immediate action, the suspects are highly likely to dissipate the illicit funds currently held in this account. We appreciate your prompt assistance.</w:t>
      </w:r>
    </w:p>
    <w:p w14:paraId="6F20B0F4">
      <w:pPr>
        <w:rPr>
          <w:sz w:val="20"/>
        </w:rPr>
      </w:pPr>
    </w:p>
    <w:p w14:paraId="734B911B">
      <w:pPr>
        <w:rPr>
          <w:sz w:val="20"/>
        </w:rPr>
      </w:pP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814"/>
        <w:gridCol w:w="4814"/>
      </w:tblGrid>
      <w:tr w14:paraId="21D3B3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814" w:type="dxa"/>
            <w:tcBorders>
              <w:tl2br w:val="nil"/>
              <w:tr2bl w:val="nil"/>
            </w:tcBorders>
            <w:vAlign w:val="top"/>
          </w:tcPr>
          <w:p w14:paraId="66487BA7">
            <w:pPr>
              <w:spacing w:after="0" w:line="355" w:lineRule="auto"/>
              <w:jc w:val="left"/>
              <w:rPr>
                <w:rFonts w:hint="eastAsia" w:ascii="Times New Roman" w:hAnsi="Times New Roman" w:eastAsia="Times New Roman"/>
                <w:sz w:val="24"/>
                <w:szCs w:val="24"/>
                <w:lang w:eastAsia="zh-CN"/>
              </w:rPr>
            </w:pPr>
            <w:r>
              <w:rPr>
                <w:rFonts w:hint="eastAsia" w:ascii="Arial" w:hAnsi="Arial" w:eastAsia="宋体" w:cs="Arial"/>
                <w:i w:val="0"/>
                <w:iCs w:val="0"/>
                <w:caps w:val="0"/>
                <w:color w:val="111111"/>
                <w:spacing w:val="0"/>
                <w:sz w:val="24"/>
                <w:szCs w:val="24"/>
                <w:lang w:eastAsia="zh-CN"/>
              </w:rPr>
              <w:drawing>
                <wp:anchor distT="0" distB="0" distL="114300" distR="114300" simplePos="0" relativeHeight="251661312" behindDoc="0" locked="0" layoutInCell="1" allowOverlap="1">
                  <wp:simplePos x="0" y="0"/>
                  <wp:positionH relativeFrom="column">
                    <wp:posOffset>457200</wp:posOffset>
                  </wp:positionH>
                  <wp:positionV relativeFrom="paragraph">
                    <wp:posOffset>398145</wp:posOffset>
                  </wp:positionV>
                  <wp:extent cx="2307590" cy="768985"/>
                  <wp:effectExtent l="0" t="0" r="16510" b="0"/>
                  <wp:wrapNone/>
                  <wp:docPr id="7" name="图片 7" descr="美国司法部（DOJ）官员签名：妮可·M·阿根蒂耶里手写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美国司法部（DOJ）官员签名：妮可·M·阿根蒂耶里手写签名"/>
                          <pic:cNvPicPr>
                            <a:picLocks noChangeAspect="1"/>
                          </pic:cNvPicPr>
                        </pic:nvPicPr>
                        <pic:blipFill>
                          <a:blip r:embed="rId10"/>
                          <a:stretch>
                            <a:fillRect/>
                          </a:stretch>
                        </pic:blipFill>
                        <pic:spPr>
                          <a:xfrm>
                            <a:off x="0" y="0"/>
                            <a:ext cx="2307590" cy="768985"/>
                          </a:xfrm>
                          <a:prstGeom prst="rect">
                            <a:avLst/>
                          </a:prstGeom>
                        </pic:spPr>
                      </pic:pic>
                    </a:graphicData>
                  </a:graphic>
                </wp:anchor>
              </w:drawing>
            </w:r>
            <w:r>
              <w:rPr>
                <w:rFonts w:hint="eastAsia" w:ascii="Times New Roman" w:hAnsi="Times New Roman" w:eastAsia="Times New Roman"/>
                <w:sz w:val="24"/>
                <w:szCs w:val="24"/>
                <w:lang w:eastAsia="zh-CN"/>
              </w:rPr>
              <w:t>U.S. Department of Justice (DOJ) Official Signature:</w:t>
            </w:r>
          </w:p>
          <w:p w14:paraId="34A4E5D8">
            <w:pPr>
              <w:spacing w:after="0" w:line="355" w:lineRule="auto"/>
              <w:jc w:val="left"/>
              <w:rPr>
                <w:rFonts w:hint="eastAsia" w:ascii="Times New Roman" w:hAnsi="Times New Roman" w:eastAsia="Times New Roman"/>
                <w:sz w:val="24"/>
                <w:szCs w:val="24"/>
                <w:lang w:eastAsia="zh-CN"/>
              </w:rPr>
            </w:pPr>
          </w:p>
        </w:tc>
        <w:tc>
          <w:tcPr>
            <w:tcW w:w="4814" w:type="dxa"/>
            <w:tcBorders>
              <w:tl2br w:val="nil"/>
              <w:tr2bl w:val="nil"/>
            </w:tcBorders>
            <w:vAlign w:val="top"/>
          </w:tcPr>
          <w:p w14:paraId="7881BF5A">
            <w:pPr>
              <w:spacing w:after="0" w:line="355" w:lineRule="auto"/>
              <w:jc w:val="left"/>
              <w:rPr>
                <w:rFonts w:hint="eastAsia" w:ascii="Times New Roman" w:hAnsi="Times New Roman" w:eastAsia="Times New Roman"/>
                <w:sz w:val="24"/>
                <w:szCs w:val="24"/>
                <w:vertAlign w:val="baseline"/>
                <w:lang w:eastAsia="zh-CN"/>
              </w:rPr>
            </w:pPr>
            <w:r>
              <w:rPr>
                <w:rFonts w:hint="eastAsia" w:ascii="Times New Roman" w:hAnsi="Times New Roman" w:eastAsia="Times New Roman"/>
                <w:sz w:val="24"/>
                <w:szCs w:val="24"/>
                <w:lang w:eastAsia="zh-CN"/>
              </w:rPr>
              <w:drawing>
                <wp:anchor distT="0" distB="0" distL="114300" distR="114300" simplePos="0" relativeHeight="251660288" behindDoc="0" locked="0" layoutInCell="1" allowOverlap="1">
                  <wp:simplePos x="0" y="0"/>
                  <wp:positionH relativeFrom="column">
                    <wp:posOffset>486410</wp:posOffset>
                  </wp:positionH>
                  <wp:positionV relativeFrom="paragraph">
                    <wp:posOffset>654685</wp:posOffset>
                  </wp:positionV>
                  <wp:extent cx="1410970" cy="357505"/>
                  <wp:effectExtent l="0" t="0" r="17780" b="4445"/>
                  <wp:wrapNone/>
                  <wp:docPr id="8" name="图片 8" descr="纽约州法官签名(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纽约州法官签名(1)"/>
                          <pic:cNvPicPr>
                            <a:picLocks noChangeAspect="1"/>
                          </pic:cNvPicPr>
                        </pic:nvPicPr>
                        <pic:blipFill>
                          <a:blip r:embed="rId11"/>
                          <a:stretch>
                            <a:fillRect/>
                          </a:stretch>
                        </pic:blipFill>
                        <pic:spPr>
                          <a:xfrm>
                            <a:off x="0" y="0"/>
                            <a:ext cx="1410970" cy="357505"/>
                          </a:xfrm>
                          <a:prstGeom prst="rect">
                            <a:avLst/>
                          </a:prstGeom>
                        </pic:spPr>
                      </pic:pic>
                    </a:graphicData>
                  </a:graphic>
                </wp:anchor>
              </w:drawing>
            </w:r>
            <w:r>
              <w:rPr>
                <w:rFonts w:hint="eastAsia" w:ascii="Times New Roman" w:hAnsi="Times New Roman" w:eastAsia="Times New Roman"/>
                <w:sz w:val="24"/>
                <w:szCs w:val="24"/>
                <w:lang w:eastAsia="zh-CN"/>
              </w:rPr>
              <w:t>Judge Signature:</w:t>
            </w:r>
          </w:p>
        </w:tc>
      </w:tr>
      <w:tr w14:paraId="2B0AE6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814" w:type="dxa"/>
            <w:tcBorders>
              <w:tl2br w:val="nil"/>
              <w:tr2bl w:val="nil"/>
            </w:tcBorders>
            <w:vAlign w:val="top"/>
          </w:tcPr>
          <w:p w14:paraId="5EE1EA2D">
            <w:pPr>
              <w:spacing w:after="0" w:line="355" w:lineRule="auto"/>
              <w:jc w:val="left"/>
              <w:rPr>
                <w:rFonts w:hint="eastAsia" w:ascii="Times New Roman" w:hAnsi="Times New Roman" w:eastAsia="Times New Roman"/>
                <w:sz w:val="24"/>
                <w:szCs w:val="24"/>
                <w:lang w:eastAsia="zh-CN"/>
              </w:rPr>
            </w:pPr>
            <w:r>
              <w:rPr>
                <w:rFonts w:hint="eastAsia" w:ascii="Times New Roman" w:hAnsi="Times New Roman" w:eastAsia="Times New Roman"/>
                <w:sz w:val="24"/>
                <w:szCs w:val="24"/>
                <w:lang w:eastAsia="zh-CN"/>
              </w:rPr>
              <w:t>Name:</w:t>
            </w:r>
          </w:p>
          <w:p w14:paraId="2BAC5F2C">
            <w:pPr>
              <w:spacing w:after="0" w:line="355" w:lineRule="auto"/>
              <w:jc w:val="left"/>
              <w:rPr>
                <w:rFonts w:hint="eastAsia" w:ascii="Times New Roman" w:hAnsi="Times New Roman" w:eastAsia="Times New Roman"/>
                <w:sz w:val="24"/>
                <w:szCs w:val="24"/>
                <w:lang w:eastAsia="zh-CN"/>
              </w:rPr>
            </w:pPr>
          </w:p>
        </w:tc>
        <w:tc>
          <w:tcPr>
            <w:tcW w:w="4814" w:type="dxa"/>
            <w:tcBorders>
              <w:tl2br w:val="nil"/>
              <w:tr2bl w:val="nil"/>
            </w:tcBorders>
            <w:vAlign w:val="top"/>
          </w:tcPr>
          <w:p w14:paraId="64AE9FA1">
            <w:pPr>
              <w:spacing w:after="0" w:line="355" w:lineRule="auto"/>
              <w:jc w:val="left"/>
              <w:rPr>
                <w:rFonts w:hint="eastAsia" w:ascii="Times New Roman" w:hAnsi="Times New Roman" w:eastAsia="Times New Roman"/>
                <w:sz w:val="24"/>
                <w:szCs w:val="24"/>
                <w:vertAlign w:val="baseline"/>
                <w:lang w:eastAsia="zh-CN"/>
              </w:rPr>
            </w:pPr>
            <w:r>
              <w:rPr>
                <w:rFonts w:hint="eastAsia" w:ascii="Times New Roman" w:hAnsi="Times New Roman" w:eastAsia="Times New Roman"/>
                <w:sz w:val="24"/>
                <w:szCs w:val="24"/>
                <w:lang w:eastAsia="zh-CN"/>
              </w:rPr>
              <w:t>Name:</w:t>
            </w:r>
          </w:p>
        </w:tc>
      </w:tr>
      <w:tr w14:paraId="54D82B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814" w:type="dxa"/>
            <w:tcBorders>
              <w:tl2br w:val="nil"/>
              <w:tr2bl w:val="nil"/>
            </w:tcBorders>
            <w:vAlign w:val="top"/>
          </w:tcPr>
          <w:p w14:paraId="01B7F026">
            <w:pPr>
              <w:spacing w:after="0" w:line="355" w:lineRule="auto"/>
              <w:jc w:val="left"/>
              <w:rPr>
                <w:rFonts w:hint="eastAsia" w:ascii="Times New Roman" w:hAnsi="Times New Roman" w:eastAsia="Times New Roman"/>
                <w:sz w:val="24"/>
                <w:szCs w:val="24"/>
                <w:lang w:eastAsia="zh-CN"/>
              </w:rPr>
            </w:pPr>
            <w:r>
              <w:rPr>
                <w:rFonts w:hint="eastAsia"/>
                <w:sz w:val="24"/>
                <w:szCs w:val="24"/>
                <w:lang w:val="en-US" w:eastAsia="zh-CN"/>
              </w:rPr>
              <w:t>当天日期</w:t>
            </w:r>
          </w:p>
        </w:tc>
        <w:tc>
          <w:tcPr>
            <w:tcW w:w="4814" w:type="dxa"/>
            <w:tcBorders>
              <w:tl2br w:val="nil"/>
              <w:tr2bl w:val="nil"/>
            </w:tcBorders>
            <w:vAlign w:val="top"/>
          </w:tcPr>
          <w:p w14:paraId="7CE8D742">
            <w:pPr>
              <w:spacing w:after="0" w:line="355" w:lineRule="auto"/>
              <w:jc w:val="left"/>
              <w:rPr>
                <w:rFonts w:hint="default" w:ascii="Times New Roman" w:hAnsi="Times New Roman" w:eastAsia="Times New Roman"/>
                <w:sz w:val="24"/>
                <w:szCs w:val="24"/>
                <w:vertAlign w:val="baseline"/>
                <w:lang w:val="en-US" w:eastAsia="zh-CN"/>
              </w:rPr>
            </w:pPr>
            <w:r>
              <w:rPr>
                <w:rFonts w:hint="eastAsia"/>
                <w:sz w:val="24"/>
                <w:szCs w:val="24"/>
                <w:lang w:val="en-US" w:eastAsia="zh-CN"/>
              </w:rPr>
              <w:t>当天日期</w:t>
            </w:r>
          </w:p>
        </w:tc>
      </w:tr>
    </w:tbl>
    <w:p w14:paraId="75BDBE83">
      <w:bookmarkStart w:id="0" w:name="_GoBack"/>
      <w:bookmarkEnd w:id="0"/>
      <w:r>
        <w:rPr>
          <w:rFonts w:hint="eastAsia" w:ascii="Arial" w:hAnsi="Arial" w:eastAsia="宋体" w:cs="Arial"/>
          <w:i w:val="0"/>
          <w:iCs w:val="0"/>
          <w:caps w:val="0"/>
          <w:color w:val="111111"/>
          <w:spacing w:val="0"/>
          <w:sz w:val="24"/>
          <w:szCs w:val="24"/>
          <w:lang w:eastAsia="zh-CN"/>
        </w:rPr>
        <w:drawing>
          <wp:anchor distT="0" distB="0" distL="114300" distR="114300" simplePos="0" relativeHeight="251662336" behindDoc="1" locked="0" layoutInCell="1" allowOverlap="1">
            <wp:simplePos x="0" y="0"/>
            <wp:positionH relativeFrom="column">
              <wp:posOffset>3114040</wp:posOffset>
            </wp:positionH>
            <wp:positionV relativeFrom="paragraph">
              <wp:posOffset>-1691640</wp:posOffset>
            </wp:positionV>
            <wp:extent cx="3877945" cy="3877945"/>
            <wp:effectExtent l="0" t="0" r="8255" b="8255"/>
            <wp:wrapNone/>
            <wp:docPr id="9" name="图片 9" descr="图标黑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标黑白"/>
                    <pic:cNvPicPr>
                      <a:picLocks noChangeAspect="1"/>
                    </pic:cNvPicPr>
                  </pic:nvPicPr>
                  <pic:blipFill>
                    <a:blip r:embed="rId9">
                      <a:alphaModFix amt="5000"/>
                    </a:blip>
                    <a:stretch>
                      <a:fillRect/>
                    </a:stretch>
                  </pic:blipFill>
                  <pic:spPr>
                    <a:xfrm>
                      <a:off x="0" y="0"/>
                      <a:ext cx="3877945" cy="3877945"/>
                    </a:xfrm>
                    <a:prstGeom prst="rect">
                      <a:avLst/>
                    </a:prstGeom>
                  </pic:spPr>
                </pic:pic>
              </a:graphicData>
            </a:graphic>
          </wp:anchor>
        </w:drawing>
      </w:r>
    </w:p>
    <w:sectPr>
      <w:headerReference r:id="rId5" w:type="default"/>
      <w:footerReference r:id="rId6" w:type="default"/>
      <w:pgSz w:w="12240" w:h="15840"/>
      <w:pgMar w:top="1150" w:right="1000" w:bottom="1050" w:left="1000" w:header="500" w:footer="55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Georgia">
    <w:panose1 w:val="02040502050405020303"/>
    <w:charset w:val="00"/>
    <w:family w:val="auto"/>
    <w:pitch w:val="default"/>
    <w:sig w:usb0="000002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077D8">
    <w:pPr>
      <w:pBdr>
        <w:top w:val="single" w:color="CAB88B" w:sz="6" w:space="8"/>
      </w:pBdr>
    </w:pPr>
    <w:r>
      <w:rPr>
        <w:color w:val="806C4D"/>
        <w:sz w:val="16"/>
      </w:rPr>
      <w:t>#WC-2026-FX7717</w:t>
    </w:r>
    <w:r>
      <w:rPr>
        <w:color w:val="807F77"/>
        <w:sz w:val="16"/>
      </w:rPr>
      <w:t xml:space="preserve">                                   </w:t>
    </w:r>
    <w:r>
      <w:rPr>
        <w:rFonts w:hint="eastAsia"/>
        <w:color w:val="807F77"/>
        <w:sz w:val="16"/>
        <w:lang w:val="en-US" w:eastAsia="zh-CN"/>
      </w:rPr>
      <w:t xml:space="preserve">                                                                                                                                                        </w:t>
    </w:r>
    <w:r>
      <w:rPr>
        <w:color w:val="807F77"/>
        <w:sz w:val="16"/>
      </w:rPr>
      <w:t xml:space="preserve">    Page </w:t>
    </w: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48BE21">
    <w:pPr>
      <w:pBdr>
        <w:bottom w:val="single" w:color="B98B45" w:sz="8" w:space="9"/>
      </w:pBdr>
      <w:jc w:val="right"/>
    </w:pPr>
    <w:r>
      <w:rPr>
        <w:b/>
        <w:color w:val="A37D43"/>
        <w:sz w:val="15"/>
      </w:rPr>
      <w:t xml:space="preserve">WHITFIELD &amp; CRANE LLP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footnotePr>
    <w:footnote w:id="0"/>
    <w:footnote w:id="1"/>
  </w:footnotePr>
  <w:endnotePr>
    <w:endnote w:id="0"/>
    <w:endnote w:id="1"/>
  </w:endnotePr>
  <w:compat>
    <w:useFELayout/>
    <w:splitPgBreakAndParaMark/>
    <w:compatSetting w:name="compatibilityMode" w:uri="http://schemas.microsoft.com/office/word" w:val="12"/>
  </w:compat>
  <w:rsids>
    <w:rsidRoot w:val="00000000"/>
    <w:rsid w:val="097D7279"/>
    <w:rsid w:val="19D50C74"/>
    <w:rsid w:val="2F880DEC"/>
    <w:rsid w:val="567445F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ptos" w:hAnsi="Aptos"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95" w:line="300" w:lineRule="auto"/>
    </w:pPr>
    <w:rPr>
      <w:rFonts w:ascii="Aptos" w:hAnsi="Aptos" w:eastAsiaTheme="minorEastAsia" w:cstheme="minorBidi"/>
      <w:color w:val="343B3D"/>
      <w:sz w:val="21"/>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5">
    <w:name w:val="BodyText"/>
    <w:qFormat/>
    <w:uiPriority w:val="0"/>
    <w:pPr>
      <w:spacing w:after="140" w:line="300" w:lineRule="auto"/>
    </w:pPr>
    <w:rPr>
      <w:rFonts w:ascii="Aptos" w:hAnsi="Aptos" w:eastAsiaTheme="minorEastAsia" w:cstheme="minorBidi"/>
      <w:color w:val="374046"/>
      <w:sz w:val="21"/>
    </w:rPr>
  </w:style>
  <w:style w:type="paragraph" w:customStyle="1" w:styleId="6">
    <w:name w:val="TableBody"/>
    <w:qFormat/>
    <w:uiPriority w:val="0"/>
    <w:pPr>
      <w:spacing w:after="0" w:line="300" w:lineRule="auto"/>
    </w:pPr>
    <w:rPr>
      <w:rFonts w:ascii="Aptos" w:hAnsi="Aptos" w:eastAsiaTheme="minorEastAsia" w:cstheme="minorBidi"/>
      <w:color w:val="343B3D"/>
      <w:sz w:val="18"/>
    </w:rPr>
  </w:style>
  <w:style w:type="paragraph" w:customStyle="1" w:styleId="7">
    <w:name w:val="Overline"/>
    <w:qFormat/>
    <w:uiPriority w:val="0"/>
    <w:pPr>
      <w:spacing w:after="140" w:line="300" w:lineRule="auto"/>
    </w:pPr>
    <w:rPr>
      <w:rFonts w:ascii="Aptos" w:hAnsi="Aptos" w:eastAsiaTheme="minorEastAsia" w:cstheme="minorBidi"/>
      <w:b/>
      <w:color w:val="9B7843"/>
      <w:sz w:val="24"/>
    </w:rPr>
  </w:style>
  <w:style w:type="paragraph" w:customStyle="1" w:styleId="8">
    <w:name w:val="CoverBrand"/>
    <w:qFormat/>
    <w:uiPriority w:val="0"/>
    <w:pPr>
      <w:spacing w:after="160" w:line="300" w:lineRule="auto"/>
    </w:pPr>
    <w:rPr>
      <w:rFonts w:ascii="Georgia" w:hAnsi="Georgia" w:eastAsiaTheme="minorEastAsia" w:cstheme="minorBidi"/>
      <w:b/>
      <w:color w:val="B88A43"/>
      <w:sz w:val="28"/>
    </w:rPr>
  </w:style>
  <w:style w:type="paragraph" w:customStyle="1" w:styleId="9">
    <w:name w:val="CoverTitle"/>
    <w:qFormat/>
    <w:uiPriority w:val="0"/>
    <w:pPr>
      <w:spacing w:after="100" w:line="300" w:lineRule="auto"/>
    </w:pPr>
    <w:rPr>
      <w:rFonts w:ascii="Georgia" w:hAnsi="Georgia" w:eastAsiaTheme="minorEastAsia" w:cstheme="minorBidi"/>
      <w:b/>
      <w:color w:val="1D272B"/>
      <w:sz w:val="48"/>
    </w:rPr>
  </w:style>
  <w:style w:type="paragraph" w:customStyle="1" w:styleId="10">
    <w:name w:val="CoverSub"/>
    <w:qFormat/>
    <w:uiPriority w:val="0"/>
    <w:pPr>
      <w:spacing w:after="145" w:line="300" w:lineRule="auto"/>
    </w:pPr>
    <w:rPr>
      <w:rFonts w:ascii="Aptos" w:hAnsi="Aptos" w:eastAsiaTheme="minorEastAsia" w:cstheme="minorBidi"/>
      <w:color w:val="636C69"/>
      <w:sz w:val="20"/>
    </w:rPr>
  </w:style>
  <w:style w:type="paragraph" w:customStyle="1" w:styleId="11">
    <w:name w:val="CoverWarning"/>
    <w:qFormat/>
    <w:uiPriority w:val="0"/>
    <w:pPr>
      <w:spacing w:after="120" w:line="300" w:lineRule="auto"/>
    </w:pPr>
    <w:rPr>
      <w:rFonts w:ascii="Aptos" w:hAnsi="Aptos" w:eastAsiaTheme="minorEastAsia" w:cstheme="minorBidi"/>
      <w:b/>
      <w:color w:val="A15D44"/>
      <w:sz w:val="18"/>
    </w:rPr>
  </w:style>
  <w:style w:type="paragraph" w:customStyle="1" w:styleId="12">
    <w:name w:val="CoverFoot"/>
    <w:qFormat/>
    <w:uiPriority w:val="0"/>
    <w:pPr>
      <w:spacing w:after="120" w:line="300" w:lineRule="auto"/>
    </w:pPr>
    <w:rPr>
      <w:rFonts w:ascii="Aptos" w:hAnsi="Aptos" w:eastAsiaTheme="minorEastAsia" w:cstheme="minorBidi"/>
      <w:color w:val="786D5E"/>
      <w:sz w:val="19"/>
    </w:rPr>
  </w:style>
  <w:style w:type="paragraph" w:customStyle="1" w:styleId="13">
    <w:name w:val="ReportTitle"/>
    <w:qFormat/>
    <w:uiPriority w:val="0"/>
    <w:pPr>
      <w:spacing w:after="160" w:line="300" w:lineRule="auto"/>
    </w:pPr>
    <w:rPr>
      <w:rFonts w:ascii="Georgia" w:hAnsi="Georgia" w:eastAsiaTheme="minorEastAsia" w:cstheme="minorBidi"/>
      <w:b/>
      <w:color w:val="1B2527"/>
      <w:sz w:val="35"/>
    </w:rPr>
  </w:style>
  <w:style w:type="paragraph" w:customStyle="1" w:styleId="14">
    <w:name w:val="Callout"/>
    <w:qFormat/>
    <w:uiPriority w:val="0"/>
    <w:pPr>
      <w:spacing w:after="110" w:line="300" w:lineRule="auto"/>
    </w:pPr>
    <w:rPr>
      <w:rFonts w:ascii="Aptos" w:hAnsi="Aptos" w:eastAsiaTheme="minorEastAsia" w:cstheme="minorBidi"/>
      <w:b/>
      <w:color w:val="99612C"/>
      <w:sz w:val="19"/>
    </w:rPr>
  </w:style>
  <w:style w:type="paragraph" w:customStyle="1" w:styleId="15">
    <w:name w:val="Heading1"/>
    <w:qFormat/>
    <w:uiPriority w:val="0"/>
    <w:pPr>
      <w:keepNext/>
      <w:spacing w:after="175" w:line="300" w:lineRule="auto"/>
    </w:pPr>
    <w:rPr>
      <w:rFonts w:ascii="Georgia" w:hAnsi="Georgia" w:eastAsiaTheme="minorEastAsia" w:cstheme="minorBidi"/>
      <w:b/>
      <w:color w:val="8E682B"/>
      <w:sz w:val="28"/>
    </w:rPr>
  </w:style>
  <w:style w:type="paragraph" w:customStyle="1" w:styleId="16">
    <w:name w:val="Heading2"/>
    <w:qFormat/>
    <w:uiPriority w:val="0"/>
    <w:pPr>
      <w:keepNext/>
      <w:spacing w:after="115" w:line="300" w:lineRule="auto"/>
    </w:pPr>
    <w:rPr>
      <w:rFonts w:ascii="Georgia" w:hAnsi="Georgia" w:eastAsiaTheme="minorEastAsia" w:cstheme="minorBidi"/>
      <w:b/>
      <w:color w:val="27302E"/>
      <w:sz w:val="23"/>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Whitfield &amp; Crane LLP </Company>
  <Pages>2</Pages>
  <Words>281</Words>
  <Characters>1390</Characters>
  <TotalTime>2</TotalTime>
  <ScaleCrop>false</ScaleCrop>
  <LinksUpToDate>false</LinksUpToDate>
  <CharactersWithSpaces>1613</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2026-10-12T20:38:00Z</dcterms:created>
  <dc:creator>Whitfield &amp; Crane LLP · RecoveryTrace Pro</dc:creator>
  <dc:description>Financial movement scenario register; source-data status is disclosed in the document header and footer.</dc:description>
  <cp:keywords>transaction register; financial routing; institution reconciliation</cp:keywords>
  <cp:lastModifiedBy>彦祖吴</cp:lastModifiedBy>
  <dcterms:modified xsi:type="dcterms:W3CDTF">2026-10-12T21:34:30Z</dcterms:modified>
  <dc:title>Investigative Financial Movement Investigation Report — #WC-2026-FX7717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eyJoZGlkIjoiZWE4ZjA0MzE2NzhhNmJmMWI0MzVmNTc3ZTEzMzk2YjkiLCJ1c2VySWQiOiIxODAzNTg5ODczIn0=</vt:lpwstr>
  </property>
  <property fmtid="{D5CDD505-2E9C-101B-9397-08002B2CF9AE}" pid="3" name="KSOProductBuildVer">
    <vt:lpwstr>2052-12.1.0.28505</vt:lpwstr>
  </property>
  <property fmtid="{D5CDD505-2E9C-101B-9397-08002B2CF9AE}" pid="4" name="ICV">
    <vt:lpwstr>59B150A46DEE46CBB5E034D4273F7D89_12</vt:lpwstr>
  </property>
</Properties>
</file>