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D2D61">
      <w:pPr>
        <w:spacing w:after="40"/>
        <w:jc w:val="right"/>
      </w:pPr>
      <w:r>
        <w:rPr>
          <w:rFonts w:hint="eastAsia" w:ascii="Times New Roman" w:hAnsi="Times New Roman" w:eastAsia="Times New Roman"/>
          <w:sz w:val="24"/>
          <w:szCs w:val="24"/>
          <w:lang w:eastAsia="zh-CN"/>
        </w:rPr>
        <w:drawing>
          <wp:anchor distT="0" distB="0" distL="114300" distR="114300" simplePos="0" relativeHeight="251659264" behindDoc="0" locked="0" layoutInCell="1" allowOverlap="1">
            <wp:simplePos x="0" y="0"/>
            <wp:positionH relativeFrom="column">
              <wp:posOffset>-680085</wp:posOffset>
            </wp:positionH>
            <wp:positionV relativeFrom="paragraph">
              <wp:posOffset>-1043940</wp:posOffset>
            </wp:positionV>
            <wp:extent cx="2893695" cy="1929765"/>
            <wp:effectExtent l="0" t="0" r="0" b="0"/>
            <wp:wrapNone/>
            <wp:docPr id="4" name="图片 4" descr="ChatGPT Image 2026年3月31日 17_10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3月31日 17_10_45"/>
                    <pic:cNvPicPr>
                      <a:picLocks noChangeAspect="1"/>
                    </pic:cNvPicPr>
                  </pic:nvPicPr>
                  <pic:blipFill>
                    <a:blip r:embed="rId7"/>
                    <a:stretch>
                      <a:fillRect/>
                    </a:stretch>
                  </pic:blipFill>
                  <pic:spPr>
                    <a:xfrm>
                      <a:off x="0" y="0"/>
                      <a:ext cx="2893695" cy="1929765"/>
                    </a:xfrm>
                    <a:prstGeom prst="rect">
                      <a:avLst/>
                    </a:prstGeom>
                  </pic:spPr>
                </pic:pic>
              </a:graphicData>
            </a:graphic>
          </wp:anchor>
        </w:drawing>
      </w:r>
      <w:r>
        <w:rPr>
          <w:rFonts w:ascii="Times New Roman" w:hAnsi="Times New Roman" w:eastAsia="Times New Roman"/>
          <w:b/>
          <w:color w:val="A05A5A"/>
          <w:sz w:val="24"/>
          <w:bdr w:val="single" w:color="A05A5A" w:sz="16" w:space="0"/>
        </w:rPr>
        <w:t>FILED</w:t>
      </w:r>
    </w:p>
    <w:p w14:paraId="721F50C8">
      <w:pPr>
        <w:spacing w:after="240" w:line="324" w:lineRule="auto"/>
        <w:jc w:val="center"/>
      </w:pPr>
      <w:r>
        <w:rPr>
          <w:rFonts w:ascii="Times New Roman" w:hAnsi="Times New Roman" w:eastAsia="Times New Roman"/>
          <w:b/>
          <w:sz w:val="22"/>
        </w:rPr>
        <w:t>UNITED STATES DISTRICT COURT</w:t>
      </w:r>
      <w:r>
        <w:rPr>
          <w:rFonts w:ascii="Times New Roman" w:hAnsi="Times New Roman" w:eastAsia="Times New Roman"/>
          <w:b/>
          <w:sz w:val="22"/>
        </w:rPr>
        <w:br w:type="textWrapping"/>
      </w:r>
      <w:r>
        <w:rPr>
          <w:rFonts w:ascii="Times New Roman" w:hAnsi="Times New Roman" w:eastAsia="Times New Roman"/>
          <w:b/>
          <w:sz w:val="22"/>
        </w:rPr>
        <w:t>SOUTHERN DISTRICT OF NEW YORK</w:t>
      </w:r>
    </w:p>
    <w:tbl>
      <w:tblPr>
        <w:tblStyle w:val="32"/>
        <w:tblW w:w="0" w:type="auto"/>
        <w:jc w:val="center"/>
        <w:tblLayout w:type="fixed"/>
        <w:tblCellMar>
          <w:top w:w="0" w:type="dxa"/>
          <w:left w:w="108" w:type="dxa"/>
          <w:bottom w:w="0" w:type="dxa"/>
          <w:right w:w="108" w:type="dxa"/>
        </w:tblCellMar>
      </w:tblPr>
      <w:tblGrid>
        <w:gridCol w:w="6123"/>
        <w:gridCol w:w="3288"/>
      </w:tblGrid>
      <w:tr w14:paraId="14ACA73D">
        <w:tblPrEx>
          <w:tblCellMar>
            <w:top w:w="0" w:type="dxa"/>
            <w:left w:w="108" w:type="dxa"/>
            <w:bottom w:w="0" w:type="dxa"/>
            <w:right w:w="108" w:type="dxa"/>
          </w:tblCellMar>
        </w:tblPrEx>
        <w:trPr>
          <w:jc w:val="center"/>
        </w:trPr>
        <w:tc>
          <w:tcPr>
            <w:tcW w:w="4706" w:type="dxa"/>
            <w:tcBorders>
              <w:top w:val="single" w:color="1F1F1F" w:sz="10" w:space="0"/>
              <w:bottom w:val="single" w:color="1F1F1F" w:sz="10" w:space="0"/>
              <w:right w:val="nil"/>
            </w:tcBorders>
            <w:vAlign w:val="top"/>
          </w:tcPr>
          <w:p w14:paraId="1128F16B">
            <w:pPr>
              <w:spacing w:after="40" w:line="365" w:lineRule="auto"/>
              <w:rPr>
                <w:sz w:val="24"/>
                <w:szCs w:val="24"/>
              </w:rPr>
            </w:pPr>
            <w:r>
              <w:rPr>
                <w:rFonts w:hint="eastAsia" w:eastAsia="宋体"/>
                <w:b/>
                <w:sz w:val="24"/>
                <w:szCs w:val="24"/>
                <w:lang w:eastAsia="zh-CN"/>
              </w:rPr>
              <w:t>（</w:t>
            </w:r>
            <w:r>
              <w:rPr>
                <w:rFonts w:hint="eastAsia" w:eastAsia="宋体"/>
                <w:b/>
                <w:sz w:val="24"/>
                <w:szCs w:val="24"/>
                <w:lang w:val="en-US" w:eastAsia="zh-CN"/>
              </w:rPr>
              <w:t>客户姓名</w:t>
            </w:r>
            <w:r>
              <w:rPr>
                <w:rFonts w:hint="eastAsia" w:eastAsia="宋体"/>
                <w:b/>
                <w:sz w:val="24"/>
                <w:szCs w:val="24"/>
                <w:lang w:eastAsia="zh-CN"/>
              </w:rPr>
              <w:t>）</w:t>
            </w:r>
            <w:r>
              <w:rPr>
                <w:rFonts w:ascii="Times New Roman" w:hAnsi="Times New Roman" w:eastAsia="Times New Roman"/>
                <w:i/>
                <w:sz w:val="24"/>
                <w:szCs w:val="24"/>
              </w:rPr>
              <w:t xml:space="preserve">, </w:t>
            </w:r>
            <w:r>
              <w:rPr>
                <w:rFonts w:ascii="Times New Roman" w:hAnsi="Times New Roman" w:eastAsia="Times New Roman"/>
                <w:b w:val="0"/>
                <w:bCs w:val="0"/>
                <w:i/>
                <w:sz w:val="24"/>
                <w:szCs w:val="24"/>
              </w:rPr>
              <w:t>Plaintiff,</w:t>
            </w:r>
          </w:p>
          <w:p w14:paraId="3BAECEB1">
            <w:pPr>
              <w:spacing w:after="120" w:line="365" w:lineRule="auto"/>
              <w:rPr>
                <w:sz w:val="24"/>
                <w:szCs w:val="24"/>
              </w:rPr>
            </w:pPr>
            <w:r>
              <w:rPr>
                <w:rFonts w:ascii="Times New Roman" w:hAnsi="Times New Roman" w:eastAsia="Times New Roman"/>
                <w:b/>
                <w:i w:val="0"/>
                <w:sz w:val="24"/>
                <w:szCs w:val="24"/>
              </w:rPr>
              <w:t>v.</w:t>
            </w:r>
          </w:p>
          <w:p w14:paraId="2CFBF320">
            <w:pPr>
              <w:spacing w:after="40" w:line="365" w:lineRule="auto"/>
              <w:rPr>
                <w:sz w:val="24"/>
                <w:szCs w:val="24"/>
              </w:rPr>
            </w:pPr>
            <w:r>
              <w:rPr>
                <w:rFonts w:hint="eastAsia" w:eastAsia="宋体"/>
                <w:b/>
                <w:sz w:val="24"/>
                <w:szCs w:val="24"/>
                <w:lang w:val="en-US" w:eastAsia="zh-CN"/>
              </w:rPr>
              <w:t>WISE TRANSFER</w:t>
            </w:r>
            <w:r>
              <w:rPr>
                <w:rFonts w:ascii="Times New Roman" w:hAnsi="Times New Roman" w:eastAsia="Times New Roman"/>
                <w:i/>
                <w:sz w:val="24"/>
                <w:szCs w:val="24"/>
              </w:rPr>
              <w:t>, Defendant,</w:t>
            </w:r>
          </w:p>
          <w:p w14:paraId="08EE454B">
            <w:pPr>
              <w:spacing w:after="120" w:line="365" w:lineRule="auto"/>
              <w:rPr>
                <w:sz w:val="24"/>
                <w:szCs w:val="24"/>
              </w:rPr>
            </w:pPr>
            <w:r>
              <w:rPr>
                <w:rFonts w:ascii="Times New Roman" w:hAnsi="Times New Roman" w:eastAsia="Times New Roman"/>
                <w:b w:val="0"/>
                <w:i w:val="0"/>
                <w:sz w:val="24"/>
                <w:szCs w:val="24"/>
              </w:rPr>
              <w:t>and</w:t>
            </w:r>
          </w:p>
          <w:p w14:paraId="0010BBCC">
            <w:pPr>
              <w:spacing w:after="40" w:line="365" w:lineRule="auto"/>
              <w:rPr>
                <w:sz w:val="24"/>
                <w:szCs w:val="24"/>
              </w:rPr>
            </w:pPr>
            <w:r>
              <w:rPr>
                <w:rFonts w:hint="eastAsia" w:ascii="Times New Roman" w:hAnsi="Times New Roman" w:eastAsia="Times New Roman"/>
                <w:b/>
                <w:sz w:val="24"/>
                <w:szCs w:val="24"/>
              </w:rPr>
              <w:t>WISE PAYMENTS LIMITEDR</w:t>
            </w:r>
            <w:r>
              <w:rPr>
                <w:rFonts w:ascii="Times New Roman" w:hAnsi="Times New Roman" w:eastAsia="Times New Roman"/>
                <w:i/>
                <w:sz w:val="24"/>
                <w:szCs w:val="24"/>
              </w:rPr>
              <w:t xml:space="preserve"> (</w:t>
            </w:r>
            <w:r>
              <w:rPr>
                <w:rFonts w:hint="eastAsia" w:ascii="Times New Roman" w:hAnsi="Times New Roman" w:eastAsia="Times New Roman"/>
                <w:i/>
                <w:sz w:val="24"/>
                <w:szCs w:val="24"/>
              </w:rPr>
              <w:t>as regulator of WISE TRANSFER</w:t>
            </w:r>
            <w:r>
              <w:rPr>
                <w:rFonts w:ascii="Times New Roman" w:hAnsi="Times New Roman" w:eastAsia="Times New Roman"/>
                <w:i/>
                <w:sz w:val="24"/>
                <w:szCs w:val="24"/>
              </w:rPr>
              <w:t>),</w:t>
            </w:r>
          </w:p>
        </w:tc>
        <w:tc>
          <w:tcPr>
            <w:tcW w:w="4706" w:type="dxa"/>
            <w:tcBorders>
              <w:top w:val="single" w:color="1F1F1F" w:sz="10" w:space="0"/>
              <w:left w:val="nil"/>
              <w:bottom w:val="single" w:color="1F1F1F" w:sz="10" w:space="0"/>
            </w:tcBorders>
            <w:vAlign w:val="top"/>
          </w:tcPr>
          <w:tbl>
            <w:tblPr>
              <w:tblStyle w:val="32"/>
              <w:tblW w:w="0" w:type="auto"/>
              <w:jc w:val="center"/>
              <w:tblLayout w:type="fixed"/>
              <w:tblCellMar>
                <w:top w:w="0" w:type="dxa"/>
                <w:left w:w="108" w:type="dxa"/>
                <w:bottom w:w="0" w:type="dxa"/>
                <w:right w:w="108" w:type="dxa"/>
              </w:tblCellMar>
            </w:tblPr>
            <w:tblGrid>
              <w:gridCol w:w="3175"/>
            </w:tblGrid>
            <w:tr w14:paraId="24684AB8">
              <w:tblPrEx>
                <w:tblCellMar>
                  <w:top w:w="0" w:type="dxa"/>
                  <w:left w:w="108" w:type="dxa"/>
                  <w:bottom w:w="0" w:type="dxa"/>
                  <w:right w:w="108" w:type="dxa"/>
                </w:tblCellMar>
              </w:tblPrEx>
              <w:trPr>
                <w:jc w:val="center"/>
              </w:trPr>
              <w:tc>
                <w:tcPr>
                  <w:tcW w:w="3175" w:type="dxa"/>
                  <w:tcBorders>
                    <w:top w:val="single" w:color="1F1F1F" w:sz="8" w:space="0"/>
                    <w:left w:val="single" w:color="1F1F1F" w:sz="8" w:space="0"/>
                    <w:right w:val="single" w:color="1F1F1F" w:sz="8" w:space="0"/>
                  </w:tcBorders>
                  <w:vAlign w:val="center"/>
                </w:tcPr>
                <w:p w14:paraId="35601342">
                  <w:pPr>
                    <w:spacing w:after="40"/>
                    <w:jc w:val="left"/>
                    <w:rPr>
                      <w:sz w:val="24"/>
                      <w:szCs w:val="24"/>
                    </w:rPr>
                  </w:pPr>
                  <w:r>
                    <w:rPr>
                      <w:b/>
                      <w:sz w:val="24"/>
                      <w:szCs w:val="24"/>
                    </w:rPr>
                    <w:t>CIVIL ACTION NO.</w:t>
                  </w:r>
                </w:p>
              </w:tc>
            </w:tr>
            <w:tr w14:paraId="64FDA354">
              <w:tblPrEx>
                <w:tblCellMar>
                  <w:top w:w="0" w:type="dxa"/>
                  <w:left w:w="108" w:type="dxa"/>
                  <w:bottom w:w="0" w:type="dxa"/>
                  <w:right w:w="108" w:type="dxa"/>
                </w:tblCellMar>
              </w:tblPrEx>
              <w:trPr>
                <w:jc w:val="center"/>
              </w:trPr>
              <w:tc>
                <w:tcPr>
                  <w:tcW w:w="3175" w:type="dxa"/>
                  <w:tcBorders>
                    <w:left w:val="single" w:color="1F1F1F" w:sz="8" w:space="0"/>
                    <w:right w:val="single" w:color="1F1F1F" w:sz="8" w:space="0"/>
                  </w:tcBorders>
                  <w:vAlign w:val="center"/>
                </w:tcPr>
                <w:p w14:paraId="1A86E5F3">
                  <w:pPr>
                    <w:spacing w:after="40"/>
                    <w:jc w:val="left"/>
                    <w:rPr>
                      <w:sz w:val="24"/>
                      <w:szCs w:val="24"/>
                    </w:rPr>
                  </w:pPr>
                  <w:r>
                    <w:rPr>
                      <w:rFonts w:hint="eastAsia" w:eastAsia="宋体"/>
                      <w:b/>
                      <w:sz w:val="24"/>
                      <w:szCs w:val="24"/>
                      <w:lang w:val="en-US" w:eastAsia="zh-CN"/>
                    </w:rPr>
                    <w:t>WC-2026-FX7717</w:t>
                  </w:r>
                </w:p>
              </w:tc>
            </w:tr>
            <w:tr w14:paraId="0A3E4668">
              <w:tblPrEx>
                <w:tblCellMar>
                  <w:top w:w="0" w:type="dxa"/>
                  <w:left w:w="108" w:type="dxa"/>
                  <w:bottom w:w="0" w:type="dxa"/>
                  <w:right w:w="108" w:type="dxa"/>
                </w:tblCellMar>
              </w:tblPrEx>
              <w:trPr>
                <w:jc w:val="center"/>
              </w:trPr>
              <w:tc>
                <w:tcPr>
                  <w:tcW w:w="3175" w:type="dxa"/>
                  <w:tcBorders>
                    <w:left w:val="single" w:color="1F1F1F" w:sz="8" w:space="0"/>
                    <w:bottom w:val="single" w:color="1F1F1F" w:sz="8" w:space="0"/>
                    <w:right w:val="single" w:color="1F1F1F" w:sz="8" w:space="0"/>
                  </w:tcBorders>
                  <w:vAlign w:val="center"/>
                </w:tcPr>
                <w:p w14:paraId="06418D2F">
                  <w:pPr>
                    <w:jc w:val="left"/>
                    <w:rPr>
                      <w:rFonts w:hint="eastAsia"/>
                      <w:sz w:val="24"/>
                      <w:szCs w:val="24"/>
                    </w:rPr>
                  </w:pPr>
                  <w:r>
                    <w:rPr>
                      <w:rFonts w:hint="eastAsia"/>
                      <w:sz w:val="24"/>
                      <w:szCs w:val="24"/>
                    </w:rPr>
                    <w:t>EMERGENCY RELIEF</w:t>
                  </w:r>
                </w:p>
                <w:p w14:paraId="161199E1">
                  <w:pPr>
                    <w:jc w:val="left"/>
                    <w:rPr>
                      <w:sz w:val="24"/>
                      <w:szCs w:val="24"/>
                    </w:rPr>
                  </w:pPr>
                  <w:r>
                    <w:rPr>
                      <w:rFonts w:hint="eastAsia"/>
                      <w:sz w:val="24"/>
                      <w:szCs w:val="24"/>
                    </w:rPr>
                    <w:t>TRANSNATIONAL ASSET FREEZE / RESTITUTION</w:t>
                  </w:r>
                </w:p>
              </w:tc>
            </w:tr>
          </w:tbl>
          <w:p w14:paraId="03156CB8">
            <w:pPr>
              <w:rPr>
                <w:sz w:val="24"/>
                <w:szCs w:val="24"/>
              </w:rPr>
            </w:pPr>
          </w:p>
        </w:tc>
      </w:tr>
    </w:tbl>
    <w:p w14:paraId="5FA018A2">
      <w:pPr>
        <w:spacing w:after="120"/>
      </w:pPr>
    </w:p>
    <w:p w14:paraId="49EACA7A">
      <w:pPr>
        <w:spacing w:after="300" w:line="341" w:lineRule="auto"/>
        <w:jc w:val="center"/>
      </w:pPr>
      <w:r>
        <w:rPr>
          <w:rFonts w:hint="eastAsia" w:ascii="Times New Roman" w:hAnsi="Times New Roman" w:eastAsia="Times New Roman"/>
          <w:b/>
          <w:sz w:val="24"/>
        </w:rPr>
        <w:t>EMERGENCY ORDER GRANTING PLAINTIFF'S MOTION FOR TEMPORARY RESTRAINING ORDER, ASSET FREEZE, EMERGENCY FREEZE OF ACCOUNTS, AND TRANSNATIONAL REPATRIATION / RESTITUTION OF FUNDS</w:t>
      </w:r>
    </w:p>
    <w:p w14:paraId="4D1FB881">
      <w:pPr>
        <w:spacing w:after="220" w:line="379" w:lineRule="auto"/>
        <w:jc w:val="both"/>
        <w:rPr>
          <w:sz w:val="24"/>
          <w:szCs w:val="24"/>
        </w:rPr>
      </w:pPr>
      <w:r>
        <w:rPr>
          <w:rFonts w:hint="eastAsia" w:ascii="Times New Roman" w:hAnsi="Times New Roman" w:eastAsia="Times New Roman"/>
          <w:sz w:val="24"/>
          <w:szCs w:val="24"/>
        </w:rPr>
        <w:t>Upon consideration of the Plaintiff's Complaint, Emergency Motion for Temporary Restraining Order and Asset Freeze, the Declaration of Daniel Okafor, Esq. (Bar No. 3806612) of Whitfield &amp; Crane LLP, the supporting investigation report and exhibits provided by Plaintiff's counsel, and all other papers and proceedings herein, and for good cause shown, the Court hereby finds and ORDERS as follows</w:t>
      </w:r>
      <w:r>
        <w:rPr>
          <w:rFonts w:ascii="Times New Roman" w:hAnsi="Times New Roman" w:eastAsia="Times New Roman"/>
          <w:sz w:val="24"/>
          <w:szCs w:val="24"/>
        </w:rPr>
        <w:t>:</w:t>
      </w:r>
    </w:p>
    <w:p w14:paraId="20C3479B">
      <w:pPr>
        <w:numPr>
          <w:ilvl w:val="0"/>
          <w:numId w:val="7"/>
        </w:numPr>
        <w:spacing w:after="140" w:line="348" w:lineRule="auto"/>
        <w:jc w:val="left"/>
        <w:rPr>
          <w:sz w:val="24"/>
          <w:szCs w:val="24"/>
        </w:rPr>
      </w:pPr>
      <w:r>
        <w:rPr>
          <w:rFonts w:hint="eastAsia" w:ascii="Times New Roman" w:hAnsi="Times New Roman" w:eastAsia="Times New Roman"/>
          <w:b/>
          <w:sz w:val="24"/>
          <w:szCs w:val="24"/>
        </w:rPr>
        <w:t>Findings of Fact and Conclusions of Law</w:t>
      </w:r>
      <w:r>
        <w:rPr>
          <w:rFonts w:ascii="Times New Roman" w:hAnsi="Times New Roman" w:eastAsia="Times New Roman"/>
          <w:b/>
          <w:sz w:val="24"/>
          <w:szCs w:val="24"/>
        </w:rPr>
        <w:t>.</w:t>
      </w:r>
    </w:p>
    <w:p w14:paraId="6FAC1BDE">
      <w:pPr>
        <w:spacing w:after="220" w:line="379" w:lineRule="auto"/>
        <w:jc w:val="both"/>
        <w:rPr>
          <w:sz w:val="24"/>
          <w:szCs w:val="24"/>
        </w:rPr>
      </w:pPr>
      <w:r>
        <w:rPr>
          <w:rFonts w:hint="eastAsia" w:ascii="Times New Roman" w:hAnsi="Times New Roman" w:eastAsia="Times New Roman"/>
          <w:sz w:val="24"/>
          <w:szCs w:val="24"/>
        </w:rPr>
        <w:t>The Court finds that Plaintiff 客户姓名 has demonstrated a substantial likelihood of success on the merits of his claims for financial fraud, wire fraud, and unjust enrichment arising from the underlying transnational fraudulent scheme. According to the investigation conducted by Daniel Okafor, Esq. of Whitfield &amp; Crane LLP on behalf of Plaintiff and similarly situated victims, Defendant participated in the fraudsters' money laundering operations by providing financial storage and depository facilities. Specifically, the accounts used by the fraudsters to conceal the illicit funds were registered and maintained at WISE TRANSFER, which operates under Defendant's regulatory oversight.</w:t>
      </w:r>
    </w:p>
    <w:p w14:paraId="5500AF65">
      <w:pPr>
        <w:spacing w:after="220" w:line="379" w:lineRule="auto"/>
        <w:jc w:val="both"/>
        <w:rPr>
          <w:rFonts w:hint="eastAsia" w:ascii="Times New Roman" w:hAnsi="Times New Roman" w:eastAsia="Times New Roman"/>
          <w:sz w:val="24"/>
          <w:szCs w:val="24"/>
        </w:rPr>
      </w:pPr>
      <w:r>
        <w:rPr>
          <w:rFonts w:hint="eastAsia" w:ascii="Times New Roman" w:hAnsi="Times New Roman" w:eastAsia="Times New Roman"/>
          <w:sz w:val="24"/>
          <w:szCs w:val="24"/>
        </w:rPr>
        <w:t xml:space="preserve">The investigation further reveals that the misappropriated funds underwent a highly complex laundering process involving 167 anomalous transfers across international borders. The funds were ultimately transferred by the perpetrators to a UK-based platform and are currently held by </w:t>
      </w:r>
    </w:p>
    <w:p w14:paraId="4647039E">
      <w:pPr>
        <w:spacing w:after="220" w:line="379" w:lineRule="auto"/>
        <w:jc w:val="both"/>
        <w:rPr>
          <w:rFonts w:hint="eastAsia" w:ascii="Times New Roman" w:hAnsi="Times New Roman" w:eastAsia="Times New Roman"/>
          <w:sz w:val="24"/>
          <w:szCs w:val="24"/>
        </w:rPr>
      </w:pPr>
      <w:r>
        <w:rPr>
          <w:rFonts w:hint="eastAsia" w:eastAsia="宋体"/>
          <w:sz w:val="24"/>
          <w:szCs w:val="24"/>
          <w:lang w:eastAsia="zh-CN"/>
        </w:rPr>
        <w:drawing>
          <wp:anchor distT="0" distB="0" distL="114300" distR="114300" simplePos="0" relativeHeight="251662336" behindDoc="1" locked="0" layoutInCell="1" allowOverlap="1">
            <wp:simplePos x="0" y="0"/>
            <wp:positionH relativeFrom="column">
              <wp:posOffset>4424680</wp:posOffset>
            </wp:positionH>
            <wp:positionV relativeFrom="paragraph">
              <wp:posOffset>-1837055</wp:posOffset>
            </wp:positionV>
            <wp:extent cx="1963420" cy="1963420"/>
            <wp:effectExtent l="0" t="0" r="17780" b="17780"/>
            <wp:wrapNone/>
            <wp:docPr id="5" name="图片 5"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p>
    <w:p w14:paraId="39D28708">
      <w:pPr>
        <w:spacing w:after="220" w:line="379" w:lineRule="auto"/>
        <w:jc w:val="center"/>
        <w:rPr>
          <w:rFonts w:hint="eastAsia" w:ascii="Times New Roman" w:hAnsi="Times New Roman" w:eastAsia="Times New Roman"/>
          <w:sz w:val="24"/>
          <w:szCs w:val="24"/>
        </w:rPr>
      </w:pPr>
      <w:r>
        <w:rPr>
          <w:rFonts w:hint="eastAsia" w:ascii="Times New Roman" w:hAnsi="Times New Roman" w:eastAsia="Times New Roman"/>
          <w:b/>
          <w:bCs/>
          <w:sz w:val="24"/>
          <w:szCs w:val="24"/>
        </w:rPr>
        <w:t>EMERGENCY ORDER - CONTINUED</w:t>
      </w:r>
    </w:p>
    <w:p w14:paraId="5A809483">
      <w:pPr>
        <w:spacing w:after="220" w:line="379" w:lineRule="auto"/>
        <w:jc w:val="both"/>
        <w:rPr>
          <w:rFonts w:ascii="Times New Roman" w:hAnsi="Times New Roman" w:eastAsia="Times New Roman"/>
          <w:sz w:val="24"/>
          <w:szCs w:val="24"/>
        </w:rPr>
      </w:pPr>
      <w:r>
        <w:rPr>
          <w:rFonts w:hint="eastAsia" w:ascii="Times New Roman" w:hAnsi="Times New Roman" w:eastAsia="Times New Roman"/>
          <w:sz w:val="24"/>
          <w:szCs w:val="24"/>
        </w:rPr>
        <w:t>Defendant Wise Payments Limited in London, United Kingdom. Specifically, Plaintiff 客户姓名 suffered a direct loss of $客户损失的本金 (United States Dollars)</w:t>
      </w:r>
      <w:r>
        <w:rPr>
          <w:rFonts w:ascii="Times New Roman" w:hAnsi="Times New Roman" w:eastAsia="Times New Roman"/>
          <w:sz w:val="24"/>
          <w:szCs w:val="24"/>
        </w:rPr>
        <w:t>.</w:t>
      </w:r>
    </w:p>
    <w:p w14:paraId="39FA120B">
      <w:pPr>
        <w:spacing w:after="220" w:line="379" w:lineRule="auto"/>
        <w:jc w:val="both"/>
        <w:rPr>
          <w:sz w:val="24"/>
          <w:szCs w:val="24"/>
        </w:rPr>
      </w:pPr>
      <w:r>
        <w:rPr>
          <w:rFonts w:hint="eastAsia"/>
          <w:sz w:val="24"/>
          <w:szCs w:val="24"/>
        </w:rPr>
        <w:t>Immediate and irreparable harm will result to Plaintiff and the class of victims in the absence of this relief, as the suspects are highly likely to dissipate the illicit funds currently held in this account. The balance of equities tips decidedly in favor of the Plaintiff and the public interest, and the issuance of this Emergency Order is necessary to preserve assets and prevent further dissipation across jurisdictions</w:t>
      </w:r>
      <w:r>
        <w:rPr>
          <w:rFonts w:hint="eastAsia" w:eastAsia="宋体"/>
          <w:sz w:val="24"/>
          <w:szCs w:val="24"/>
          <w:lang w:val="en-US" w:eastAsia="zh-CN"/>
        </w:rPr>
        <w:t>.</w:t>
      </w:r>
    </w:p>
    <w:p w14:paraId="48D72614">
      <w:pPr>
        <w:spacing w:after="140" w:line="348" w:lineRule="auto"/>
        <w:jc w:val="left"/>
        <w:rPr>
          <w:sz w:val="24"/>
          <w:szCs w:val="24"/>
        </w:rPr>
      </w:pPr>
      <w:r>
        <w:rPr>
          <w:rFonts w:ascii="Times New Roman" w:hAnsi="Times New Roman" w:eastAsia="Times New Roman"/>
          <w:b/>
          <w:sz w:val="24"/>
          <w:szCs w:val="24"/>
        </w:rPr>
        <w:t xml:space="preserve">2. </w:t>
      </w:r>
      <w:r>
        <w:rPr>
          <w:rFonts w:hint="eastAsia" w:ascii="Times New Roman" w:hAnsi="Times New Roman" w:eastAsia="Times New Roman"/>
          <w:b/>
          <w:sz w:val="24"/>
          <w:szCs w:val="24"/>
        </w:rPr>
        <w:t>Emergency Freeze of Assets</w:t>
      </w:r>
      <w:r>
        <w:rPr>
          <w:rFonts w:ascii="Times New Roman" w:hAnsi="Times New Roman" w:eastAsia="Times New Roman"/>
          <w:b/>
          <w:sz w:val="24"/>
          <w:szCs w:val="24"/>
        </w:rPr>
        <w:t>.</w:t>
      </w:r>
    </w:p>
    <w:p w14:paraId="0EDFD526">
      <w:pPr>
        <w:spacing w:after="220" w:line="379" w:lineRule="auto"/>
        <w:jc w:val="both"/>
        <w:rPr>
          <w:rFonts w:hint="eastAsia" w:ascii="Times New Roman" w:hAnsi="Times New Roman" w:eastAsia="Times New Roman"/>
          <w:sz w:val="24"/>
          <w:szCs w:val="24"/>
        </w:rPr>
      </w:pPr>
      <w:r>
        <w:rPr>
          <w:rFonts w:hint="eastAsia" w:ascii="Times New Roman" w:hAnsi="Times New Roman" w:eastAsia="Times New Roman"/>
          <w:sz w:val="24"/>
          <w:szCs w:val="24"/>
        </w:rPr>
        <w:t>Defendant Wise Payments Limited is hereby DIRECTED AND ORDERED to immediately implement an EMERGENCY FREEZE on all funds associated with the following account:</w:t>
      </w:r>
    </w:p>
    <w:p w14:paraId="6BA6DAC3">
      <w:pPr>
        <w:spacing w:after="220" w:line="379" w:lineRule="auto"/>
        <w:jc w:val="both"/>
        <w:rPr>
          <w:rFonts w:hint="eastAsia" w:ascii="Times New Roman" w:hAnsi="Times New Roman" w:eastAsia="Times New Roman"/>
          <w:sz w:val="24"/>
          <w:szCs w:val="24"/>
        </w:rPr>
      </w:pPr>
      <w:r>
        <w:rPr>
          <w:rFonts w:hint="eastAsia" w:ascii="Times New Roman" w:hAnsi="Times New Roman" w:eastAsia="Times New Roman"/>
          <w:sz w:val="24"/>
          <w:szCs w:val="24"/>
        </w:rPr>
        <w:t>Institution: Wise Payments Limited</w:t>
      </w:r>
    </w:p>
    <w:p w14:paraId="26D1EBF6">
      <w:pPr>
        <w:spacing w:after="220" w:line="379" w:lineRule="auto"/>
        <w:jc w:val="both"/>
        <w:rPr>
          <w:rFonts w:hint="eastAsia" w:ascii="Times New Roman" w:hAnsi="Times New Roman" w:eastAsia="Times New Roman"/>
          <w:sz w:val="24"/>
          <w:szCs w:val="24"/>
        </w:rPr>
      </w:pPr>
      <w:r>
        <w:rPr>
          <w:rFonts w:hint="eastAsia" w:ascii="Times New Roman" w:hAnsi="Times New Roman" w:eastAsia="Times New Roman"/>
          <w:sz w:val="24"/>
          <w:szCs w:val="24"/>
        </w:rPr>
        <w:t>Account Name: Toby A Blackburn</w:t>
      </w:r>
    </w:p>
    <w:p w14:paraId="1B657EF9">
      <w:pPr>
        <w:spacing w:after="220" w:line="379" w:lineRule="auto"/>
        <w:jc w:val="both"/>
        <w:rPr>
          <w:rFonts w:hint="eastAsia" w:ascii="Times New Roman" w:hAnsi="Times New Roman" w:eastAsia="Times New Roman"/>
          <w:sz w:val="24"/>
          <w:szCs w:val="24"/>
        </w:rPr>
      </w:pPr>
      <w:r>
        <w:rPr>
          <w:rFonts w:hint="eastAsia" w:ascii="Times New Roman" w:hAnsi="Times New Roman" w:eastAsia="Times New Roman"/>
          <w:sz w:val="24"/>
          <w:szCs w:val="24"/>
        </w:rPr>
        <w:t>Card Info: Ending in #8842</w:t>
      </w:r>
    </w:p>
    <w:p w14:paraId="024B4C08">
      <w:pPr>
        <w:spacing w:after="220" w:line="379" w:lineRule="auto"/>
        <w:jc w:val="both"/>
        <w:rPr>
          <w:rFonts w:hint="eastAsia" w:ascii="Times New Roman" w:hAnsi="Times New Roman" w:eastAsia="宋体"/>
          <w:sz w:val="24"/>
          <w:szCs w:val="24"/>
          <w:lang w:val="en-US" w:eastAsia="zh-CN"/>
        </w:rPr>
      </w:pPr>
      <w:r>
        <w:rPr>
          <w:rFonts w:hint="eastAsia" w:ascii="Times New Roman" w:hAnsi="Times New Roman" w:eastAsia="Times New Roman"/>
          <w:sz w:val="24"/>
          <w:szCs w:val="24"/>
        </w:rPr>
        <w:t>Wise Payments Limited, its officers, agents, employees, and any person or entity acting in concert with them, are PROHIBITED from transferring, withdrawing, converting, encumbering, or otherwise disposing of any funds in the frozen account without express written authorization from this Court. This freeze shall remain in full force and effect pending further order of the Court or final judgment</w:t>
      </w:r>
      <w:r>
        <w:rPr>
          <w:rFonts w:hint="eastAsia" w:eastAsia="宋体"/>
          <w:sz w:val="24"/>
          <w:szCs w:val="24"/>
          <w:lang w:val="en-US" w:eastAsia="zh-CN"/>
        </w:rPr>
        <w:t>.</w:t>
      </w:r>
    </w:p>
    <w:p w14:paraId="41BDA59E">
      <w:pPr>
        <w:spacing w:after="140" w:line="348" w:lineRule="auto"/>
        <w:jc w:val="left"/>
        <w:rPr>
          <w:sz w:val="24"/>
          <w:szCs w:val="24"/>
        </w:rPr>
      </w:pPr>
      <w:r>
        <w:rPr>
          <w:rFonts w:ascii="Times New Roman" w:hAnsi="Times New Roman" w:eastAsia="Times New Roman"/>
          <w:b/>
          <w:sz w:val="24"/>
          <w:szCs w:val="24"/>
        </w:rPr>
        <w:t xml:space="preserve">3. </w:t>
      </w:r>
      <w:r>
        <w:rPr>
          <w:rFonts w:hint="eastAsia" w:ascii="Times New Roman" w:hAnsi="Times New Roman" w:eastAsia="Times New Roman"/>
          <w:b/>
          <w:sz w:val="24"/>
          <w:szCs w:val="24"/>
        </w:rPr>
        <w:t>Transnational Repatriation and Restitution of Funds</w:t>
      </w:r>
      <w:r>
        <w:rPr>
          <w:rFonts w:ascii="Times New Roman" w:hAnsi="Times New Roman" w:eastAsia="Times New Roman"/>
          <w:b/>
          <w:sz w:val="24"/>
          <w:szCs w:val="24"/>
        </w:rPr>
        <w:t>.</w:t>
      </w:r>
    </w:p>
    <w:p w14:paraId="65257670">
      <w:pPr>
        <w:spacing w:after="220" w:line="379" w:lineRule="auto"/>
        <w:jc w:val="both"/>
        <w:rPr>
          <w:sz w:val="24"/>
          <w:szCs w:val="24"/>
        </w:rPr>
      </w:pPr>
      <w:r>
        <w:rPr>
          <w:rFonts w:hint="eastAsia" w:ascii="Times New Roman" w:hAnsi="Times New Roman" w:eastAsia="Times New Roman"/>
          <w:sz w:val="24"/>
          <w:szCs w:val="24"/>
        </w:rPr>
        <w:t>Pursuant to international cooperation and the Mutual Legal Assistance (MLAT) framework, Defendant Wise Payments Limited is hereby ORDERED to immediately execute the repatriation and restitution of the frozen balance. Wise Payments Limited shall</w:t>
      </w:r>
      <w:r>
        <w:rPr>
          <w:rFonts w:ascii="Times New Roman" w:hAnsi="Times New Roman" w:eastAsia="Times New Roman"/>
          <w:sz w:val="24"/>
          <w:szCs w:val="24"/>
        </w:rPr>
        <w:t>:</w:t>
      </w:r>
    </w:p>
    <w:p w14:paraId="383C2146">
      <w:pPr>
        <w:spacing w:after="140" w:line="372" w:lineRule="auto"/>
        <w:ind w:left="173" w:firstLine="0"/>
        <w:jc w:val="both"/>
        <w:rPr>
          <w:sz w:val="24"/>
          <w:szCs w:val="24"/>
        </w:rPr>
      </w:pPr>
      <w:r>
        <w:rPr>
          <w:rFonts w:ascii="Times New Roman" w:hAnsi="Times New Roman" w:eastAsia="Times New Roman"/>
          <w:sz w:val="24"/>
          <w:szCs w:val="24"/>
        </w:rPr>
        <w:t xml:space="preserve">1. </w:t>
      </w:r>
      <w:r>
        <w:rPr>
          <w:rFonts w:hint="eastAsia" w:ascii="Times New Roman" w:hAnsi="Times New Roman" w:eastAsia="Times New Roman"/>
          <w:sz w:val="24"/>
          <w:szCs w:val="24"/>
        </w:rPr>
        <w:t>Reasonably allocate the returned funds on a pro-rata basis among all identified victims based on their verified USD loss amounts submitted by Whitfield &amp; Crane LLP</w:t>
      </w:r>
      <w:r>
        <w:rPr>
          <w:rFonts w:ascii="Times New Roman" w:hAnsi="Times New Roman" w:eastAsia="Times New Roman"/>
          <w:sz w:val="24"/>
          <w:szCs w:val="24"/>
        </w:rPr>
        <w:t>.</w:t>
      </w:r>
    </w:p>
    <w:p w14:paraId="4160F924">
      <w:pPr>
        <w:spacing w:after="140" w:line="372" w:lineRule="auto"/>
        <w:ind w:left="173" w:firstLine="0"/>
        <w:jc w:val="both"/>
        <w:rPr>
          <w:rFonts w:hint="eastAsia" w:ascii="Times New Roman" w:hAnsi="Times New Roman" w:eastAsia="Times New Roman"/>
          <w:sz w:val="24"/>
          <w:szCs w:val="24"/>
        </w:rPr>
      </w:pPr>
      <w:r>
        <w:rPr>
          <w:rFonts w:ascii="Times New Roman" w:hAnsi="Times New Roman" w:eastAsia="Times New Roman"/>
          <w:sz w:val="24"/>
          <w:szCs w:val="24"/>
        </w:rPr>
        <w:t xml:space="preserve">2. </w:t>
      </w:r>
      <w:r>
        <w:rPr>
          <w:rFonts w:hint="eastAsia" w:ascii="Times New Roman" w:hAnsi="Times New Roman" w:eastAsia="Times New Roman"/>
          <w:sz w:val="24"/>
          <w:szCs w:val="24"/>
        </w:rPr>
        <w:t>Return the allocated portions directly to the victims.</w:t>
      </w:r>
    </w:p>
    <w:p w14:paraId="0C91C786">
      <w:pPr>
        <w:spacing w:after="140" w:line="372" w:lineRule="auto"/>
        <w:ind w:left="173" w:firstLine="0"/>
        <w:jc w:val="both"/>
        <w:rPr>
          <w:rFonts w:hint="eastAsia" w:eastAsia="宋体"/>
          <w:sz w:val="24"/>
          <w:szCs w:val="24"/>
          <w:lang w:val="en-US" w:eastAsia="zh-CN"/>
        </w:rPr>
      </w:pPr>
      <w:r>
        <w:rPr>
          <w:rFonts w:hint="eastAsia" w:eastAsia="宋体"/>
          <w:sz w:val="24"/>
          <w:szCs w:val="24"/>
          <w:lang w:val="en-US" w:eastAsia="zh-CN"/>
        </w:rPr>
        <w:t>3.Submit a detailed Allocation Report to this Court within one (1) business days of the</w:t>
      </w:r>
      <w:r>
        <w:rPr>
          <w:rFonts w:hint="eastAsia" w:eastAsia="宋体"/>
          <w:sz w:val="24"/>
          <w:szCs w:val="24"/>
          <w:lang w:eastAsia="zh-CN"/>
        </w:rPr>
        <w:drawing>
          <wp:anchor distT="0" distB="0" distL="114300" distR="114300" simplePos="0" relativeHeight="251663360" behindDoc="1" locked="0" layoutInCell="1" allowOverlap="1">
            <wp:simplePos x="0" y="0"/>
            <wp:positionH relativeFrom="column">
              <wp:posOffset>4424680</wp:posOffset>
            </wp:positionH>
            <wp:positionV relativeFrom="paragraph">
              <wp:posOffset>-1466850</wp:posOffset>
            </wp:positionV>
            <wp:extent cx="1963420" cy="1963420"/>
            <wp:effectExtent l="0" t="0" r="17780" b="17780"/>
            <wp:wrapNone/>
            <wp:docPr id="1" name="图片 1"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r>
        <w:rPr>
          <w:rFonts w:hint="eastAsia" w:eastAsia="宋体"/>
          <w:sz w:val="24"/>
          <w:szCs w:val="24"/>
          <w:lang w:val="en-US" w:eastAsia="zh-CN"/>
        </w:rPr>
        <w:t xml:space="preserve"> freeze for judicial confirmation and approval of the distribution plan.</w:t>
      </w:r>
    </w:p>
    <w:p w14:paraId="44DE4BE8">
      <w:pPr>
        <w:spacing w:after="140" w:line="372" w:lineRule="auto"/>
        <w:ind w:left="173" w:firstLine="0"/>
        <w:jc w:val="center"/>
        <w:rPr>
          <w:rFonts w:hint="eastAsia" w:eastAsia="宋体"/>
          <w:sz w:val="24"/>
          <w:szCs w:val="24"/>
          <w:lang w:val="en-US" w:eastAsia="zh-CN"/>
        </w:rPr>
      </w:pPr>
      <w:r>
        <w:rPr>
          <w:rFonts w:hint="eastAsia" w:eastAsia="宋体"/>
          <w:b/>
          <w:bCs/>
          <w:sz w:val="24"/>
          <w:szCs w:val="24"/>
          <w:lang w:val="en-US" w:eastAsia="zh-CN"/>
        </w:rPr>
        <w:t>EMERGENCY ORDER - CONTINUED</w:t>
      </w:r>
    </w:p>
    <w:p w14:paraId="52AA00F9">
      <w:pPr>
        <w:spacing w:after="140" w:line="372" w:lineRule="auto"/>
        <w:ind w:left="173" w:firstLine="0"/>
        <w:jc w:val="both"/>
        <w:rPr>
          <w:rFonts w:hint="eastAsia" w:eastAsia="宋体"/>
          <w:sz w:val="24"/>
          <w:szCs w:val="24"/>
          <w:lang w:val="en-US" w:eastAsia="zh-CN"/>
        </w:rPr>
      </w:pPr>
      <w:r>
        <w:rPr>
          <w:rFonts w:hint="default" w:eastAsia="宋体"/>
          <w:sz w:val="24"/>
          <w:szCs w:val="24"/>
          <w:lang w:val="en-US" w:eastAsia="zh-CN"/>
        </w:rPr>
        <w:t>The restitution to Plaintiff 客户姓名 shall include at minimum his documented USD loss of $客户损失的本金</w:t>
      </w:r>
      <w:r>
        <w:rPr>
          <w:rFonts w:hint="eastAsia" w:eastAsia="宋体"/>
          <w:sz w:val="24"/>
          <w:szCs w:val="24"/>
          <w:lang w:val="en-US" w:eastAsia="zh-CN"/>
        </w:rPr>
        <w:t>.</w:t>
      </w:r>
    </w:p>
    <w:p w14:paraId="77771D51">
      <w:pPr>
        <w:spacing w:after="140" w:line="372" w:lineRule="auto"/>
        <w:ind w:left="173" w:firstLine="0"/>
        <w:jc w:val="both"/>
        <w:rPr>
          <w:rFonts w:ascii="Times New Roman" w:hAnsi="Times New Roman" w:eastAsia="Times New Roman"/>
          <w:b/>
          <w:sz w:val="24"/>
          <w:szCs w:val="24"/>
        </w:rPr>
      </w:pPr>
      <w:r>
        <w:rPr>
          <w:rFonts w:hint="eastAsia" w:eastAsia="宋体"/>
          <w:sz w:val="24"/>
          <w:szCs w:val="24"/>
          <w:lang w:val="en-US" w:eastAsia="zh-CN"/>
        </w:rPr>
        <w:br w:type="textWrapping"/>
      </w:r>
      <w:r>
        <w:rPr>
          <w:rFonts w:ascii="Times New Roman" w:hAnsi="Times New Roman" w:eastAsia="Times New Roman"/>
          <w:b/>
          <w:sz w:val="24"/>
          <w:szCs w:val="24"/>
        </w:rPr>
        <w:t>4. Accounting and Reporting Requirements.</w:t>
      </w:r>
    </w:p>
    <w:p w14:paraId="12B5C73D">
      <w:pPr>
        <w:spacing w:after="140" w:line="372" w:lineRule="auto"/>
        <w:ind w:left="173" w:firstLine="0"/>
        <w:jc w:val="both"/>
        <w:rPr>
          <w:rFonts w:hint="eastAsia" w:ascii="Times New Roman" w:hAnsi="Times New Roman" w:eastAsia="Times New Roman"/>
          <w:b w:val="0"/>
          <w:bCs/>
          <w:sz w:val="24"/>
          <w:szCs w:val="24"/>
        </w:rPr>
      </w:pPr>
      <w:r>
        <w:rPr>
          <w:rFonts w:hint="eastAsia" w:ascii="Times New Roman" w:hAnsi="Times New Roman" w:eastAsia="Times New Roman"/>
          <w:b w:val="0"/>
          <w:bCs/>
          <w:sz w:val="24"/>
          <w:szCs w:val="24"/>
        </w:rPr>
        <w:t>Within one (1) business days of service of this Order, Wise Payments Limited shall provide Plaintiff's counsel (Daniel Okafor, Esq., Whitfield &amp; Crane LLP) with a full and complete accounting of:</w:t>
      </w:r>
    </w:p>
    <w:p w14:paraId="3AE8E312">
      <w:pPr>
        <w:numPr>
          <w:ilvl w:val="0"/>
          <w:numId w:val="8"/>
        </w:numPr>
        <w:spacing w:after="140" w:line="372" w:lineRule="auto"/>
        <w:ind w:left="173" w:firstLine="0"/>
        <w:jc w:val="both"/>
        <w:rPr>
          <w:rFonts w:hint="default" w:ascii="Times New Roman" w:hAnsi="Times New Roman" w:eastAsia="宋体"/>
          <w:b w:val="0"/>
          <w:bCs/>
          <w:sz w:val="24"/>
          <w:szCs w:val="24"/>
          <w:lang w:val="en-US" w:eastAsia="zh-CN"/>
        </w:rPr>
      </w:pPr>
      <w:r>
        <w:rPr>
          <w:rFonts w:hint="eastAsia" w:eastAsia="宋体"/>
          <w:b w:val="0"/>
          <w:bCs/>
          <w:sz w:val="24"/>
          <w:szCs w:val="24"/>
          <w:lang w:val="en-US" w:eastAsia="zh-CN"/>
        </w:rPr>
        <w:t>The exact balance and transaction history of the frozen account (Toby A Blackburn, #8842) for the past twenty-four (24) months.</w:t>
      </w:r>
    </w:p>
    <w:p w14:paraId="0E55DBC0">
      <w:pPr>
        <w:numPr>
          <w:ilvl w:val="0"/>
          <w:numId w:val="8"/>
        </w:numPr>
        <w:spacing w:after="140" w:line="372" w:lineRule="auto"/>
        <w:ind w:left="173" w:firstLine="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All KYC registration data and IP login records associated with this account</w:t>
      </w:r>
      <w:r>
        <w:rPr>
          <w:rFonts w:hint="eastAsia" w:eastAsia="宋体"/>
          <w:b w:val="0"/>
          <w:bCs/>
          <w:sz w:val="24"/>
          <w:szCs w:val="24"/>
          <w:lang w:val="en-US" w:eastAsia="zh-CN"/>
        </w:rPr>
        <w:t>.</w:t>
      </w:r>
    </w:p>
    <w:p w14:paraId="57753780">
      <w:pPr>
        <w:numPr>
          <w:ilvl w:val="0"/>
          <w:numId w:val="8"/>
        </w:numPr>
        <w:spacing w:after="140" w:line="372" w:lineRule="auto"/>
        <w:ind w:left="173" w:firstLine="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Written confirmation of the implementation of the Emergency Freeze</w:t>
      </w:r>
      <w:r>
        <w:rPr>
          <w:rFonts w:hint="eastAsia" w:eastAsia="宋体"/>
          <w:b w:val="0"/>
          <w:bCs/>
          <w:sz w:val="24"/>
          <w:szCs w:val="24"/>
          <w:lang w:val="en-US" w:eastAsia="zh-CN"/>
        </w:rPr>
        <w:t>.</w:t>
      </w:r>
    </w:p>
    <w:p w14:paraId="10127C97">
      <w:pPr>
        <w:numPr>
          <w:ilvl w:val="0"/>
          <w:numId w:val="0"/>
        </w:numPr>
        <w:spacing w:after="140" w:line="372" w:lineRule="auto"/>
        <w:ind w:left="173" w:leftChars="0"/>
        <w:jc w:val="both"/>
        <w:rPr>
          <w:rFonts w:hint="default" w:ascii="Times New Roman" w:hAnsi="Times New Roman" w:eastAsia="宋体"/>
          <w:b w:val="0"/>
          <w:bCs/>
          <w:sz w:val="24"/>
          <w:szCs w:val="24"/>
          <w:lang w:val="en-US" w:eastAsia="zh-CN"/>
        </w:rPr>
      </w:pPr>
      <w:r>
        <w:rPr>
          <w:rFonts w:hint="default" w:ascii="Times New Roman" w:hAnsi="Times New Roman" w:eastAsia="宋体"/>
          <w:b w:val="0"/>
          <w:bCs/>
          <w:sz w:val="24"/>
          <w:szCs w:val="24"/>
          <w:lang w:val="en-US" w:eastAsia="zh-CN"/>
        </w:rPr>
        <w:t>Failure to comply shall subject Wise Payments Limited to liability for constructive trust, knowing receipt, and facilitating money laundering, along with contempt proceedings</w:t>
      </w:r>
    </w:p>
    <w:p w14:paraId="1F86D10F">
      <w:pPr>
        <w:numPr>
          <w:ilvl w:val="0"/>
          <w:numId w:val="0"/>
        </w:numPr>
        <w:spacing w:after="140" w:line="372" w:lineRule="auto"/>
        <w:ind w:left="173" w:leftChars="0"/>
        <w:jc w:val="both"/>
        <w:rPr>
          <w:rFonts w:hint="eastAsia" w:eastAsia="宋体"/>
          <w:b/>
          <w:bCs w:val="0"/>
          <w:sz w:val="24"/>
          <w:szCs w:val="24"/>
          <w:lang w:val="en-US" w:eastAsia="zh-CN"/>
        </w:rPr>
      </w:pPr>
      <w:r>
        <w:rPr>
          <w:rFonts w:hint="default" w:ascii="Times New Roman" w:hAnsi="Times New Roman" w:eastAsia="宋体"/>
          <w:b/>
          <w:bCs w:val="0"/>
          <w:sz w:val="24"/>
          <w:szCs w:val="24"/>
          <w:lang w:val="en-US" w:eastAsia="zh-CN"/>
        </w:rPr>
        <w:t>5. Service and Immediate Effectiveness</w:t>
      </w:r>
      <w:r>
        <w:rPr>
          <w:rFonts w:hint="eastAsia" w:eastAsia="宋体"/>
          <w:b/>
          <w:bCs w:val="0"/>
          <w:sz w:val="24"/>
          <w:szCs w:val="24"/>
          <w:lang w:val="en-US" w:eastAsia="zh-CN"/>
        </w:rPr>
        <w:t>.</w:t>
      </w:r>
    </w:p>
    <w:p w14:paraId="03C143EC">
      <w:pPr>
        <w:numPr>
          <w:ilvl w:val="0"/>
          <w:numId w:val="0"/>
        </w:numPr>
        <w:spacing w:after="140" w:line="372" w:lineRule="auto"/>
        <w:ind w:left="173" w:leftChars="0"/>
        <w:jc w:val="both"/>
        <w:rPr>
          <w:rFonts w:hint="eastAsia" w:eastAsia="宋体"/>
          <w:b w:val="0"/>
          <w:bCs/>
          <w:sz w:val="24"/>
          <w:szCs w:val="24"/>
          <w:lang w:val="en-US" w:eastAsia="zh-CN"/>
        </w:rPr>
      </w:pPr>
      <w:r>
        <w:rPr>
          <w:rFonts w:hint="default" w:eastAsia="宋体"/>
          <w:b w:val="0"/>
          <w:bCs/>
          <w:sz w:val="24"/>
          <w:szCs w:val="24"/>
          <w:lang w:val="en-US" w:eastAsia="zh-CN"/>
        </w:rPr>
        <w:t>This Order may be served upon Wise Payments Limited and any affiliated financial institutions in the United Kingdom or globally by electronic mail, overnight courier, or personal service to their registered agents or legal/compliance departments. It shall be deemed effective immediately upon receipt</w:t>
      </w:r>
      <w:r>
        <w:rPr>
          <w:rFonts w:hint="eastAsia" w:eastAsia="宋体"/>
          <w:b w:val="0"/>
          <w:bCs/>
          <w:sz w:val="24"/>
          <w:szCs w:val="24"/>
          <w:lang w:val="en-US" w:eastAsia="zh-CN"/>
        </w:rPr>
        <w:t>.</w:t>
      </w:r>
    </w:p>
    <w:p w14:paraId="227A8F94">
      <w:pPr>
        <w:numPr>
          <w:ilvl w:val="0"/>
          <w:numId w:val="0"/>
        </w:numPr>
        <w:spacing w:after="140" w:line="372" w:lineRule="auto"/>
        <w:ind w:left="173" w:leftChars="0"/>
        <w:jc w:val="both"/>
        <w:rPr>
          <w:rFonts w:hint="eastAsia" w:eastAsia="宋体"/>
          <w:b w:val="0"/>
          <w:bCs/>
          <w:sz w:val="24"/>
          <w:szCs w:val="24"/>
          <w:lang w:val="en-US" w:eastAsia="zh-CN"/>
        </w:rPr>
      </w:pPr>
      <w:r>
        <w:rPr>
          <w:rFonts w:hint="default" w:eastAsia="宋体"/>
          <w:b w:val="0"/>
          <w:bCs/>
          <w:sz w:val="24"/>
          <w:szCs w:val="24"/>
          <w:lang w:val="en-US" w:eastAsia="zh-CN"/>
        </w:rPr>
        <w:t>This Order is specifically intended for submission to Wise Payments Limited's compliance and legal departments to compel immediate execution of the Emergency Freeze Order and restitution process</w:t>
      </w:r>
      <w:r>
        <w:rPr>
          <w:rFonts w:hint="eastAsia" w:eastAsia="宋体"/>
          <w:b w:val="0"/>
          <w:bCs/>
          <w:sz w:val="24"/>
          <w:szCs w:val="24"/>
          <w:lang w:val="en-US" w:eastAsia="zh-CN"/>
        </w:rPr>
        <w:t>.</w:t>
      </w:r>
    </w:p>
    <w:p w14:paraId="1683CBBB">
      <w:pPr>
        <w:numPr>
          <w:ilvl w:val="0"/>
          <w:numId w:val="0"/>
        </w:numPr>
        <w:spacing w:after="140" w:line="372" w:lineRule="auto"/>
        <w:ind w:left="173" w:leftChars="0"/>
        <w:jc w:val="both"/>
        <w:rPr>
          <w:rFonts w:hint="eastAsia" w:eastAsia="宋体"/>
          <w:b/>
          <w:bCs w:val="0"/>
          <w:sz w:val="24"/>
          <w:szCs w:val="24"/>
          <w:lang w:val="en-US" w:eastAsia="zh-CN"/>
        </w:rPr>
      </w:pPr>
      <w:r>
        <w:rPr>
          <w:rFonts w:hint="default" w:eastAsia="宋体"/>
          <w:b/>
          <w:bCs w:val="0"/>
          <w:sz w:val="24"/>
          <w:szCs w:val="24"/>
          <w:lang w:val="en-US" w:eastAsia="zh-CN"/>
        </w:rPr>
        <w:t>6. Duration and Modification</w:t>
      </w:r>
      <w:r>
        <w:rPr>
          <w:rFonts w:hint="eastAsia" w:eastAsia="宋体"/>
          <w:b/>
          <w:bCs w:val="0"/>
          <w:sz w:val="24"/>
          <w:szCs w:val="24"/>
          <w:lang w:val="en-US" w:eastAsia="zh-CN"/>
        </w:rPr>
        <w:t>.</w:t>
      </w:r>
    </w:p>
    <w:p w14:paraId="4C820C65">
      <w:pPr>
        <w:numPr>
          <w:ilvl w:val="0"/>
          <w:numId w:val="0"/>
        </w:numPr>
        <w:spacing w:after="140" w:line="372" w:lineRule="auto"/>
        <w:ind w:left="173" w:leftChars="0"/>
        <w:jc w:val="both"/>
        <w:rPr>
          <w:rFonts w:hint="default" w:eastAsia="宋体"/>
          <w:b w:val="0"/>
          <w:bCs/>
          <w:sz w:val="24"/>
          <w:szCs w:val="24"/>
          <w:lang w:val="en-US" w:eastAsia="zh-CN"/>
        </w:rPr>
      </w:pPr>
      <w:r>
        <w:rPr>
          <w:rFonts w:hint="default" w:eastAsia="宋体"/>
          <w:b w:val="0"/>
          <w:bCs/>
          <w:sz w:val="24"/>
          <w:szCs w:val="24"/>
          <w:lang w:val="en-US" w:eastAsia="zh-CN"/>
        </w:rPr>
        <w:t>This Emergency Order shall remain in full force and effect until further order of this Court, a final judgment is entered, or the Court approves the final allocation and distribution of the returned funds</w:t>
      </w:r>
    </w:p>
    <w:p w14:paraId="0CF7FA31">
      <w:pPr>
        <w:spacing w:after="220" w:line="379" w:lineRule="auto"/>
        <w:jc w:val="both"/>
        <w:rPr>
          <w:rFonts w:ascii="Times New Roman" w:hAnsi="Times New Roman" w:eastAsia="Times New Roman"/>
          <w:b/>
          <w:sz w:val="24"/>
          <w:szCs w:val="24"/>
        </w:rPr>
      </w:pPr>
    </w:p>
    <w:p w14:paraId="5F4B2898">
      <w:pPr>
        <w:spacing w:after="220" w:line="379" w:lineRule="auto"/>
        <w:jc w:val="both"/>
        <w:rPr>
          <w:rFonts w:ascii="Times New Roman" w:hAnsi="Times New Roman" w:eastAsia="Times New Roman"/>
          <w:b/>
          <w:sz w:val="24"/>
          <w:szCs w:val="24"/>
        </w:rPr>
      </w:pPr>
      <w:r>
        <w:rPr>
          <w:rFonts w:hint="eastAsia" w:eastAsia="宋体"/>
          <w:sz w:val="24"/>
          <w:szCs w:val="24"/>
          <w:lang w:eastAsia="zh-CN"/>
        </w:rPr>
        <w:drawing>
          <wp:anchor distT="0" distB="0" distL="114300" distR="114300" simplePos="0" relativeHeight="251664384" behindDoc="1" locked="0" layoutInCell="1" allowOverlap="1">
            <wp:simplePos x="0" y="0"/>
            <wp:positionH relativeFrom="column">
              <wp:posOffset>4424680</wp:posOffset>
            </wp:positionH>
            <wp:positionV relativeFrom="paragraph">
              <wp:posOffset>-1352550</wp:posOffset>
            </wp:positionV>
            <wp:extent cx="1963420" cy="1963420"/>
            <wp:effectExtent l="0" t="0" r="17780" b="17780"/>
            <wp:wrapNone/>
            <wp:docPr id="3" name="图片 3"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p>
    <w:p w14:paraId="4A27EA3E">
      <w:pPr>
        <w:spacing w:after="220" w:line="379" w:lineRule="auto"/>
        <w:jc w:val="both"/>
        <w:rPr>
          <w:rFonts w:ascii="Times New Roman" w:hAnsi="Times New Roman" w:eastAsia="Times New Roman"/>
          <w:b/>
          <w:sz w:val="24"/>
          <w:szCs w:val="24"/>
        </w:rPr>
      </w:pPr>
    </w:p>
    <w:p w14:paraId="03691B58">
      <w:pPr>
        <w:spacing w:after="220" w:line="379" w:lineRule="auto"/>
        <w:jc w:val="center"/>
        <w:rPr>
          <w:rFonts w:ascii="Times New Roman" w:hAnsi="Times New Roman" w:eastAsia="Times New Roman"/>
          <w:b/>
          <w:sz w:val="24"/>
          <w:szCs w:val="24"/>
        </w:rPr>
      </w:pPr>
      <w:r>
        <w:rPr>
          <w:rFonts w:hint="eastAsia" w:ascii="Times New Roman" w:hAnsi="Times New Roman" w:eastAsia="Times New Roman"/>
          <w:b/>
          <w:sz w:val="24"/>
          <w:szCs w:val="24"/>
        </w:rPr>
        <w:t>EMERGENCY ORDER - CONTINUED</w:t>
      </w:r>
    </w:p>
    <w:p w14:paraId="65A789A0">
      <w:pPr>
        <w:spacing w:after="220" w:line="379" w:lineRule="auto"/>
        <w:jc w:val="both"/>
        <w:rPr>
          <w:sz w:val="24"/>
          <w:szCs w:val="24"/>
        </w:rPr>
      </w:pPr>
      <w:r>
        <w:rPr>
          <w:rFonts w:ascii="Times New Roman" w:hAnsi="Times New Roman" w:eastAsia="Times New Roman"/>
          <w:b/>
          <w:sz w:val="24"/>
          <w:szCs w:val="24"/>
        </w:rPr>
        <w:t>IT IS SO ORDERED.</w:t>
      </w:r>
    </w:p>
    <w:tbl>
      <w:tblPr>
        <w:tblStyle w:val="32"/>
        <w:tblW w:w="0" w:type="auto"/>
        <w:jc w:val="center"/>
        <w:tblLayout w:type="fixed"/>
        <w:tblCellMar>
          <w:top w:w="0" w:type="dxa"/>
          <w:left w:w="108" w:type="dxa"/>
          <w:bottom w:w="0" w:type="dxa"/>
          <w:right w:w="108" w:type="dxa"/>
        </w:tblCellMar>
      </w:tblPr>
      <w:tblGrid>
        <w:gridCol w:w="4535"/>
        <w:gridCol w:w="4535"/>
      </w:tblGrid>
      <w:tr w14:paraId="330FC052">
        <w:tblPrEx>
          <w:tblCellMar>
            <w:top w:w="0" w:type="dxa"/>
            <w:left w:w="108" w:type="dxa"/>
            <w:bottom w:w="0" w:type="dxa"/>
            <w:right w:w="108" w:type="dxa"/>
          </w:tblCellMar>
        </w:tblPrEx>
        <w:trPr>
          <w:jc w:val="center"/>
        </w:trPr>
        <w:tc>
          <w:tcPr>
            <w:tcW w:w="4706" w:type="dxa"/>
            <w:tcBorders>
              <w:top w:val="nil"/>
              <w:left w:val="nil"/>
              <w:bottom w:val="nil"/>
              <w:right w:val="nil"/>
            </w:tcBorders>
            <w:vAlign w:val="bottom"/>
          </w:tcPr>
          <w:p w14:paraId="23A4EC9A">
            <w:pPr>
              <w:spacing w:after="0" w:line="372" w:lineRule="auto"/>
              <w:rPr>
                <w:sz w:val="24"/>
                <w:szCs w:val="24"/>
              </w:rPr>
            </w:pPr>
            <w:r>
              <w:rPr>
                <w:rFonts w:hint="eastAsia" w:eastAsia="宋体"/>
                <w:sz w:val="24"/>
                <w:szCs w:val="24"/>
                <w:lang w:val="en-US" w:eastAsia="zh-CN"/>
              </w:rPr>
              <w:t>当天日期</w:t>
            </w:r>
            <w:r>
              <w:rPr>
                <w:rFonts w:ascii="Times New Roman" w:hAnsi="Times New Roman" w:eastAsia="Times New Roman"/>
                <w:sz w:val="24"/>
                <w:szCs w:val="24"/>
              </w:rPr>
              <w:br w:type="textWrapping"/>
            </w:r>
            <w:r>
              <w:rPr>
                <w:rFonts w:ascii="Times New Roman" w:hAnsi="Times New Roman" w:eastAsia="Times New Roman"/>
                <w:sz w:val="24"/>
                <w:szCs w:val="24"/>
              </w:rPr>
              <w:t>New York, New York</w:t>
            </w:r>
          </w:p>
        </w:tc>
        <w:tc>
          <w:tcPr>
            <w:tcW w:w="4706" w:type="dxa"/>
            <w:tcBorders>
              <w:top w:val="nil"/>
              <w:left w:val="nil"/>
              <w:bottom w:val="nil"/>
              <w:right w:val="nil"/>
            </w:tcBorders>
            <w:vAlign w:val="bottom"/>
          </w:tcPr>
          <w:p w14:paraId="4C35DE44">
            <w:pPr>
              <w:pBdr>
                <w:top w:val="single" w:color="000000" w:sz="6" w:space="1"/>
              </w:pBdr>
              <w:spacing w:after="0" w:line="372" w:lineRule="auto"/>
              <w:rPr>
                <w:sz w:val="24"/>
                <w:szCs w:val="24"/>
              </w:rPr>
            </w:pPr>
            <w:r>
              <w:rPr>
                <w:rFonts w:ascii="Times New Roman" w:hAnsi="Times New Roman" w:eastAsia="Times New Roman"/>
                <w:b/>
                <w:sz w:val="24"/>
                <w:szCs w:val="24"/>
              </w:rPr>
              <w:t>The Honorable Laura Taylor Swain</w:t>
            </w:r>
            <w:r>
              <w:rPr>
                <w:rFonts w:ascii="Times New Roman" w:hAnsi="Times New Roman" w:eastAsia="Times New Roman"/>
                <w:b/>
                <w:sz w:val="24"/>
                <w:szCs w:val="24"/>
              </w:rPr>
              <w:br w:type="textWrapping"/>
            </w:r>
            <w:r>
              <w:rPr>
                <w:rFonts w:ascii="Times New Roman" w:hAnsi="Times New Roman" w:eastAsia="Times New Roman"/>
                <w:b/>
                <w:sz w:val="24"/>
                <w:szCs w:val="24"/>
              </w:rPr>
              <w:t>Chief United States District Judge</w:t>
            </w:r>
            <w:r>
              <w:rPr>
                <w:rFonts w:ascii="Times New Roman" w:hAnsi="Times New Roman" w:eastAsia="Times New Roman"/>
                <w:b/>
                <w:sz w:val="24"/>
                <w:szCs w:val="24"/>
              </w:rPr>
              <w:br w:type="textWrapping"/>
            </w:r>
            <w:r>
              <w:rPr>
                <w:rFonts w:ascii="Times New Roman" w:hAnsi="Times New Roman" w:eastAsia="Times New Roman"/>
                <w:b/>
                <w:sz w:val="24"/>
                <w:szCs w:val="24"/>
              </w:rPr>
              <w:t>Southern District of New York</w:t>
            </w:r>
          </w:p>
        </w:tc>
      </w:tr>
    </w:tbl>
    <w:p w14:paraId="0F0C566A">
      <w:pPr>
        <w:spacing w:before="320" w:after="160" w:line="480" w:lineRule="auto"/>
        <w:rPr>
          <w:sz w:val="24"/>
          <w:szCs w:val="24"/>
        </w:rPr>
      </w:pPr>
      <w:r>
        <w:rPr>
          <w:i/>
          <w:sz w:val="24"/>
          <w:szCs w:val="24"/>
        </w:rPr>
        <w:t>Respectfully submitted by:</w:t>
      </w:r>
    </w:p>
    <w:p w14:paraId="4A173C15">
      <w:pPr>
        <w:spacing w:after="0" w:line="480" w:lineRule="auto"/>
        <w:rPr>
          <w:rFonts w:hint="eastAsia" w:ascii="Times New Roman" w:hAnsi="Times New Roman" w:eastAsia="Times New Roman"/>
          <w:sz w:val="24"/>
          <w:szCs w:val="24"/>
        </w:rPr>
      </w:pPr>
      <w:r>
        <w:rPr>
          <w:rFonts w:ascii="Times New Roman" w:hAnsi="Times New Roman" w:eastAsia="Times New Roman"/>
          <w:sz w:val="24"/>
          <w:szCs w:val="24"/>
        </w:rPr>
        <w:t xml:space="preserve">/s/ </w:t>
      </w:r>
      <w:r>
        <w:rPr>
          <w:rFonts w:hint="eastAsia" w:eastAsia="宋体"/>
          <w:sz w:val="24"/>
          <w:szCs w:val="24"/>
          <w:lang w:val="en-US" w:eastAsia="zh-CN"/>
        </w:rPr>
        <w:t>Daniel Okafor</w:t>
      </w:r>
      <w:r>
        <w:rPr>
          <w:rFonts w:ascii="Times New Roman" w:hAnsi="Times New Roman" w:eastAsia="Times New Roman"/>
          <w:sz w:val="24"/>
          <w:szCs w:val="24"/>
        </w:rPr>
        <w:br w:type="textWrapping"/>
      </w:r>
      <w:r>
        <w:rPr>
          <w:rFonts w:hint="eastAsia" w:eastAsia="宋体"/>
          <w:sz w:val="24"/>
          <w:szCs w:val="24"/>
          <w:lang w:val="en-US" w:eastAsia="zh-CN"/>
        </w:rPr>
        <w:t>Daniel Okafor</w:t>
      </w:r>
      <w:r>
        <w:rPr>
          <w:rFonts w:ascii="Times New Roman" w:hAnsi="Times New Roman" w:eastAsia="Times New Roman"/>
          <w:sz w:val="24"/>
          <w:szCs w:val="24"/>
        </w:rPr>
        <w:t>, Esq.</w:t>
      </w:r>
      <w:r>
        <w:rPr>
          <w:rFonts w:ascii="Times New Roman" w:hAnsi="Times New Roman" w:eastAsia="Times New Roman"/>
          <w:sz w:val="24"/>
          <w:szCs w:val="24"/>
        </w:rPr>
        <w:br w:type="textWrapping"/>
      </w:r>
      <w:r>
        <w:rPr>
          <w:rFonts w:ascii="Times New Roman" w:hAnsi="Times New Roman" w:eastAsia="Times New Roman"/>
          <w:sz w:val="24"/>
          <w:szCs w:val="24"/>
        </w:rPr>
        <w:t xml:space="preserve">Bar No. </w:t>
      </w:r>
      <w:r>
        <w:rPr>
          <w:rFonts w:hint="eastAsia" w:ascii="Times New Roman" w:hAnsi="Times New Roman" w:eastAsia="Times New Roman"/>
          <w:sz w:val="24"/>
          <w:szCs w:val="24"/>
        </w:rPr>
        <w:t>3806612</w:t>
      </w:r>
      <w:r>
        <w:rPr>
          <w:rFonts w:ascii="Times New Roman" w:hAnsi="Times New Roman" w:eastAsia="Times New Roman"/>
          <w:sz w:val="24"/>
          <w:szCs w:val="24"/>
        </w:rPr>
        <w:br w:type="textWrapping"/>
      </w:r>
      <w:r>
        <w:rPr>
          <w:rFonts w:hint="eastAsia" w:ascii="Times New Roman" w:hAnsi="Times New Roman" w:eastAsia="Times New Roman"/>
          <w:sz w:val="24"/>
          <w:szCs w:val="24"/>
        </w:rPr>
        <w:t>WHITFIELD &amp; CRANE LLP</w:t>
      </w:r>
      <w:r>
        <w:rPr>
          <w:rFonts w:ascii="Times New Roman" w:hAnsi="Times New Roman" w:eastAsia="Times New Roman"/>
          <w:sz w:val="24"/>
          <w:szCs w:val="24"/>
        </w:rPr>
        <w:br w:type="textWrapping"/>
      </w:r>
      <w:r>
        <w:rPr>
          <w:rFonts w:hint="eastAsia" w:ascii="Times New Roman" w:hAnsi="Times New Roman" w:eastAsia="Times New Roman"/>
          <w:sz w:val="24"/>
          <w:szCs w:val="24"/>
        </w:rPr>
        <w:t>60 East 42nd Street, 38th Floor, Office C</w:t>
      </w:r>
    </w:p>
    <w:p w14:paraId="18B99AE4">
      <w:pPr>
        <w:spacing w:after="0" w:line="480" w:lineRule="auto"/>
        <w:rPr>
          <w:rFonts w:ascii="Times New Roman" w:hAnsi="Times New Roman" w:eastAsia="Times New Roman"/>
          <w:sz w:val="24"/>
          <w:szCs w:val="24"/>
        </w:rPr>
      </w:pPr>
      <w:r>
        <w:rPr>
          <w:rFonts w:hint="eastAsia" w:ascii="Times New Roman" w:hAnsi="Times New Roman" w:eastAsia="Times New Roman"/>
          <w:sz w:val="24"/>
          <w:szCs w:val="24"/>
        </w:rPr>
        <w:t>New York, NY 1016</w:t>
      </w:r>
      <w:r>
        <w:rPr>
          <w:rFonts w:hint="eastAsia" w:eastAsia="宋体"/>
          <w:sz w:val="24"/>
          <w:szCs w:val="24"/>
          <w:lang w:val="en-US" w:eastAsia="zh-CN"/>
        </w:rPr>
        <w:t>5</w:t>
      </w:r>
      <w:r>
        <w:rPr>
          <w:rFonts w:hint="eastAsia" w:eastAsia="宋体"/>
          <w:sz w:val="24"/>
          <w:szCs w:val="24"/>
          <w:lang w:eastAsia="zh-CN"/>
        </w:rPr>
        <w:drawing>
          <wp:anchor distT="0" distB="0" distL="114300" distR="114300" simplePos="0" relativeHeight="251665408" behindDoc="1" locked="0" layoutInCell="1" allowOverlap="1">
            <wp:simplePos x="0" y="0"/>
            <wp:positionH relativeFrom="column">
              <wp:posOffset>4424680</wp:posOffset>
            </wp:positionH>
            <wp:positionV relativeFrom="paragraph">
              <wp:posOffset>3274060</wp:posOffset>
            </wp:positionV>
            <wp:extent cx="1963420" cy="1963420"/>
            <wp:effectExtent l="0" t="0" r="17780" b="17780"/>
            <wp:wrapNone/>
            <wp:docPr id="6" name="图片 6"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1a2c490-36c9-4eec-8950-43523ede8fa0"/>
                    <pic:cNvPicPr>
                      <a:picLocks noChangeAspect="1"/>
                    </pic:cNvPicPr>
                  </pic:nvPicPr>
                  <pic:blipFill>
                    <a:blip r:embed="rId8">
                      <a:alphaModFix amt="20000"/>
                    </a:blip>
                    <a:stretch>
                      <a:fillRect/>
                    </a:stretch>
                  </pic:blipFill>
                  <pic:spPr>
                    <a:xfrm>
                      <a:off x="0" y="0"/>
                      <a:ext cx="1963420" cy="1963420"/>
                    </a:xfrm>
                    <a:prstGeom prst="rect">
                      <a:avLst/>
                    </a:prstGeom>
                  </pic:spPr>
                </pic:pic>
              </a:graphicData>
            </a:graphic>
          </wp:anchor>
        </w:drawing>
      </w:r>
      <w:r>
        <w:rPr>
          <w:rFonts w:ascii="Times New Roman" w:hAnsi="Times New Roman" w:eastAsia="Times New Roman"/>
          <w:sz w:val="24"/>
          <w:szCs w:val="24"/>
        </w:rPr>
        <w:br w:type="textWrapping"/>
      </w:r>
      <w:r>
        <w:rPr>
          <w:rFonts w:ascii="Times New Roman" w:hAnsi="Times New Roman" w:eastAsia="Times New Roman"/>
          <w:sz w:val="24"/>
          <w:szCs w:val="24"/>
        </w:rPr>
        <w:t xml:space="preserve">Email: </w:t>
      </w:r>
      <w:r>
        <w:rPr>
          <w:rFonts w:hint="eastAsia" w:ascii="Times New Roman" w:hAnsi="Times New Roman" w:eastAsia="Times New Roman"/>
          <w:sz w:val="24"/>
          <w:szCs w:val="24"/>
        </w:rPr>
        <w:t>whitfieldcrane@whitfieldcrane.law</w:t>
      </w:r>
      <w:r>
        <w:rPr>
          <w:rFonts w:ascii="Times New Roman" w:hAnsi="Times New Roman" w:eastAsia="Times New Roman"/>
          <w:sz w:val="24"/>
          <w:szCs w:val="24"/>
        </w:rPr>
        <w:br w:type="textWrapping"/>
      </w:r>
      <w:r>
        <w:rPr>
          <w:rFonts w:ascii="Times New Roman" w:hAnsi="Times New Roman" w:eastAsia="Times New Roman"/>
          <w:sz w:val="24"/>
          <w:szCs w:val="24"/>
        </w:rPr>
        <w:t>Counsel for Plaintiff</w:t>
      </w:r>
    </w:p>
    <w:p w14:paraId="09F43807">
      <w:pPr>
        <w:spacing w:after="0" w:line="355" w:lineRule="auto"/>
        <w:rPr>
          <w:rFonts w:ascii="Times New Roman" w:hAnsi="Times New Roman" w:eastAsia="Times New Roman"/>
          <w:sz w:val="24"/>
          <w:szCs w:val="24"/>
        </w:rPr>
      </w:pPr>
    </w:p>
    <w:p w14:paraId="162D8DD0">
      <w:pPr>
        <w:spacing w:after="0" w:line="355" w:lineRule="auto"/>
        <w:rPr>
          <w:rFonts w:ascii="Times New Roman" w:hAnsi="Times New Roman" w:eastAsia="Times New Roman"/>
          <w:sz w:val="24"/>
          <w:szCs w:val="24"/>
        </w:rPr>
      </w:pPr>
    </w:p>
    <w:p w14:paraId="4116FA26">
      <w:pPr>
        <w:spacing w:after="0" w:line="355" w:lineRule="auto"/>
        <w:rPr>
          <w:rFonts w:hint="eastAsia" w:ascii="Times New Roman" w:hAnsi="Times New Roman" w:eastAsia="Times New Roman"/>
          <w:sz w:val="24"/>
          <w:szCs w:val="24"/>
          <w:lang w:eastAsia="zh-CN"/>
        </w:rPr>
      </w:pP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Counsel Signature:</w:t>
            </w:r>
          </w:p>
          <w:p w14:paraId="34A4E5D8">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361950</wp:posOffset>
                  </wp:positionH>
                  <wp:positionV relativeFrom="paragraph">
                    <wp:posOffset>40005</wp:posOffset>
                  </wp:positionV>
                  <wp:extent cx="2070100" cy="689610"/>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9"/>
                          <a:stretch>
                            <a:fillRect/>
                          </a:stretch>
                        </pic:blipFill>
                        <pic:spPr>
                          <a:xfrm>
                            <a:off x="0" y="0"/>
                            <a:ext cx="2070100" cy="689610"/>
                          </a:xfrm>
                          <a:prstGeom prst="rect">
                            <a:avLst/>
                          </a:prstGeom>
                        </pic:spPr>
                      </pic:pic>
                    </a:graphicData>
                  </a:graphic>
                </wp:anchor>
              </w:drawing>
            </w: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0"/>
                          <a:stretch>
                            <a:fillRect/>
                          </a:stretch>
                        </pic:blipFill>
                        <pic:spPr>
                          <a:xfrm>
                            <a:off x="0" y="0"/>
                            <a:ext cx="1410970" cy="357505"/>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28958669">
      <w:pPr>
        <w:spacing w:after="0" w:line="355" w:lineRule="auto"/>
        <w:rPr>
          <w:rFonts w:hint="eastAsia" w:ascii="Times New Roman" w:hAnsi="Times New Roman" w:eastAsia="Times New Roman"/>
          <w:sz w:val="24"/>
          <w:szCs w:val="24"/>
          <w:lang w:eastAsia="zh-CN"/>
        </w:rPr>
      </w:pPr>
      <w:bookmarkStart w:id="0" w:name="_GoBack"/>
      <w:bookmarkEnd w:id="0"/>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9"/>
      </w:tblGrid>
      <w:tr w14:paraId="6EF31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339" w:type="dxa"/>
            <w:tcBorders>
              <w:tl2br w:val="nil"/>
              <w:tr2bl w:val="nil"/>
            </w:tcBorders>
            <w:vAlign w:val="top"/>
          </w:tcPr>
          <w:p w14:paraId="04C18BE6">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U.S. Department of Justice (DOJ) Official Signature:</w:t>
            </w:r>
          </w:p>
          <w:p w14:paraId="3BFB55C3">
            <w:pPr>
              <w:spacing w:after="0" w:line="355" w:lineRule="auto"/>
              <w:jc w:val="left"/>
              <w:rPr>
                <w:rFonts w:hint="eastAsia" w:ascii="Times New Roman" w:hAnsi="Times New Roman" w:eastAsia="Times New Roman"/>
                <w:sz w:val="24"/>
                <w:szCs w:val="24"/>
                <w:lang w:eastAsia="zh-CN"/>
              </w:rPr>
            </w:pP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6432" behindDoc="0" locked="0" layoutInCell="1" allowOverlap="1">
                  <wp:simplePos x="0" y="0"/>
                  <wp:positionH relativeFrom="column">
                    <wp:posOffset>490855</wp:posOffset>
                  </wp:positionH>
                  <wp:positionV relativeFrom="paragraph">
                    <wp:posOffset>1905</wp:posOffset>
                  </wp:positionV>
                  <wp:extent cx="2307590" cy="768985"/>
                  <wp:effectExtent l="0" t="0" r="16510" b="0"/>
                  <wp:wrapNone/>
                  <wp:docPr id="7" name="图片 7" descr="美国司法部（DOJ）官员签名：妮可·M·阿根蒂耶里手写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美国司法部（DOJ）官员签名：妮可·M·阿根蒂耶里手写签名"/>
                          <pic:cNvPicPr>
                            <a:picLocks noChangeAspect="1"/>
                          </pic:cNvPicPr>
                        </pic:nvPicPr>
                        <pic:blipFill>
                          <a:blip r:embed="rId11"/>
                          <a:stretch>
                            <a:fillRect/>
                          </a:stretch>
                        </pic:blipFill>
                        <pic:spPr>
                          <a:xfrm>
                            <a:off x="0" y="0"/>
                            <a:ext cx="2307590" cy="768985"/>
                          </a:xfrm>
                          <a:prstGeom prst="rect">
                            <a:avLst/>
                          </a:prstGeom>
                        </pic:spPr>
                      </pic:pic>
                    </a:graphicData>
                  </a:graphic>
                </wp:anchor>
              </w:drawing>
            </w:r>
          </w:p>
        </w:tc>
      </w:tr>
      <w:tr w14:paraId="0A14C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9" w:type="dxa"/>
            <w:tcBorders>
              <w:tl2br w:val="nil"/>
              <w:tr2bl w:val="nil"/>
            </w:tcBorders>
            <w:vAlign w:val="top"/>
          </w:tcPr>
          <w:p w14:paraId="73069490">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D84B62F">
            <w:pPr>
              <w:spacing w:after="0" w:line="355" w:lineRule="auto"/>
              <w:jc w:val="left"/>
              <w:rPr>
                <w:rFonts w:hint="eastAsia" w:ascii="Times New Roman" w:hAnsi="Times New Roman" w:eastAsia="Times New Roman"/>
                <w:sz w:val="24"/>
                <w:szCs w:val="24"/>
                <w:lang w:eastAsia="zh-CN"/>
              </w:rPr>
            </w:pPr>
          </w:p>
        </w:tc>
      </w:tr>
      <w:tr w14:paraId="43839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9" w:type="dxa"/>
            <w:tcBorders>
              <w:tl2br w:val="nil"/>
              <w:tr2bl w:val="nil"/>
            </w:tcBorders>
            <w:vAlign w:val="top"/>
          </w:tcPr>
          <w:p w14:paraId="26223C0F">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r>
    </w:tbl>
    <w:p w14:paraId="44456D7E">
      <w:pPr>
        <w:spacing w:after="0" w:line="355" w:lineRule="auto"/>
        <w:rPr>
          <w:rFonts w:hint="eastAsia" w:ascii="Times New Roman" w:hAnsi="Times New Roman" w:eastAsia="Times New Roman"/>
          <w:sz w:val="24"/>
          <w:szCs w:val="24"/>
          <w:lang w:eastAsia="zh-CN"/>
        </w:rPr>
      </w:pPr>
    </w:p>
    <w:sectPr>
      <w:footerReference r:id="rId5" w:type="default"/>
      <w:pgSz w:w="11906" w:h="16838"/>
      <w:pgMar w:top="1020" w:right="1247" w:bottom="1020" w:left="1247" w:header="454" w:footer="454"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方正FW筑紫明朝 简 M">
    <w:altName w:val="宋体"/>
    <w:panose1 w:val="02000600000000000000"/>
    <w:charset w:val="86"/>
    <w:family w:val="auto"/>
    <w:pitch w:val="default"/>
    <w:sig w:usb0="00000000" w:usb1="00000000" w:usb2="00000012" w:usb3="00000000" w:csb0="00040001"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656F">
    <w:pPr>
      <w:pStyle w:val="24"/>
      <w:pBdr>
        <w:top w:val="single" w:color="BDBDBD" w:sz="6" w:space="1"/>
      </w:pBdr>
      <w:tabs>
        <w:tab w:val="right" w:pos="9412"/>
      </w:tabs>
      <w:spacing w:before="60" w:after="0"/>
      <w:jc w:val="left"/>
    </w:pPr>
    <w:r>
      <w:rPr>
        <w:color w:val="666666"/>
        <w:sz w:val="17"/>
      </w:rPr>
      <w:t>SDNY Emergency Relief Order</w:t>
    </w:r>
    <w:r>
      <w:rPr>
        <w:color w:val="666666"/>
        <w:sz w:val="17"/>
      </w:rPr>
      <w:tab/>
    </w:r>
    <w:r>
      <w:rPr>
        <w:color w:val="666666"/>
        <w:sz w:val="17"/>
      </w:rPr>
      <w:t xml:space="preserve">Page </w:t>
    </w:r>
    <w:r>
      <w:rPr>
        <w:color w:val="666666"/>
        <w:sz w:val="17"/>
      </w:rPr>
      <w:fldChar w:fldCharType="begin"/>
    </w:r>
    <w:r>
      <w:rPr>
        <w:color w:val="666666"/>
        <w:sz w:val="17"/>
      </w:rPr>
      <w:instrText xml:space="preserve">PAGE</w:instrText>
    </w:r>
    <w:r>
      <w:rPr>
        <w:color w:val="666666"/>
        <w:sz w:val="17"/>
      </w:rPr>
      <w:fldChar w:fldCharType="separate"/>
    </w:r>
    <w:r>
      <w:rPr>
        <w:color w:val="666666"/>
        <w:sz w:val="17"/>
      </w:rPr>
      <w:t>1</w:t>
    </w:r>
    <w:r>
      <w:rPr>
        <w:color w:val="666666"/>
        <w:sz w:val="17"/>
      </w:rPr>
      <w:fldChar w:fldCharType="end"/>
    </w:r>
    <w:r>
      <w:rPr>
        <w:color w:val="666666"/>
        <w:sz w:val="17"/>
      </w:rPr>
      <w:t xml:space="preserve"> of </w:t>
    </w:r>
    <w:r>
      <w:rPr>
        <w:color w:val="666666"/>
        <w:sz w:val="17"/>
      </w:rPr>
      <w:fldChar w:fldCharType="begin"/>
    </w:r>
    <w:r>
      <w:rPr>
        <w:color w:val="666666"/>
        <w:sz w:val="17"/>
      </w:rPr>
      <w:instrText xml:space="preserve">NUMPAGES</w:instrText>
    </w:r>
    <w:r>
      <w:rPr>
        <w:color w:val="666666"/>
        <w:sz w:val="17"/>
      </w:rPr>
      <w:fldChar w:fldCharType="separate"/>
    </w:r>
    <w:r>
      <w:rPr>
        <w:color w:val="666666"/>
        <w:sz w:val="17"/>
      </w:rPr>
      <w:t>1</w:t>
    </w:r>
    <w:r>
      <w:rPr>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699F9"/>
    <w:multiLevelType w:val="singleLevel"/>
    <w:tmpl w:val="C77699F9"/>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FCE1963"/>
    <w:multiLevelType w:val="singleLevel"/>
    <w:tmpl w:val="0FCE1963"/>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A7D14"/>
    <w:rsid w:val="12A821D4"/>
    <w:rsid w:val="16141EFB"/>
    <w:rsid w:val="1D4C21DB"/>
    <w:rsid w:val="1D6E07B5"/>
    <w:rsid w:val="23D95952"/>
    <w:rsid w:val="2B3109E2"/>
    <w:rsid w:val="30B359F5"/>
    <w:rsid w:val="39FD4586"/>
    <w:rsid w:val="3C0B53D0"/>
    <w:rsid w:val="417C5E38"/>
    <w:rsid w:val="45F05D82"/>
    <w:rsid w:val="491F4C3C"/>
    <w:rsid w:val="4B4B4D50"/>
    <w:rsid w:val="507439BD"/>
    <w:rsid w:val="524D2993"/>
    <w:rsid w:val="5D9E51B4"/>
    <w:rsid w:val="5F62356D"/>
    <w:rsid w:val="68A45648"/>
    <w:rsid w:val="76533426"/>
    <w:rsid w:val="7A8A0B42"/>
    <w:rsid w:val="7F4020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FW筑紫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方正FW筑紫明朝 简 M"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892</Words>
  <Characters>5003</Characters>
  <Lines>0</Lines>
  <Paragraphs>0</Paragraphs>
  <TotalTime>0</TotalTime>
  <ScaleCrop>false</ScaleCrop>
  <LinksUpToDate>false</LinksUpToDate>
  <CharactersWithSpaces>5791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彦祖吴</cp:lastModifiedBy>
  <dcterms:modified xsi:type="dcterms:W3CDTF">2026-10-13T09:54:19Z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AC7A59C5038047A897E9B632C7BA43A0_12</vt:lpwstr>
  </property>
</Properties>
</file>