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D2D61">
      <w:pPr>
        <w:spacing w:after="40"/>
        <w:jc w:val="right"/>
      </w:pPr>
      <w:r>
        <w:rPr>
          <w:rFonts w:hint="eastAsia" w:ascii="Times New Roman" w:hAnsi="Times New Roman" w:eastAsia="Times New Roman"/>
          <w:sz w:val="24"/>
          <w:szCs w:val="24"/>
          <w:lang w:eastAsia="zh-CN"/>
        </w:rPr>
        <w:drawing>
          <wp:anchor distT="0" distB="0" distL="114300" distR="114300" simplePos="0" relativeHeight="251663360" behindDoc="0" locked="0" layoutInCell="1" allowOverlap="1">
            <wp:simplePos x="0" y="0"/>
            <wp:positionH relativeFrom="column">
              <wp:posOffset>-22860</wp:posOffset>
            </wp:positionH>
            <wp:positionV relativeFrom="paragraph">
              <wp:posOffset>-224790</wp:posOffset>
            </wp:positionV>
            <wp:extent cx="1898015" cy="631825"/>
            <wp:effectExtent l="0" t="0" r="6985" b="15875"/>
            <wp:wrapNone/>
            <wp:docPr id="2" name="图片 2" descr="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000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1898015" cy="631825"/>
                    </a:xfrm>
                    <a:prstGeom prst="rect">
                      <a:avLst/>
                    </a:prstGeom>
                  </pic:spPr>
                </pic:pic>
              </a:graphicData>
            </a:graphic>
          </wp:anchor>
        </w:drawing>
      </w:r>
      <w:r>
        <w:rPr>
          <w:rFonts w:ascii="Times New Roman" w:hAnsi="Times New Roman" w:eastAsia="Times New Roman"/>
          <w:b/>
          <w:color w:val="A05A5A"/>
          <w:sz w:val="24"/>
          <w:bdr w:val="single" w:color="A05A5A" w:sz="16" w:space="0"/>
        </w:rPr>
        <w:t>EINGEGANGEN</w:t>
      </w:r>
    </w:p>
    <w:p w14:paraId="721F50C8">
      <w:pPr>
        <w:spacing w:after="240" w:line="324" w:lineRule="auto"/>
        <w:jc w:val="center"/>
      </w:pPr>
      <w:r>
        <w:rPr>
          <w:rFonts w:ascii="Times New Roman" w:hAnsi="Times New Roman" w:eastAsia="Times New Roman"/>
          <w:b/>
          <w:sz w:val="22"/>
        </w:rPr>
        <w:t>LANDGERICHT BERLIN II</w:t>
      </w:r>
    </w:p>
    <w:tbl>
      <w:tblPr>
        <w:tblStyle w:val="32"/>
        <w:tblW w:w="0" w:type="auto"/>
        <w:jc w:val="center"/>
        <w:tblLayout w:type="fixed"/>
        <w:tblCellMar>
          <w:top w:w="0" w:type="dxa"/>
          <w:left w:w="108" w:type="dxa"/>
          <w:bottom w:w="0" w:type="dxa"/>
          <w:right w:w="108" w:type="dxa"/>
        </w:tblCellMar>
      </w:tblPr>
      <w:tblGrid>
        <w:gridCol w:w="6123"/>
        <w:gridCol w:w="3288"/>
      </w:tblGrid>
      <w:tr w14:paraId="14ACA73D">
        <w:tblPrEx>
          <w:tblCellMar>
            <w:top w:w="0" w:type="dxa"/>
            <w:left w:w="108" w:type="dxa"/>
            <w:bottom w:w="0" w:type="dxa"/>
            <w:right w:w="108" w:type="dxa"/>
          </w:tblCellMar>
        </w:tblPrEx>
        <w:trPr>
          <w:jc w:val="center"/>
        </w:trPr>
        <w:tc>
          <w:tcPr>
            <w:tcW w:w="4706" w:type="dxa"/>
            <w:tcBorders>
              <w:top w:val="single" w:color="1F1F1F" w:sz="10" w:space="0"/>
              <w:bottom w:val="single" w:color="1F1F1F" w:sz="10" w:space="0"/>
              <w:right w:val="nil"/>
            </w:tcBorders>
            <w:vAlign w:val="top"/>
          </w:tcPr>
          <w:p w14:paraId="1128F16B">
            <w:pPr>
              <w:spacing w:after="40" w:line="365" w:lineRule="auto"/>
              <w:rPr>
                <w:sz w:val="24"/>
                <w:szCs w:val="24"/>
              </w:rPr>
            </w:pPr>
            <w:r>
              <w:rPr>
                <w:rFonts w:ascii="Times New Roman" w:hAnsi="Times New Roman" w:eastAsia="Times New Roman"/>
                <w:b/>
                <w:sz w:val="24"/>
                <w:szCs w:val="24"/>
              </w:rPr>
              <w:t>（</w:t>
            </w:r>
            <w:bookmarkStart w:id="0" w:name="_GoBack"/>
            <w:bookmarkEnd w:id="0"/>
            <w:r>
              <w:rPr>
                <w:rFonts w:ascii="Times New Roman" w:hAnsi="Times New Roman" w:eastAsia="Times New Roman"/>
                <w:b/>
                <w:sz w:val="24"/>
                <w:szCs w:val="24"/>
              </w:rPr>
              <w:t>客户姓名）, Kläger,</w:t>
            </w:r>
          </w:p>
          <w:p w14:paraId="3BAECEB1">
            <w:pPr>
              <w:spacing w:after="120" w:line="365" w:lineRule="auto"/>
              <w:rPr>
                <w:sz w:val="24"/>
                <w:szCs w:val="24"/>
              </w:rPr>
            </w:pPr>
            <w:r>
              <w:rPr>
                <w:rFonts w:ascii="Times New Roman" w:hAnsi="Times New Roman" w:eastAsia="Times New Roman"/>
                <w:b/>
                <w:i w:val="0"/>
                <w:sz w:val="24"/>
                <w:szCs w:val="24"/>
              </w:rPr>
              <w:t>gegen</w:t>
            </w:r>
          </w:p>
          <w:p w14:paraId="2CFBF320">
            <w:pPr>
              <w:spacing w:after="40" w:line="365" w:lineRule="auto"/>
              <w:rPr>
                <w:sz w:val="24"/>
                <w:szCs w:val="24"/>
              </w:rPr>
            </w:pPr>
            <w:r>
              <w:rPr>
                <w:rFonts w:ascii="Times New Roman" w:hAnsi="Times New Roman" w:eastAsia="Times New Roman"/>
                <w:b/>
                <w:sz w:val="24"/>
                <w:szCs w:val="24"/>
              </w:rPr>
              <w:t>CHAINFORCE, Beklagte,</w:t>
            </w:r>
          </w:p>
          <w:p w14:paraId="08EE454B">
            <w:pPr>
              <w:spacing w:after="120" w:line="365" w:lineRule="auto"/>
              <w:rPr>
                <w:sz w:val="24"/>
                <w:szCs w:val="24"/>
              </w:rPr>
            </w:pPr>
            <w:r>
              <w:rPr>
                <w:rFonts w:ascii="Times New Roman" w:hAnsi="Times New Roman" w:eastAsia="Times New Roman"/>
                <w:b w:val="0"/>
                <w:i w:val="0"/>
                <w:sz w:val="24"/>
                <w:szCs w:val="24"/>
              </w:rPr>
              <w:t>und</w:t>
            </w:r>
          </w:p>
          <w:p w14:paraId="1242EB94">
            <w:pPr>
              <w:spacing w:after="40" w:line="365" w:lineRule="auto"/>
              <w:rPr>
                <w:sz w:val="24"/>
                <w:szCs w:val="24"/>
              </w:rPr>
            </w:pPr>
            <w:r>
              <w:rPr>
                <w:rFonts w:ascii="Times New Roman" w:hAnsi="Times New Roman" w:eastAsia="Times New Roman"/>
                <w:b/>
                <w:sz w:val="24"/>
                <w:szCs w:val="24"/>
              </w:rPr>
              <w:t>TETHER INTERNATIONAL, S.A. DE C.V. (als weiterer Beteiligter / Emittent von USDT),</w:t>
            </w:r>
          </w:p>
          <w:p w14:paraId="171AD00F">
            <w:pPr>
              <w:spacing w:after="40" w:line="365" w:lineRule="auto"/>
              <w:rPr>
                <w:sz w:val="24"/>
                <w:szCs w:val="24"/>
              </w:rPr>
            </w:pPr>
            <w:r>
              <w:rPr>
                <w:rFonts w:ascii="Times New Roman" w:hAnsi="Times New Roman" w:eastAsia="Times New Roman"/>
                <w:b/>
                <w:sz w:val="24"/>
                <w:szCs w:val="24"/>
              </w:rPr>
              <w:t>BITGET (als weiterer Beteiligter / Verwahrdienstleister),</w:t>
            </w:r>
          </w:p>
          <w:p w14:paraId="0010BBCC">
            <w:pPr>
              <w:spacing w:after="0" w:line="365" w:lineRule="auto"/>
              <w:rPr>
                <w:sz w:val="24"/>
                <w:szCs w:val="24"/>
              </w:rPr>
            </w:pPr>
            <w:r>
              <w:rPr>
                <w:rFonts w:ascii="Times New Roman" w:hAnsi="Times New Roman" w:eastAsia="Times New Roman"/>
                <w:b w:val="0"/>
                <w:i w:val="0"/>
                <w:sz w:val="24"/>
                <w:szCs w:val="24"/>
              </w:rPr>
              <w:t>Weitere Beteiligte.</w:t>
            </w:r>
          </w:p>
        </w:tc>
        <w:tc>
          <w:tcPr>
            <w:tcW w:w="4706" w:type="dxa"/>
            <w:tcBorders>
              <w:top w:val="single" w:color="1F1F1F" w:sz="10" w:space="0"/>
              <w:left w:val="nil"/>
              <w:bottom w:val="single" w:color="1F1F1F" w:sz="10" w:space="0"/>
            </w:tcBorders>
            <w:vAlign w:val="top"/>
          </w:tcPr>
          <w:tbl>
            <w:tblPr>
              <w:tblStyle w:val="32"/>
              <w:tblW w:w="0" w:type="auto"/>
              <w:jc w:val="center"/>
              <w:tblLayout w:type="fixed"/>
              <w:tblCellMar>
                <w:top w:w="0" w:type="dxa"/>
                <w:left w:w="108" w:type="dxa"/>
                <w:bottom w:w="0" w:type="dxa"/>
                <w:right w:w="108" w:type="dxa"/>
              </w:tblCellMar>
            </w:tblPr>
            <w:tblGrid>
              <w:gridCol w:w="3175"/>
            </w:tblGrid>
            <w:tr w14:paraId="24684AB8">
              <w:tblPrEx>
                <w:tblCellMar>
                  <w:top w:w="0" w:type="dxa"/>
                  <w:left w:w="108" w:type="dxa"/>
                  <w:bottom w:w="0" w:type="dxa"/>
                  <w:right w:w="108" w:type="dxa"/>
                </w:tblCellMar>
              </w:tblPrEx>
              <w:trPr>
                <w:jc w:val="center"/>
              </w:trPr>
              <w:tc>
                <w:tcPr>
                  <w:tcW w:w="3175" w:type="dxa"/>
                  <w:tcBorders>
                    <w:top w:val="single" w:color="1F1F1F" w:sz="8" w:space="0"/>
                    <w:left w:val="single" w:color="1F1F1F" w:sz="8" w:space="0"/>
                    <w:right w:val="single" w:color="1F1F1F" w:sz="8" w:space="0"/>
                  </w:tcBorders>
                  <w:vAlign w:val="center"/>
                </w:tcPr>
                <w:p w14:paraId="35601342">
                  <w:pPr>
                    <w:spacing w:after="40"/>
                    <w:jc w:val="left"/>
                    <w:rPr>
                      <w:sz w:val="24"/>
                      <w:szCs w:val="24"/>
                    </w:rPr>
                  </w:pPr>
                  <w:r>
                    <w:rPr>
                      <w:b/>
                      <w:sz w:val="24"/>
                      <w:szCs w:val="24"/>
                    </w:rPr>
                    <w:t>KANZLEI-AZ.</w:t>
                  </w:r>
                </w:p>
              </w:tc>
            </w:tr>
            <w:tr w14:paraId="64FDA354">
              <w:tblPrEx>
                <w:tblCellMar>
                  <w:top w:w="0" w:type="dxa"/>
                  <w:left w:w="108" w:type="dxa"/>
                  <w:bottom w:w="0" w:type="dxa"/>
                  <w:right w:w="108" w:type="dxa"/>
                </w:tblCellMar>
              </w:tblPrEx>
              <w:trPr>
                <w:jc w:val="center"/>
              </w:trPr>
              <w:tc>
                <w:tcPr>
                  <w:tcW w:w="3175" w:type="dxa"/>
                  <w:tcBorders>
                    <w:left w:val="single" w:color="1F1F1F" w:sz="8" w:space="0"/>
                    <w:right w:val="single" w:color="1F1F1F" w:sz="8" w:space="0"/>
                  </w:tcBorders>
                  <w:vAlign w:val="center"/>
                </w:tcPr>
                <w:p w14:paraId="1A86E5F3">
                  <w:pPr>
                    <w:spacing w:after="40"/>
                    <w:jc w:val="left"/>
                    <w:rPr>
                      <w:sz w:val="24"/>
                      <w:szCs w:val="24"/>
                    </w:rPr>
                  </w:pPr>
                  <w:r>
                    <w:rPr>
                      <w:rFonts w:hint="eastAsia" w:eastAsia="宋体"/>
                      <w:b/>
                      <w:sz w:val="24"/>
                      <w:szCs w:val="24"/>
                      <w:lang w:val="en-US" w:eastAsia="zh-CN"/>
                    </w:rPr>
                    <w:t>WC</w:t>
                  </w:r>
                  <w:r>
                    <w:rPr>
                      <w:b/>
                      <w:sz w:val="24"/>
                      <w:szCs w:val="24"/>
                    </w:rPr>
                    <w:t>-CRYPTO-1068-0177</w:t>
                  </w:r>
                </w:p>
              </w:tc>
            </w:tr>
            <w:tr w14:paraId="0A3E4668">
              <w:tblPrEx>
                <w:tblCellMar>
                  <w:top w:w="0" w:type="dxa"/>
                  <w:left w:w="108" w:type="dxa"/>
                  <w:bottom w:w="0" w:type="dxa"/>
                  <w:right w:w="108" w:type="dxa"/>
                </w:tblCellMar>
              </w:tblPrEx>
              <w:trPr>
                <w:jc w:val="center"/>
              </w:trPr>
              <w:tc>
                <w:tcPr>
                  <w:tcW w:w="3175" w:type="dxa"/>
                  <w:tcBorders>
                    <w:left w:val="single" w:color="1F1F1F" w:sz="8" w:space="0"/>
                    <w:bottom w:val="single" w:color="1F1F1F" w:sz="8" w:space="0"/>
                    <w:right w:val="single" w:color="1F1F1F" w:sz="8" w:space="0"/>
                  </w:tcBorders>
                  <w:vAlign w:val="center"/>
                </w:tcPr>
                <w:p w14:paraId="161199E1">
                  <w:pPr>
                    <w:jc w:val="left"/>
                    <w:rPr>
                      <w:sz w:val="24"/>
                      <w:szCs w:val="24"/>
                    </w:rPr>
                  </w:pPr>
                  <w:r>
                    <w:rPr>
                      <w:sz w:val="24"/>
                      <w:szCs w:val="24"/>
                    </w:rPr>
                    <w:t>EILRECHTSSCHUTZ</w:t>
                  </w:r>
                  <w:r>
                    <w:rPr>
                      <w:sz w:val="24"/>
                      <w:szCs w:val="24"/>
                    </w:rPr>
                    <w:br w:type="textWrapping"/>
                  </w:r>
                  <w:r>
                    <w:rPr>
                      <w:sz w:val="24"/>
                      <w:szCs w:val="24"/>
                    </w:rPr>
                    <w:t>DINGLICHER ARREST / SICHERUNG</w:t>
                  </w:r>
                </w:p>
              </w:tc>
            </w:tr>
          </w:tbl>
          <w:p w14:paraId="03156CB8">
            <w:pPr>
              <w:rPr>
                <w:sz w:val="24"/>
                <w:szCs w:val="24"/>
              </w:rPr>
            </w:pPr>
          </w:p>
        </w:tc>
      </w:tr>
    </w:tbl>
    <w:p w14:paraId="5FA018A2">
      <w:pPr>
        <w:spacing w:after="120"/>
      </w:pPr>
    </w:p>
    <w:p w14:paraId="49EACA7A">
      <w:pPr>
        <w:spacing w:after="300" w:line="341" w:lineRule="auto"/>
        <w:jc w:val="center"/>
      </w:pPr>
      <w:r>
        <w:rPr>
          <w:rFonts w:ascii="Times New Roman" w:hAnsi="Times New Roman" w:eastAsia="Times New Roman"/>
          <w:b/>
          <w:sz w:val="24"/>
        </w:rPr>
        <w:t>BESCHLUSS ÜBER DINGLICHEN ARREST UND EINSTWEILIGE SICHERUNG VON USDT-VERMÖGENSWERTEN</w:t>
      </w:r>
    </w:p>
    <w:p w14:paraId="4D1FB881">
      <w:pPr>
        <w:spacing w:after="220" w:line="379" w:lineRule="auto"/>
        <w:jc w:val="both"/>
        <w:rPr>
          <w:sz w:val="24"/>
          <w:szCs w:val="24"/>
        </w:rPr>
      </w:pPr>
      <w:r>
        <w:rPr>
          <w:rFonts w:ascii="Times New Roman" w:hAnsi="Times New Roman" w:eastAsia="Times New Roman"/>
          <w:sz w:val="24"/>
          <w:szCs w:val="24"/>
        </w:rPr>
        <w:t>Nach Prüfung der Klageschrift, des Arrestgesuchs und der zur Glaubhaftmachung vorgelegten Unterlagen, einschließlich der Erklärung von Rechtsanwalt Maximilian Weber von Whitfield &amp; Crane PartG mbB und des Ermittlungsberichts samt Anlagen, entscheidet das Gericht nach Maßgabe der §§ 916 ff., 920 und 922 ZPO wie folgt:</w:t>
      </w:r>
    </w:p>
    <w:p w14:paraId="20C3479B">
      <w:pPr>
        <w:spacing w:after="140" w:line="348" w:lineRule="auto"/>
        <w:jc w:val="left"/>
        <w:rPr>
          <w:sz w:val="24"/>
          <w:szCs w:val="24"/>
        </w:rPr>
      </w:pPr>
      <w:r>
        <w:rPr>
          <w:rFonts w:ascii="Times New Roman" w:hAnsi="Times New Roman" w:eastAsia="Times New Roman"/>
          <w:b/>
          <w:sz w:val="24"/>
          <w:szCs w:val="24"/>
        </w:rPr>
        <w:t>1. Arrestanspruch, Arrestgrund und vorläufige rechtliche Würdigung.</w:t>
      </w:r>
    </w:p>
    <w:p w14:paraId="6FAC1BDE">
      <w:pPr>
        <w:spacing w:after="220" w:line="379" w:lineRule="auto"/>
        <w:jc w:val="both"/>
        <w:rPr>
          <w:sz w:val="24"/>
          <w:szCs w:val="24"/>
        </w:rPr>
      </w:pPr>
      <w:r>
        <w:rPr>
          <w:rFonts w:hint="eastAsia" w:ascii="Times New Roman" w:hAnsi="Times New Roman" w:eastAsia="Times New Roman"/>
          <w:sz w:val="24"/>
          <w:szCs w:val="24"/>
        </w:rPr>
        <w:t>Der Kläger 客户姓名 hat einen auf Geldzahlung gerichteten Anspruch sowie einen Arrestgrund im Sinne der §§ 916, 917 und 920 Abs. 2 ZPO glaubhaft gemacht. Nach den vorgelegten Unterlagen bestehen Anhaltspunkte für Ansprüche auf Schadensersatz und Rückzahlung wegen täuschungsbedingter Vermögensverfügungen und ungerechtfertigter Bereicherung. Nach den Ermittlungen von Rechtsanwalt Maximilian Weber der Whitfield &amp; Crane PartG mbB wurde der Kläger durch Täuschung dazu veranlasst, Gelder im Zusammenhang mit dem streitgegenständlichen Geschehen zu übertragen oder einzuzahlen.</w:t>
      </w:r>
    </w:p>
    <w:p w14:paraId="512CEF6D">
      <w:pPr>
        <w:spacing w:after="220" w:line="379" w:lineRule="auto"/>
        <w:jc w:val="both"/>
        <w:rPr>
          <w:sz w:val="24"/>
          <w:szCs w:val="24"/>
        </w:rPr>
      </w:pPr>
      <w:r>
        <w:rPr>
          <w:rFonts w:ascii="Times New Roman" w:hAnsi="Times New Roman" w:eastAsia="Times New Roman"/>
          <w:sz w:val="24"/>
          <w:szCs w:val="24"/>
        </w:rPr>
        <w:t>Die vorgelegten Ermittlungsunterlagen legen ferner nahe, dass die streitgegenständlichen Gelder auf eine bei Bitget geführte Verwahrwallet übertragen und in USDT-Token umgewandelt wurden. Der Kläger 客户姓名 macht einen unmittelbaren Verlust von €客户损失的本金 (Euro) geltend. Der nach den vorgelegten Unterlagen dem streitgegenständlichen Geschehen zuordenbare Bestand auf der bezeichneten Verwahrwallet beträgt 5.628.751,37 USDT.</w:t>
      </w:r>
    </w:p>
    <w:p w14:paraId="6F826F24">
      <w:pPr>
        <w:spacing w:before="160"/>
        <w:jc w:val="both"/>
      </w:pPr>
    </w:p>
    <w:p w14:paraId="701C7D9B">
      <w:pPr>
        <w:rPr>
          <w:sz w:val="24"/>
          <w:szCs w:val="24"/>
        </w:rPr>
      </w:pPr>
    </w:p>
    <w:p w14:paraId="386DB53F">
      <w:pPr>
        <w:spacing w:after="260"/>
        <w:jc w:val="center"/>
        <w:rPr>
          <w:sz w:val="24"/>
          <w:szCs w:val="24"/>
        </w:rPr>
      </w:pPr>
      <w:r>
        <w:rPr>
          <w:b/>
          <w:sz w:val="24"/>
          <w:szCs w:val="24"/>
        </w:rPr>
        <w:t>EILBESCHLUSS – FORTSETZUNG</w:t>
      </w:r>
    </w:p>
    <w:p w14:paraId="39FA120B">
      <w:pPr>
        <w:spacing w:after="220" w:line="379" w:lineRule="auto"/>
        <w:jc w:val="both"/>
        <w:rPr>
          <w:sz w:val="24"/>
          <w:szCs w:val="24"/>
        </w:rPr>
      </w:pPr>
      <w:r>
        <w:rPr>
          <w:rFonts w:ascii="Times New Roman" w:hAnsi="Times New Roman" w:eastAsia="Times New Roman"/>
          <w:sz w:val="24"/>
          <w:szCs w:val="24"/>
        </w:rPr>
        <w:t>Nach den vorgelegten Unterlagen bestehen Anhaltspunkte dafür, dass die bezeichnete Adresse neben Vermögenswerten des Klägers 客户姓名 auch Vermögenswerte weiterer Geschädigter enthält. Ohne eine Sicherungsmaßnahme besteht die Gefahr, dass eine spätere Vollstreckung vereitelt oder wesentlich erschwert wird. Der Arrestgrund ist damit für die Zwecke dieses Eilverfahrens glaubhaft gemacht.</w:t>
      </w:r>
    </w:p>
    <w:p w14:paraId="48D72614">
      <w:pPr>
        <w:spacing w:after="140" w:line="348" w:lineRule="auto"/>
        <w:jc w:val="left"/>
        <w:rPr>
          <w:sz w:val="24"/>
          <w:szCs w:val="24"/>
        </w:rPr>
      </w:pPr>
      <w:r>
        <w:rPr>
          <w:rFonts w:ascii="Times New Roman" w:hAnsi="Times New Roman" w:eastAsia="Times New Roman"/>
          <w:b/>
          <w:sz w:val="24"/>
          <w:szCs w:val="24"/>
        </w:rPr>
        <w:t>2. Dinglicher Arrest und einstweilige Sicherung der USDT-Vermögenswerte.</w:t>
      </w:r>
    </w:p>
    <w:p w14:paraId="1E58DD97">
      <w:pPr>
        <w:spacing w:after="220" w:line="379" w:lineRule="auto"/>
        <w:jc w:val="both"/>
        <w:rPr>
          <w:sz w:val="24"/>
          <w:szCs w:val="24"/>
        </w:rPr>
      </w:pPr>
      <w:r>
        <w:rPr>
          <w:rFonts w:ascii="Times New Roman" w:hAnsi="Times New Roman" w:eastAsia="Times New Roman"/>
          <w:sz w:val="24"/>
          <w:szCs w:val="24"/>
        </w:rPr>
        <w:t>Zur Sicherung des geltend gemachten Geldanspruchs wird der dingliche Arrest in die dem Beklagten zuzurechnenden USDT-Vermögenswerte bis zu einem Höchstbetrag von 5.628.751,37 USDT angeordnet, soweit diese der folgenden Bitget-Verwahrwallet-Adresse zugeordnet und dem Vollstreckungszugriff zugänglich sind: 0x8a6babc576e8abd7299dca35cccaeb3d134bdeb6.</w:t>
      </w:r>
    </w:p>
    <w:p w14:paraId="0EDFD526">
      <w:pPr>
        <w:spacing w:after="220" w:line="379" w:lineRule="auto"/>
        <w:jc w:val="both"/>
        <w:rPr>
          <w:sz w:val="24"/>
          <w:szCs w:val="24"/>
        </w:rPr>
      </w:pPr>
      <w:r>
        <w:rPr>
          <w:rFonts w:ascii="Times New Roman" w:hAnsi="Times New Roman" w:eastAsia="Times New Roman"/>
          <w:sz w:val="24"/>
          <w:szCs w:val="24"/>
        </w:rPr>
        <w:t>Tether International, S.A. de C.V. („Tether“) und Bitget haben, soweit ihnen gegenüber eine wirksame Zustellung und Vollziehbarkeit gegeben ist, technisch mögliche Maßnahmen zu treffen, um Übertragungen, Abhebungen, Umwandlungen oder sonstige Verfügungen über die von diesem Beschluss erfassten USDT bis zu einer weiteren gerichtlichen Entscheidung zu verhindern.</w:t>
      </w:r>
    </w:p>
    <w:p w14:paraId="41BDA59E">
      <w:pPr>
        <w:spacing w:after="140" w:line="348" w:lineRule="auto"/>
        <w:jc w:val="left"/>
        <w:rPr>
          <w:sz w:val="24"/>
          <w:szCs w:val="24"/>
        </w:rPr>
      </w:pPr>
      <w:r>
        <w:rPr>
          <w:rFonts w:ascii="Times New Roman" w:hAnsi="Times New Roman" w:eastAsia="Times New Roman"/>
          <w:b/>
          <w:sz w:val="24"/>
          <w:szCs w:val="24"/>
        </w:rPr>
        <w:t>3. Vorläufige Sicherung und spätere Rückgewähr.</w:t>
      </w:r>
    </w:p>
    <w:p w14:paraId="65257670">
      <w:pPr>
        <w:spacing w:after="220" w:line="379" w:lineRule="auto"/>
        <w:jc w:val="both"/>
        <w:rPr>
          <w:sz w:val="24"/>
          <w:szCs w:val="24"/>
        </w:rPr>
      </w:pPr>
      <w:r>
        <w:rPr>
          <w:rFonts w:ascii="Times New Roman" w:hAnsi="Times New Roman" w:eastAsia="Times New Roman"/>
          <w:sz w:val="24"/>
          <w:szCs w:val="24"/>
        </w:rPr>
        <w:t>Die durch diesen Beschluss angeordnete Maßnahme dient der Sicherung. Eine endgültige Rückgewähr an den Kläger 客户姓名 oder weitere Geschädigte erfolgt erst aufgrund eines vollstreckbaren Titels, einer wirksamen Einigung oder einer weiteren gerichtlichen Entscheidung über die Verteilung. Bis dahin bleiben die erfassten Vermögenswerte gesichert.</w:t>
      </w:r>
    </w:p>
    <w:p w14:paraId="383C2146">
      <w:pPr>
        <w:spacing w:after="140" w:line="372" w:lineRule="auto"/>
        <w:ind w:left="173" w:firstLine="0"/>
        <w:jc w:val="both"/>
        <w:rPr>
          <w:sz w:val="24"/>
          <w:szCs w:val="24"/>
        </w:rPr>
      </w:pPr>
      <w:r>
        <w:rPr>
          <w:rFonts w:ascii="Times New Roman" w:hAnsi="Times New Roman" w:eastAsia="Times New Roman"/>
          <w:sz w:val="24"/>
          <w:szCs w:val="24"/>
        </w:rPr>
        <w:t>1. Ein etwaiger Verteilungsplan hat die nachgewiesenen Verlustbeträge der identifizierten Geschädigten in EUR nachvollziehbar auszuweisen und ist dem Gericht zur weiteren Entscheidung vorzulegen.</w:t>
      </w:r>
    </w:p>
    <w:p w14:paraId="4160F924">
      <w:pPr>
        <w:spacing w:after="140" w:line="372" w:lineRule="auto"/>
        <w:ind w:left="173" w:firstLine="0"/>
        <w:jc w:val="both"/>
        <w:rPr>
          <w:sz w:val="24"/>
          <w:szCs w:val="24"/>
        </w:rPr>
      </w:pPr>
      <w:r>
        <w:rPr>
          <w:rFonts w:ascii="Times New Roman" w:hAnsi="Times New Roman" w:eastAsia="Times New Roman"/>
          <w:sz w:val="24"/>
          <w:szCs w:val="24"/>
        </w:rPr>
        <w:t>2. Soweit eine spätere Auszahlung in USDT zugelassen wird, ist der auszuzahlende USDT-Betrag anhand eines dokumentierten und zum Auszahlungszeitpunkt maßgeblichen USDT/EUR-Kurses zu bestimmen.</w:t>
      </w:r>
    </w:p>
    <w:p w14:paraId="205B32ED">
      <w:pPr>
        <w:jc w:val="both"/>
      </w:pPr>
      <w:r>
        <w:rPr>
          <w:rFonts w:hint="eastAsia" w:eastAsia="宋体"/>
          <w:sz w:val="24"/>
          <w:szCs w:val="24"/>
          <w:lang w:eastAsia="zh-CN"/>
        </w:rPr>
        <w:drawing>
          <wp:anchor distT="0" distB="0" distL="114300" distR="114300" simplePos="0" relativeHeight="251662336" behindDoc="1" locked="0" layoutInCell="1" allowOverlap="1">
            <wp:simplePos x="0" y="0"/>
            <wp:positionH relativeFrom="column">
              <wp:posOffset>4424680</wp:posOffset>
            </wp:positionH>
            <wp:positionV relativeFrom="paragraph">
              <wp:posOffset>-1764665</wp:posOffset>
            </wp:positionV>
            <wp:extent cx="1963420" cy="1963420"/>
            <wp:effectExtent l="0" t="0" r="17780" b="17780"/>
            <wp:wrapNone/>
            <wp:docPr id="6" name="图片 6"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1a2c490-36c9-4eec-8950-43523ede8fa0"/>
                    <pic:cNvPicPr>
                      <a:picLocks noChangeAspect="1"/>
                    </pic:cNvPicPr>
                  </pic:nvPicPr>
                  <pic:blipFill>
                    <a:blip r:embed="rId10">
                      <a:alphaModFix amt="20000"/>
                    </a:blip>
                    <a:stretch>
                      <a:fillRect/>
                    </a:stretch>
                  </pic:blipFill>
                  <pic:spPr>
                    <a:xfrm>
                      <a:off x="0" y="0"/>
                      <a:ext cx="1963420" cy="1963420"/>
                    </a:xfrm>
                    <a:prstGeom prst="rect">
                      <a:avLst/>
                    </a:prstGeom>
                  </pic:spPr>
                </pic:pic>
              </a:graphicData>
            </a:graphic>
          </wp:anchor>
        </w:drawing>
      </w:r>
    </w:p>
    <w:p w14:paraId="39FDEDFC">
      <w:r>
        <w:br w:type="page"/>
      </w:r>
    </w:p>
    <w:p w14:paraId="28BFBD14">
      <w:pPr>
        <w:spacing w:after="260"/>
        <w:jc w:val="center"/>
        <w:rPr>
          <w:sz w:val="24"/>
          <w:szCs w:val="24"/>
        </w:rPr>
      </w:pPr>
      <w:r>
        <w:rPr>
          <w:b/>
          <w:sz w:val="24"/>
          <w:szCs w:val="24"/>
        </w:rPr>
        <w:t>EILBESCHLUSS – FORTSETZUNG</w:t>
      </w:r>
    </w:p>
    <w:p w14:paraId="714F732E">
      <w:pPr>
        <w:spacing w:after="140" w:line="372" w:lineRule="auto"/>
        <w:ind w:left="173" w:firstLine="0"/>
        <w:jc w:val="both"/>
        <w:rPr>
          <w:sz w:val="24"/>
          <w:szCs w:val="24"/>
        </w:rPr>
      </w:pPr>
      <w:r>
        <w:rPr>
          <w:rFonts w:hint="eastAsia" w:ascii="Times New Roman" w:hAnsi="Times New Roman" w:eastAsia="Times New Roman"/>
          <w:sz w:val="24"/>
          <w:szCs w:val="24"/>
        </w:rPr>
        <w:t>3. Der Kläger hat nach Durchführung der Sicherungsmaßnahme einen nachvollziehbaren Verteilungsbericht mit den zugrunde gelegten Nachweisen zur gerichtlichen Prüfung vorzulegen.</w:t>
      </w:r>
    </w:p>
    <w:p w14:paraId="7AB13470">
      <w:pPr>
        <w:spacing w:after="220" w:line="379" w:lineRule="auto"/>
        <w:jc w:val="both"/>
        <w:rPr>
          <w:rFonts w:hint="eastAsia" w:eastAsia="宋体"/>
          <w:sz w:val="24"/>
          <w:szCs w:val="24"/>
          <w:lang w:val="en-US" w:eastAsia="zh-CN"/>
        </w:rPr>
      </w:pPr>
      <w:r>
        <w:rPr>
          <w:rFonts w:ascii="Times New Roman" w:hAnsi="Times New Roman" w:eastAsia="Times New Roman"/>
          <w:sz w:val="24"/>
          <w:szCs w:val="24"/>
        </w:rPr>
        <w:t>Der vom Kläger 客户姓名 geltend gemachte und für dieses Verfahren zugrunde gelegte Verlust beträgt €客户损失的本金.</w:t>
      </w:r>
    </w:p>
    <w:p w14:paraId="77771D51">
      <w:pPr>
        <w:spacing w:after="140" w:line="348" w:lineRule="auto"/>
        <w:jc w:val="left"/>
        <w:rPr>
          <w:sz w:val="24"/>
          <w:szCs w:val="24"/>
        </w:rPr>
      </w:pPr>
      <w:r>
        <w:rPr>
          <w:rFonts w:ascii="Times New Roman" w:hAnsi="Times New Roman" w:eastAsia="Times New Roman"/>
          <w:b/>
          <w:sz w:val="24"/>
          <w:szCs w:val="24"/>
        </w:rPr>
        <w:t>4. Auskunfts- und Berichtspflichten.</w:t>
      </w:r>
    </w:p>
    <w:p w14:paraId="0DEE3020">
      <w:pPr>
        <w:spacing w:after="220" w:line="379" w:lineRule="auto"/>
        <w:jc w:val="both"/>
        <w:rPr>
          <w:sz w:val="24"/>
          <w:szCs w:val="24"/>
        </w:rPr>
      </w:pPr>
      <w:r>
        <w:rPr>
          <w:rFonts w:ascii="Times New Roman" w:hAnsi="Times New Roman" w:eastAsia="Times New Roman"/>
          <w:sz w:val="24"/>
          <w:szCs w:val="24"/>
        </w:rPr>
        <w:t>Soweit dies im konkreten Verfahren prozessrechtlich zulässig und ihnen gegenüber wirksam angeordnet ist, haben Tether International, S.A. de C.V. und Bitget die für die Sicherungsmaßnahme erforderlichen Auskünfte und Unterlagen bereitzustellen, insbesondere:</w:t>
      </w:r>
    </w:p>
    <w:p w14:paraId="3D156B66">
      <w:pPr>
        <w:spacing w:after="140" w:line="372" w:lineRule="auto"/>
        <w:ind w:left="173" w:firstLine="0"/>
        <w:jc w:val="both"/>
        <w:rPr>
          <w:sz w:val="24"/>
          <w:szCs w:val="24"/>
        </w:rPr>
      </w:pPr>
      <w:r>
        <w:rPr>
          <w:rFonts w:ascii="Times New Roman" w:hAnsi="Times New Roman" w:eastAsia="Times New Roman"/>
          <w:sz w:val="24"/>
          <w:szCs w:val="24"/>
        </w:rPr>
        <w:t>1. den zum maßgeblichen Zeitpunkt feststellbaren Saldo und die verfügbare Transaktionshistorie der bezeichneten Adresse;</w:t>
      </w:r>
    </w:p>
    <w:p w14:paraId="10933F5A">
      <w:pPr>
        <w:spacing w:after="140" w:line="372" w:lineRule="auto"/>
        <w:ind w:left="173" w:firstLine="0"/>
        <w:jc w:val="both"/>
        <w:rPr>
          <w:sz w:val="24"/>
          <w:szCs w:val="24"/>
        </w:rPr>
      </w:pPr>
      <w:r>
        <w:rPr>
          <w:rFonts w:ascii="Times New Roman" w:hAnsi="Times New Roman" w:eastAsia="Times New Roman"/>
          <w:sz w:val="24"/>
          <w:szCs w:val="24"/>
        </w:rPr>
        <w:t>2. verfügbare Blockchain- und Systemnachweise zur technischen Verwaltung oder Sperrbarkeit der betroffenen USDT-Token;</w:t>
      </w:r>
    </w:p>
    <w:p w14:paraId="22A37C3B">
      <w:pPr>
        <w:spacing w:after="140" w:line="372" w:lineRule="auto"/>
        <w:ind w:left="173" w:firstLine="0"/>
        <w:jc w:val="both"/>
        <w:rPr>
          <w:sz w:val="24"/>
          <w:szCs w:val="24"/>
        </w:rPr>
      </w:pPr>
      <w:r>
        <w:rPr>
          <w:rFonts w:ascii="Times New Roman" w:hAnsi="Times New Roman" w:eastAsia="Times New Roman"/>
          <w:sz w:val="24"/>
          <w:szCs w:val="24"/>
        </w:rPr>
        <w:t>3. eine schriftliche Bestätigung über die technisch umgesetzten Sicherungsmaßnahmen.</w:t>
      </w:r>
    </w:p>
    <w:p w14:paraId="56D6FCBB">
      <w:pPr>
        <w:spacing w:after="220" w:line="379" w:lineRule="auto"/>
        <w:jc w:val="both"/>
        <w:rPr>
          <w:sz w:val="24"/>
          <w:szCs w:val="24"/>
        </w:rPr>
      </w:pPr>
      <w:r>
        <w:rPr>
          <w:rFonts w:ascii="Times New Roman" w:hAnsi="Times New Roman" w:eastAsia="Times New Roman"/>
          <w:sz w:val="24"/>
          <w:szCs w:val="24"/>
        </w:rPr>
        <w:t>Die Durchsetzung gerichtlicher Anordnungen richtet sich nach den jeweils anwendbaren Vorschriften der ZPO und des Vollstreckungsrechts.</w:t>
      </w:r>
    </w:p>
    <w:p w14:paraId="3FD7E487">
      <w:pPr>
        <w:spacing w:after="140" w:line="348" w:lineRule="auto"/>
        <w:jc w:val="left"/>
        <w:rPr>
          <w:sz w:val="24"/>
          <w:szCs w:val="24"/>
        </w:rPr>
      </w:pPr>
      <w:r>
        <w:rPr>
          <w:rFonts w:ascii="Times New Roman" w:hAnsi="Times New Roman" w:eastAsia="Times New Roman"/>
          <w:b/>
          <w:sz w:val="24"/>
          <w:szCs w:val="24"/>
        </w:rPr>
        <w:t>5. Zustellung und sofortige Wirksamkeit.</w:t>
      </w:r>
    </w:p>
    <w:p w14:paraId="72CD0492">
      <w:pPr>
        <w:spacing w:after="220" w:line="379" w:lineRule="auto"/>
        <w:jc w:val="both"/>
        <w:rPr>
          <w:sz w:val="24"/>
          <w:szCs w:val="24"/>
        </w:rPr>
      </w:pPr>
      <w:r>
        <w:rPr>
          <w:rFonts w:ascii="Times New Roman" w:hAnsi="Times New Roman" w:eastAsia="Times New Roman"/>
          <w:sz w:val="24"/>
          <w:szCs w:val="24"/>
        </w:rPr>
        <w:t>Die Zustellung dieses Arrestbeschlusses richtet sich nach den Vorschriften der ZPO; die Partei, die den Arrest erwirkt hat, hat die Zustellung zu veranlassen (§ 922 Abs. 2 ZPO). Eine zusätzliche Übermittlung per E-Mail oder Kurier kann der Information dienen, ersetzt jedoch eine gesetzlich erforderliche förmliche Zustellung nicht.</w:t>
      </w:r>
    </w:p>
    <w:p w14:paraId="35D988F2">
      <w:r>
        <w:br w:type="page"/>
      </w:r>
      <w:r>
        <w:rPr>
          <w:rFonts w:hint="eastAsia" w:eastAsia="宋体"/>
          <w:sz w:val="24"/>
          <w:szCs w:val="24"/>
          <w:lang w:eastAsia="zh-CN"/>
        </w:rPr>
        <w:drawing>
          <wp:anchor distT="0" distB="0" distL="114300" distR="114300" simplePos="0" relativeHeight="251661312" behindDoc="1" locked="0" layoutInCell="1" allowOverlap="1">
            <wp:simplePos x="0" y="0"/>
            <wp:positionH relativeFrom="column">
              <wp:posOffset>4424680</wp:posOffset>
            </wp:positionH>
            <wp:positionV relativeFrom="paragraph">
              <wp:posOffset>1193165</wp:posOffset>
            </wp:positionV>
            <wp:extent cx="1963420" cy="1963420"/>
            <wp:effectExtent l="0" t="0" r="17780" b="17780"/>
            <wp:wrapNone/>
            <wp:docPr id="3" name="图片 3"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1a2c490-36c9-4eec-8950-43523ede8fa0"/>
                    <pic:cNvPicPr>
                      <a:picLocks noChangeAspect="1"/>
                    </pic:cNvPicPr>
                  </pic:nvPicPr>
                  <pic:blipFill>
                    <a:blip r:embed="rId10">
                      <a:alphaModFix amt="20000"/>
                    </a:blip>
                    <a:stretch>
                      <a:fillRect/>
                    </a:stretch>
                  </pic:blipFill>
                  <pic:spPr>
                    <a:xfrm>
                      <a:off x="0" y="0"/>
                      <a:ext cx="1963420" cy="1963420"/>
                    </a:xfrm>
                    <a:prstGeom prst="rect">
                      <a:avLst/>
                    </a:prstGeom>
                  </pic:spPr>
                </pic:pic>
              </a:graphicData>
            </a:graphic>
          </wp:anchor>
        </w:drawing>
      </w:r>
    </w:p>
    <w:p w14:paraId="543C04EC">
      <w:pPr>
        <w:spacing w:after="260"/>
        <w:jc w:val="center"/>
        <w:rPr>
          <w:sz w:val="24"/>
          <w:szCs w:val="24"/>
        </w:rPr>
      </w:pPr>
      <w:r>
        <w:rPr>
          <w:b/>
          <w:sz w:val="24"/>
          <w:szCs w:val="24"/>
        </w:rPr>
        <w:t>EILBESCHLUSS – SCHLUSSSEITE</w:t>
      </w:r>
    </w:p>
    <w:p w14:paraId="30D13714">
      <w:pPr>
        <w:spacing w:after="220" w:line="379" w:lineRule="auto"/>
        <w:jc w:val="both"/>
        <w:rPr>
          <w:sz w:val="24"/>
          <w:szCs w:val="24"/>
        </w:rPr>
      </w:pPr>
      <w:r>
        <w:rPr>
          <w:rFonts w:ascii="Times New Roman" w:hAnsi="Times New Roman" w:eastAsia="Times New Roman"/>
          <w:sz w:val="24"/>
          <w:szCs w:val="24"/>
        </w:rPr>
        <w:t>Dieser Beschluss ist zur Vorlage bei den zuständigen Rechts- und Compliance-Stellen von Tether International, S.A. de C.V. und Bitget bestimmt, soweit dies zur technischen Umsetzung der angeordneten Sicherungsmaßnahme erforderlich ist.</w:t>
      </w:r>
    </w:p>
    <w:p w14:paraId="768F010D">
      <w:pPr>
        <w:spacing w:after="140" w:line="348" w:lineRule="auto"/>
        <w:jc w:val="left"/>
        <w:rPr>
          <w:sz w:val="24"/>
          <w:szCs w:val="24"/>
        </w:rPr>
      </w:pPr>
      <w:r>
        <w:rPr>
          <w:rFonts w:ascii="Times New Roman" w:hAnsi="Times New Roman" w:eastAsia="Times New Roman"/>
          <w:b/>
          <w:sz w:val="24"/>
          <w:szCs w:val="24"/>
        </w:rPr>
        <w:t>6. Dauer und Änderung.</w:t>
      </w:r>
    </w:p>
    <w:p w14:paraId="65A789A0">
      <w:pPr>
        <w:spacing w:after="220" w:line="379" w:lineRule="auto"/>
        <w:jc w:val="both"/>
        <w:rPr>
          <w:sz w:val="24"/>
          <w:szCs w:val="24"/>
        </w:rPr>
      </w:pPr>
      <w:r>
        <w:rPr>
          <w:rFonts w:ascii="Times New Roman" w:hAnsi="Times New Roman" w:eastAsia="Times New Roman"/>
          <w:sz w:val="24"/>
          <w:szCs w:val="24"/>
        </w:rPr>
        <w:t>Die weitere Behandlung und Vollziehung des Arrestes richtet sich nach den §§ 928 ff. ZPO; insbesondere ist die Vollziehungsfrist des § 929 ZPO zu beachten. Änderungen oder eine Aufhebung bleiben einer weiteren gerichtlichen Entscheidung vorbehalten.</w:t>
      </w:r>
      <w:r>
        <w:rPr>
          <w:rFonts w:ascii="Times New Roman" w:hAnsi="Times New Roman" w:eastAsia="Times New Roman"/>
          <w:sz w:val="24"/>
          <w:szCs w:val="24"/>
        </w:rPr>
        <w:br w:type="textWrapping"/>
      </w:r>
      <w:r>
        <w:rPr>
          <w:rFonts w:ascii="Times New Roman" w:hAnsi="Times New Roman" w:eastAsia="Times New Roman"/>
          <w:sz w:val="24"/>
          <w:szCs w:val="24"/>
        </w:rPr>
        <w:t>SO BESCHLOSSEN.</w:t>
      </w:r>
    </w:p>
    <w:tbl>
      <w:tblPr>
        <w:tblStyle w:val="32"/>
        <w:tblW w:w="0" w:type="auto"/>
        <w:jc w:val="center"/>
        <w:tblLayout w:type="fixed"/>
        <w:tblCellMar>
          <w:top w:w="0" w:type="dxa"/>
          <w:left w:w="108" w:type="dxa"/>
          <w:bottom w:w="0" w:type="dxa"/>
          <w:right w:w="108" w:type="dxa"/>
        </w:tblCellMar>
      </w:tblPr>
      <w:tblGrid>
        <w:gridCol w:w="4535"/>
        <w:gridCol w:w="4535"/>
      </w:tblGrid>
      <w:tr w14:paraId="330FC052">
        <w:tblPrEx>
          <w:tblCellMar>
            <w:top w:w="0" w:type="dxa"/>
            <w:left w:w="108" w:type="dxa"/>
            <w:bottom w:w="0" w:type="dxa"/>
            <w:right w:w="108" w:type="dxa"/>
          </w:tblCellMar>
        </w:tblPrEx>
        <w:trPr>
          <w:jc w:val="center"/>
        </w:trPr>
        <w:tc>
          <w:tcPr>
            <w:tcW w:w="4706" w:type="dxa"/>
            <w:tcBorders>
              <w:top w:val="nil"/>
              <w:left w:val="nil"/>
              <w:bottom w:val="nil"/>
              <w:right w:val="nil"/>
            </w:tcBorders>
            <w:vAlign w:val="bottom"/>
          </w:tcPr>
          <w:p w14:paraId="23A4EC9A">
            <w:pPr>
              <w:spacing w:after="0" w:line="372" w:lineRule="auto"/>
              <w:rPr>
                <w:sz w:val="24"/>
                <w:szCs w:val="24"/>
              </w:rPr>
            </w:pPr>
            <w:r>
              <w:rPr>
                <w:rFonts w:hint="eastAsia" w:eastAsia="宋体"/>
                <w:sz w:val="24"/>
                <w:szCs w:val="24"/>
                <w:lang w:val="en-US" w:eastAsia="zh-CN"/>
              </w:rPr>
              <w:t>冻结日期</w:t>
            </w:r>
            <w:r>
              <w:rPr>
                <w:rFonts w:hint="eastAsia" w:eastAsia="宋体"/>
                <w:sz w:val="24"/>
                <w:szCs w:val="24"/>
                <w:lang w:val="en-US" w:eastAsia="zh-CN"/>
              </w:rPr>
              <w:br w:type="textWrapping"/>
            </w:r>
            <w:r>
              <w:rPr>
                <w:rFonts w:hint="eastAsia" w:eastAsia="宋体"/>
                <w:sz w:val="24"/>
                <w:szCs w:val="24"/>
                <w:lang w:val="en-US" w:eastAsia="zh-CN"/>
              </w:rPr>
              <w:t>Berlin</w:t>
            </w:r>
          </w:p>
        </w:tc>
        <w:tc>
          <w:tcPr>
            <w:tcW w:w="4706" w:type="dxa"/>
            <w:tcBorders>
              <w:top w:val="nil"/>
              <w:left w:val="nil"/>
              <w:bottom w:val="nil"/>
              <w:right w:val="nil"/>
            </w:tcBorders>
            <w:vAlign w:val="bottom"/>
          </w:tcPr>
          <w:p w14:paraId="4C35DE44">
            <w:pPr>
              <w:pBdr>
                <w:top w:val="single" w:color="000000" w:sz="6" w:space="1"/>
              </w:pBdr>
              <w:spacing w:after="0" w:line="372" w:lineRule="auto"/>
              <w:rPr>
                <w:sz w:val="24"/>
                <w:szCs w:val="24"/>
              </w:rPr>
            </w:pPr>
            <w:r>
              <w:rPr>
                <w:rFonts w:hint="eastAsia" w:ascii="Times New Roman" w:hAnsi="Times New Roman" w:eastAsia="Times New Roman"/>
                <w:b/>
                <w:sz w:val="24"/>
                <w:szCs w:val="24"/>
              </w:rPr>
              <w:t>Svenja Schröder-Lomb</w:t>
            </w:r>
            <w:r>
              <w:rPr>
                <w:rFonts w:ascii="Times New Roman" w:hAnsi="Times New Roman" w:eastAsia="Times New Roman"/>
                <w:b/>
                <w:sz w:val="24"/>
                <w:szCs w:val="24"/>
              </w:rPr>
              <w:br w:type="textWrapping"/>
            </w:r>
            <w:r>
              <w:rPr>
                <w:rFonts w:ascii="Times New Roman" w:hAnsi="Times New Roman" w:eastAsia="Times New Roman"/>
                <w:b/>
                <w:sz w:val="24"/>
                <w:szCs w:val="24"/>
              </w:rPr>
              <w:t>Richter/in am Landgericht Berlin II</w:t>
            </w:r>
            <w:r>
              <w:rPr>
                <w:rFonts w:ascii="Times New Roman" w:hAnsi="Times New Roman" w:eastAsia="Times New Roman"/>
                <w:b/>
                <w:sz w:val="24"/>
                <w:szCs w:val="24"/>
              </w:rPr>
              <w:br w:type="textWrapping"/>
            </w:r>
            <w:r>
              <w:rPr>
                <w:rFonts w:ascii="Times New Roman" w:hAnsi="Times New Roman" w:eastAsia="Times New Roman"/>
                <w:b/>
                <w:sz w:val="24"/>
                <w:szCs w:val="24"/>
              </w:rPr>
              <w:t>Landgericht Berlin II</w:t>
            </w:r>
          </w:p>
        </w:tc>
      </w:tr>
    </w:tbl>
    <w:p w14:paraId="0F0C566A">
      <w:pPr>
        <w:spacing w:before="320" w:after="160"/>
        <w:rPr>
          <w:sz w:val="24"/>
          <w:szCs w:val="24"/>
        </w:rPr>
      </w:pPr>
      <w:r>
        <w:rPr>
          <w:i/>
          <w:sz w:val="24"/>
          <w:szCs w:val="24"/>
        </w:rPr>
        <w:t>Für den Kläger eingereicht durch:</w:t>
      </w:r>
    </w:p>
    <w:p w14:paraId="4A173C15">
      <w:pPr>
        <w:spacing w:after="0" w:line="355" w:lineRule="auto"/>
        <w:rPr>
          <w:rFonts w:hint="eastAsia" w:ascii="Times New Roman" w:hAnsi="Times New Roman" w:eastAsia="Times New Roman"/>
          <w:sz w:val="24"/>
          <w:szCs w:val="24"/>
        </w:rPr>
      </w:pPr>
      <w:r>
        <w:rPr>
          <w:rFonts w:ascii="Times New Roman" w:hAnsi="Times New Roman" w:eastAsia="Times New Roman"/>
          <w:sz w:val="24"/>
          <w:szCs w:val="24"/>
        </w:rPr>
        <w:t xml:space="preserve">/s/ </w:t>
      </w:r>
      <w:r>
        <w:rPr>
          <w:rFonts w:hint="eastAsia" w:eastAsia="宋体"/>
          <w:sz w:val="24"/>
          <w:szCs w:val="24"/>
          <w:lang w:val="en-US" w:eastAsia="zh-CN"/>
        </w:rPr>
        <w:t>Maximilian Weber</w:t>
      </w:r>
      <w:r>
        <w:rPr>
          <w:rFonts w:ascii="Times New Roman" w:hAnsi="Times New Roman" w:eastAsia="Times New Roman"/>
          <w:sz w:val="24"/>
          <w:szCs w:val="24"/>
        </w:rPr>
        <w:br w:type="textWrapping"/>
      </w:r>
      <w:r>
        <w:rPr>
          <w:rFonts w:hint="eastAsia" w:eastAsia="宋体"/>
          <w:sz w:val="24"/>
          <w:szCs w:val="24"/>
          <w:lang w:val="en-US" w:eastAsia="zh-CN"/>
        </w:rPr>
        <w:t>Maximilian Weber</w:t>
      </w:r>
      <w:r>
        <w:rPr>
          <w:rFonts w:ascii="Times New Roman" w:hAnsi="Times New Roman" w:eastAsia="Times New Roman"/>
          <w:sz w:val="24"/>
          <w:szCs w:val="24"/>
        </w:rPr>
        <w:t>, Rechtsanwalt</w:t>
      </w:r>
      <w:r>
        <w:rPr>
          <w:rFonts w:ascii="Times New Roman" w:hAnsi="Times New Roman" w:eastAsia="Times New Roman"/>
          <w:sz w:val="24"/>
          <w:szCs w:val="24"/>
        </w:rPr>
        <w:br w:type="textWrapping"/>
      </w:r>
      <w:r>
        <w:rPr>
          <w:rFonts w:ascii="Times New Roman" w:hAnsi="Times New Roman" w:eastAsia="Times New Roman"/>
          <w:sz w:val="24"/>
          <w:szCs w:val="24"/>
        </w:rPr>
        <w:t xml:space="preserve">Berufsbezeichnung: </w:t>
      </w:r>
      <w:r>
        <w:rPr>
          <w:rFonts w:hint="eastAsia" w:ascii="Times New Roman" w:hAnsi="Times New Roman" w:eastAsia="Times New Roman"/>
          <w:sz w:val="24"/>
          <w:szCs w:val="24"/>
        </w:rPr>
        <w:t>Rechtsanwalt</w:t>
      </w:r>
      <w:r>
        <w:rPr>
          <w:rFonts w:ascii="Times New Roman" w:hAnsi="Times New Roman" w:eastAsia="Times New Roman"/>
          <w:sz w:val="24"/>
          <w:szCs w:val="24"/>
        </w:rPr>
        <w:br w:type="textWrapping"/>
      </w:r>
      <w:r>
        <w:rPr>
          <w:rFonts w:hint="eastAsia" w:ascii="Times New Roman" w:hAnsi="Times New Roman" w:eastAsia="Times New Roman"/>
          <w:sz w:val="24"/>
          <w:szCs w:val="24"/>
        </w:rPr>
        <w:t>WHITFIELD &amp; CRANE PartG mbB</w:t>
      </w:r>
      <w:r>
        <w:rPr>
          <w:rFonts w:ascii="Times New Roman" w:hAnsi="Times New Roman" w:eastAsia="Times New Roman"/>
          <w:sz w:val="24"/>
          <w:szCs w:val="24"/>
        </w:rPr>
        <w:br w:type="textWrapping"/>
      </w:r>
      <w:r>
        <w:rPr>
          <w:rFonts w:hint="eastAsia" w:ascii="Times New Roman" w:hAnsi="Times New Roman" w:eastAsia="Times New Roman"/>
          <w:sz w:val="24"/>
          <w:szCs w:val="24"/>
        </w:rPr>
        <w:t>12. OG, Büro 1207, Potsdamer Platz 1</w:t>
      </w:r>
    </w:p>
    <w:p w14:paraId="18B99AE4">
      <w:pPr>
        <w:spacing w:after="0" w:line="355" w:lineRule="auto"/>
        <w:rPr>
          <w:rFonts w:ascii="Times New Roman" w:hAnsi="Times New Roman" w:eastAsia="Times New Roman"/>
          <w:sz w:val="24"/>
          <w:szCs w:val="24"/>
        </w:rPr>
      </w:pPr>
      <w:r>
        <w:rPr>
          <w:rFonts w:hint="eastAsia" w:ascii="Times New Roman" w:hAnsi="Times New Roman" w:eastAsia="Times New Roman"/>
          <w:sz w:val="24"/>
          <w:szCs w:val="24"/>
        </w:rPr>
        <w:t>10785 Berlin, Deutschland</w:t>
      </w:r>
      <w:r>
        <w:rPr>
          <w:rFonts w:ascii="Times New Roman" w:hAnsi="Times New Roman" w:eastAsia="Times New Roman"/>
          <w:sz w:val="24"/>
          <w:szCs w:val="24"/>
        </w:rPr>
        <w:br w:type="textWrapping"/>
      </w:r>
      <w:r>
        <w:rPr>
          <w:rFonts w:ascii="Times New Roman" w:hAnsi="Times New Roman" w:eastAsia="Times New Roman"/>
          <w:sz w:val="24"/>
          <w:szCs w:val="24"/>
        </w:rPr>
        <w:t xml:space="preserve">E-Mail: </w:t>
      </w:r>
      <w:r>
        <w:rPr>
          <w:rFonts w:hint="eastAsia" w:ascii="Times New Roman" w:hAnsi="Times New Roman" w:eastAsia="Times New Roman"/>
          <w:sz w:val="24"/>
          <w:szCs w:val="24"/>
        </w:rPr>
        <w:t>whitfieldcranellp@gmail.com</w:t>
      </w:r>
      <w:r>
        <w:rPr>
          <w:rFonts w:ascii="Times New Roman" w:hAnsi="Times New Roman" w:eastAsia="Times New Roman"/>
          <w:sz w:val="24"/>
          <w:szCs w:val="24"/>
        </w:rPr>
        <w:br w:type="textWrapping"/>
      </w:r>
      <w:r>
        <w:rPr>
          <w:rFonts w:ascii="Times New Roman" w:hAnsi="Times New Roman" w:eastAsia="Times New Roman"/>
          <w:sz w:val="24"/>
          <w:szCs w:val="24"/>
        </w:rPr>
        <w:t>Prozessbevollmächtigter des Klägers</w:t>
      </w:r>
    </w:p>
    <w:p w14:paraId="09F43807">
      <w:pPr>
        <w:spacing w:after="0" w:line="355" w:lineRule="auto"/>
        <w:rPr>
          <w:rFonts w:ascii="Times New Roman" w:hAnsi="Times New Roman" w:eastAsia="Times New Roman"/>
          <w:sz w:val="24"/>
          <w:szCs w:val="24"/>
        </w:rPr>
      </w:pPr>
    </w:p>
    <w:p w14:paraId="162D8DD0">
      <w:pPr>
        <w:spacing w:after="0" w:line="355" w:lineRule="auto"/>
        <w:rPr>
          <w:rFonts w:ascii="Times New Roman" w:hAnsi="Times New Roman" w:eastAsia="Times New Roman"/>
          <w:sz w:val="24"/>
          <w:szCs w:val="24"/>
        </w:rPr>
      </w:pPr>
    </w:p>
    <w:p w14:paraId="4116FA26">
      <w:pPr>
        <w:spacing w:after="0" w:line="355" w:lineRule="auto"/>
        <w:rPr>
          <w:rFonts w:hint="eastAsia" w:ascii="Times New Roman" w:hAnsi="Times New Roman" w:eastAsia="Times New Roman"/>
          <w:sz w:val="24"/>
          <w:szCs w:val="24"/>
          <w:lang w:eastAsia="zh-CN"/>
        </w:rPr>
      </w:pPr>
    </w:p>
    <w:tbl>
      <w:tblPr>
        <w:tblStyle w:val="3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4"/>
        <w:gridCol w:w="4814"/>
      </w:tblGrid>
      <w:tr w14:paraId="21D3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14" w:type="dxa"/>
            <w:tcBorders>
              <w:tl2br w:val="nil"/>
              <w:tr2bl w:val="nil"/>
            </w:tcBorders>
            <w:vAlign w:val="top"/>
          </w:tcPr>
          <w:p w14:paraId="66487BA7">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Unterschrift Rechtsanwalt:</w:t>
            </w:r>
          </w:p>
          <w:p w14:paraId="34A4E5D8">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drawing>
                <wp:anchor distT="0" distB="0" distL="114300" distR="114300" simplePos="0" relativeHeight="251662336" behindDoc="0" locked="0" layoutInCell="1" allowOverlap="1">
                  <wp:simplePos x="0" y="0"/>
                  <wp:positionH relativeFrom="column">
                    <wp:posOffset>295275</wp:posOffset>
                  </wp:positionH>
                  <wp:positionV relativeFrom="paragraph">
                    <wp:posOffset>20320</wp:posOffset>
                  </wp:positionV>
                  <wp:extent cx="2531110" cy="843915"/>
                  <wp:effectExtent l="0" t="0" r="2540" b="0"/>
                  <wp:wrapNone/>
                  <wp:docPr id="7" name="图片 7" descr="律师签名-德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律师签名-德国"/>
                          <pic:cNvPicPr>
                            <a:picLocks noChangeAspect="1"/>
                          </pic:cNvPicPr>
                        </pic:nvPicPr>
                        <pic:blipFill>
                          <a:blip r:embed="rId11"/>
                          <a:stretch>
                            <a:fillRect/>
                          </a:stretch>
                        </pic:blipFill>
                        <pic:spPr>
                          <a:xfrm>
                            <a:off x="0" y="0"/>
                            <a:ext cx="2531110" cy="843915"/>
                          </a:xfrm>
                          <a:prstGeom prst="rect">
                            <a:avLst/>
                          </a:prstGeom>
                        </pic:spPr>
                      </pic:pic>
                    </a:graphicData>
                  </a:graphic>
                </wp:anchor>
              </w:drawing>
            </w:r>
          </w:p>
        </w:tc>
        <w:tc>
          <w:tcPr>
            <w:tcW w:w="4814" w:type="dxa"/>
            <w:tcBorders>
              <w:tl2br w:val="nil"/>
              <w:tr2bl w:val="nil"/>
            </w:tcBorders>
            <w:vAlign w:val="top"/>
          </w:tcPr>
          <w:p w14:paraId="7881BF5A">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drawing>
                <wp:anchor distT="0" distB="0" distL="114300" distR="114300" simplePos="0" relativeHeight="251661312" behindDoc="0" locked="0" layoutInCell="1" allowOverlap="1">
                  <wp:simplePos x="0" y="0"/>
                  <wp:positionH relativeFrom="column">
                    <wp:posOffset>438785</wp:posOffset>
                  </wp:positionH>
                  <wp:positionV relativeFrom="paragraph">
                    <wp:posOffset>327660</wp:posOffset>
                  </wp:positionV>
                  <wp:extent cx="2200910" cy="733425"/>
                  <wp:effectExtent l="0" t="0" r="8890" b="0"/>
                  <wp:wrapNone/>
                  <wp:docPr id="5" name="图片 5" descr="德国法院法官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德国法院法官签名"/>
                          <pic:cNvPicPr>
                            <a:picLocks noChangeAspect="1"/>
                          </pic:cNvPicPr>
                        </pic:nvPicPr>
                        <pic:blipFill>
                          <a:blip r:embed="rId12"/>
                          <a:stretch>
                            <a:fillRect/>
                          </a:stretch>
                        </pic:blipFill>
                        <pic:spPr>
                          <a:xfrm>
                            <a:off x="0" y="0"/>
                            <a:ext cx="2200910" cy="733425"/>
                          </a:xfrm>
                          <a:prstGeom prst="rect">
                            <a:avLst/>
                          </a:prstGeom>
                        </pic:spPr>
                      </pic:pic>
                    </a:graphicData>
                  </a:graphic>
                </wp:anchor>
              </w:drawing>
            </w:r>
            <w:r>
              <w:rPr>
                <w:rFonts w:hint="eastAsia" w:ascii="Times New Roman" w:hAnsi="Times New Roman" w:eastAsia="Times New Roman"/>
                <w:sz w:val="24"/>
                <w:szCs w:val="24"/>
                <w:lang w:eastAsia="zh-CN"/>
              </w:rPr>
              <w:drawing>
                <wp:anchor distT="0" distB="0" distL="114300" distR="114300" simplePos="0" relativeHeight="251660288" behindDoc="0" locked="0" layoutInCell="1" allowOverlap="1">
                  <wp:simplePos x="0" y="0"/>
                  <wp:positionH relativeFrom="column">
                    <wp:posOffset>524510</wp:posOffset>
                  </wp:positionH>
                  <wp:positionV relativeFrom="paragraph">
                    <wp:posOffset>387985</wp:posOffset>
                  </wp:positionV>
                  <wp:extent cx="1410970" cy="357505"/>
                  <wp:effectExtent l="0" t="0" r="17780" b="4445"/>
                  <wp:wrapNone/>
                  <wp:docPr id="8" name="图片 8" descr="纽约州法官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纽约州法官签名(1)"/>
                          <pic:cNvPicPr>
                            <a:picLocks noChangeAspect="1"/>
                          </pic:cNvPicPr>
                        </pic:nvPicPr>
                        <pic:blipFill>
                          <a:blip r:embed="rId13"/>
                          <a:stretch>
                            <a:fillRect/>
                          </a:stretch>
                        </pic:blipFill>
                        <pic:spPr>
                          <a:xfrm>
                            <a:off x="0" y="0"/>
                            <a:ext cx="1410970" cy="357505"/>
                          </a:xfrm>
                          <a:prstGeom prst="rect">
                            <a:avLst/>
                          </a:prstGeom>
                        </pic:spPr>
                      </pic:pic>
                    </a:graphicData>
                  </a:graphic>
                </wp:anchor>
              </w:drawing>
            </w:r>
            <w:r>
              <w:rPr>
                <w:rFonts w:hint="eastAsia" w:eastAsia="宋体"/>
                <w:sz w:val="24"/>
                <w:szCs w:val="24"/>
                <w:lang w:eastAsia="zh-CN"/>
              </w:rPr>
              <w:drawing>
                <wp:anchor distT="0" distB="0" distL="114300" distR="114300" simplePos="0" relativeHeight="251659264" behindDoc="1" locked="0" layoutInCell="1" allowOverlap="1">
                  <wp:simplePos x="0" y="0"/>
                  <wp:positionH relativeFrom="column">
                    <wp:posOffset>1367790</wp:posOffset>
                  </wp:positionH>
                  <wp:positionV relativeFrom="paragraph">
                    <wp:posOffset>230505</wp:posOffset>
                  </wp:positionV>
                  <wp:extent cx="1963420" cy="1963420"/>
                  <wp:effectExtent l="0" t="0" r="17780" b="17780"/>
                  <wp:wrapNone/>
                  <wp:docPr id="1" name="图片 1" descr="81a2c490-36c9-4eec-8950-43523ede8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1a2c490-36c9-4eec-8950-43523ede8fa0"/>
                          <pic:cNvPicPr>
                            <a:picLocks noChangeAspect="1"/>
                          </pic:cNvPicPr>
                        </pic:nvPicPr>
                        <pic:blipFill>
                          <a:blip r:embed="rId10">
                            <a:alphaModFix amt="20000"/>
                          </a:blip>
                          <a:stretch>
                            <a:fillRect/>
                          </a:stretch>
                        </pic:blipFill>
                        <pic:spPr>
                          <a:xfrm>
                            <a:off x="0" y="0"/>
                            <a:ext cx="1963420" cy="1963420"/>
                          </a:xfrm>
                          <a:prstGeom prst="rect">
                            <a:avLst/>
                          </a:prstGeom>
                        </pic:spPr>
                      </pic:pic>
                    </a:graphicData>
                  </a:graphic>
                </wp:anchor>
              </w:drawing>
            </w:r>
            <w:r>
              <w:rPr>
                <w:rFonts w:hint="eastAsia" w:ascii="Times New Roman" w:hAnsi="Times New Roman" w:eastAsia="Times New Roman"/>
                <w:sz w:val="24"/>
                <w:szCs w:val="24"/>
                <w:lang w:eastAsia="zh-CN"/>
              </w:rPr>
              <w:t>Unterschrift Gericht:</w:t>
            </w:r>
          </w:p>
        </w:tc>
      </w:tr>
      <w:tr w14:paraId="2B0AE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5EE1EA2D">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t>Name:</w:t>
            </w:r>
          </w:p>
          <w:p w14:paraId="2BAC5F2C">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64AE9FA1">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t xml:space="preserve">Name: </w:t>
            </w:r>
          </w:p>
        </w:tc>
      </w:tr>
      <w:tr w14:paraId="54D8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01B7F026">
            <w:pPr>
              <w:spacing w:after="0" w:line="355" w:lineRule="auto"/>
              <w:jc w:val="left"/>
              <w:rPr>
                <w:rFonts w:hint="eastAsia" w:ascii="Times New Roman" w:hAnsi="Times New Roman" w:eastAsia="Times New Roman"/>
                <w:sz w:val="24"/>
                <w:szCs w:val="24"/>
                <w:lang w:eastAsia="zh-CN"/>
              </w:rPr>
            </w:pPr>
            <w:r>
              <w:rPr>
                <w:rFonts w:hint="eastAsia"/>
                <w:sz w:val="24"/>
                <w:szCs w:val="24"/>
                <w:lang w:val="en-US" w:eastAsia="zh-CN"/>
              </w:rPr>
              <w:t>冻结日期</w:t>
            </w:r>
          </w:p>
        </w:tc>
        <w:tc>
          <w:tcPr>
            <w:tcW w:w="4814" w:type="dxa"/>
            <w:tcBorders>
              <w:tl2br w:val="nil"/>
              <w:tr2bl w:val="nil"/>
            </w:tcBorders>
            <w:vAlign w:val="top"/>
          </w:tcPr>
          <w:p w14:paraId="7CE8D742">
            <w:pPr>
              <w:spacing w:after="0" w:line="355" w:lineRule="auto"/>
              <w:jc w:val="left"/>
              <w:rPr>
                <w:rFonts w:hint="default" w:ascii="Times New Roman" w:hAnsi="Times New Roman" w:eastAsia="Times New Roman"/>
                <w:sz w:val="24"/>
                <w:szCs w:val="24"/>
                <w:vertAlign w:val="baseline"/>
                <w:lang w:val="en-US" w:eastAsia="zh-CN"/>
              </w:rPr>
            </w:pPr>
            <w:r>
              <w:rPr>
                <w:rFonts w:hint="eastAsia"/>
                <w:sz w:val="24"/>
                <w:szCs w:val="24"/>
                <w:lang w:val="en-US" w:eastAsia="zh-CN"/>
              </w:rPr>
              <w:t>冻结日期</w:t>
            </w:r>
          </w:p>
        </w:tc>
      </w:tr>
    </w:tbl>
    <w:p w14:paraId="28958669">
      <w:pPr>
        <w:spacing w:after="0" w:line="355" w:lineRule="auto"/>
        <w:rPr>
          <w:rFonts w:hint="eastAsia" w:ascii="Times New Roman" w:hAnsi="Times New Roman" w:eastAsia="Times New Roman"/>
          <w:sz w:val="24"/>
          <w:szCs w:val="24"/>
          <w:lang w:eastAsia="zh-CN"/>
        </w:rPr>
      </w:pPr>
    </w:p>
    <w:sectPr>
      <w:headerReference r:id="rId5" w:type="default"/>
      <w:footerReference r:id="rId6" w:type="default"/>
      <w:pgSz w:w="11906" w:h="16838"/>
      <w:pgMar w:top="1020" w:right="1247" w:bottom="1020" w:left="1247" w:header="454" w:footer="454"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方正FW筑紫明朝 简 M">
    <w:altName w:val="宋体"/>
    <w:panose1 w:val="02000600000000000000"/>
    <w:charset w:val="86"/>
    <w:family w:val="auto"/>
    <w:pitch w:val="default"/>
    <w:sig w:usb0="00000000" w:usb1="00000000" w:usb2="00000012"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656F">
    <w:pPr>
      <w:pStyle w:val="24"/>
      <w:pBdr>
        <w:top w:val="single" w:color="BDBDBD" w:sz="6" w:space="1"/>
      </w:pBdr>
      <w:tabs>
        <w:tab w:val="right" w:pos="9412"/>
      </w:tabs>
      <w:spacing w:before="60" w:after="0"/>
      <w:jc w:val="left"/>
    </w:pPr>
    <w:r>
      <w:rPr>
        <w:color w:val="666666"/>
        <w:sz w:val="17"/>
      </w:rPr>
      <w:t>Eilbeschluss Vermögenssicherung</w:t>
    </w:r>
    <w:r>
      <w:rPr>
        <w:color w:val="666666"/>
        <w:sz w:val="17"/>
      </w:rPr>
      <w:tab/>
    </w:r>
    <w:r>
      <w:rPr>
        <w:color w:val="666666"/>
        <w:sz w:val="17"/>
      </w:rPr>
      <w:t xml:space="preserve">Seite </w:t>
    </w:r>
    <w:r>
      <w:rPr>
        <w:color w:val="666666"/>
        <w:sz w:val="17"/>
      </w:rPr>
      <w:fldChar w:fldCharType="begin"/>
    </w:r>
    <w:r>
      <w:rPr>
        <w:color w:val="666666"/>
        <w:sz w:val="17"/>
      </w:rPr>
      <w:instrText xml:space="preserve">PAGE</w:instrText>
    </w:r>
    <w:r>
      <w:rPr>
        <w:color w:val="666666"/>
        <w:sz w:val="17"/>
      </w:rPr>
      <w:fldChar w:fldCharType="separate"/>
    </w:r>
    <w:r>
      <w:rPr>
        <w:color w:val="666666"/>
        <w:sz w:val="17"/>
      </w:rPr>
      <w:t>1</w:t>
    </w:r>
    <w:r>
      <w:rPr>
        <w:color w:val="666666"/>
        <w:sz w:val="17"/>
      </w:rPr>
      <w:fldChar w:fldCharType="end"/>
    </w:r>
    <w:r>
      <w:rPr>
        <w:color w:val="666666"/>
        <w:sz w:val="17"/>
      </w:rPr>
      <w:t xml:space="preserve"> von </w:t>
    </w:r>
    <w:r>
      <w:rPr>
        <w:color w:val="666666"/>
        <w:sz w:val="17"/>
      </w:rPr>
      <w:fldChar w:fldCharType="begin"/>
    </w:r>
    <w:r>
      <w:rPr>
        <w:color w:val="666666"/>
        <w:sz w:val="17"/>
      </w:rPr>
      <w:instrText xml:space="preserve">NUMPAGES</w:instrText>
    </w:r>
    <w:r>
      <w:rPr>
        <w:color w:val="666666"/>
        <w:sz w:val="17"/>
      </w:rPr>
      <w:fldChar w:fldCharType="separate"/>
    </w:r>
    <w:r>
      <w:rPr>
        <w:color w:val="666666"/>
        <w:sz w:val="17"/>
      </w:rPr>
      <w:t>1</w:t>
    </w:r>
    <w:r>
      <w:rPr>
        <w:color w:val="666666"/>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9E3AF4">
    <w:pPr>
      <w:spacing w:before="0" w:after="0" w:line="240" w:lineRule="auto"/>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4A7D14"/>
    <w:rsid w:val="0D491868"/>
    <w:rsid w:val="12A821D4"/>
    <w:rsid w:val="16141EFB"/>
    <w:rsid w:val="16C92185"/>
    <w:rsid w:val="1D4C21DB"/>
    <w:rsid w:val="1D6E07B5"/>
    <w:rsid w:val="23D95952"/>
    <w:rsid w:val="28CC2B9C"/>
    <w:rsid w:val="2B3109E2"/>
    <w:rsid w:val="30B359F5"/>
    <w:rsid w:val="362624DD"/>
    <w:rsid w:val="3C0B53D0"/>
    <w:rsid w:val="417C5E38"/>
    <w:rsid w:val="45F05D82"/>
    <w:rsid w:val="491F4C3C"/>
    <w:rsid w:val="4B4B4D50"/>
    <w:rsid w:val="507439BD"/>
    <w:rsid w:val="524D2993"/>
    <w:rsid w:val="5BD56509"/>
    <w:rsid w:val="5D9E51B4"/>
    <w:rsid w:val="5F62356D"/>
    <w:rsid w:val="68A45648"/>
    <w:rsid w:val="72DD40F7"/>
    <w:rsid w:val="76533426"/>
    <w:rsid w:val="7A8A0B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FW筑紫明朝 简 M"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eastAsia="方正FW筑紫明朝 简 M" w:asciiTheme="minorHAnsi" w:hAnsiTheme="minorHAnsi"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808</Words>
  <Characters>5456</Characters>
  <Lines>0</Lines>
  <Paragraphs>0</Paragraphs>
  <TotalTime>15</TotalTime>
  <ScaleCrop>false</ScaleCrop>
  <LinksUpToDate>false</LinksUpToDate>
  <CharactersWithSpaces>6156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Whitfield &amp; Crane PartG mbB</dc:creator>
  <dc:description>generated by python-docx</dc:description>
  <cp:lastModifiedBy>Administrator</cp:lastModifiedBy>
  <dcterms:modified xsi:type="dcterms:W3CDTF">2026-09-16T15:30:45Z</dcterms:modified>
  <dc:subject>Landgericht Berlin II – Musterfassung</dc:subject>
  <dc:title>Deutschland-adaptierte Musterfassung – dinglicher Arrest und Sicherung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eyJoZGlkIjoiZDQ4NWE2MjQ3MTI4ZDRlNjdiYjExYzU1NjM4Mjc0YWEifQ==</vt:lpwstr>
  </property>
  <property fmtid="{D5CDD505-2E9C-101B-9397-08002B2CF9AE}" pid="3" name="KSOProductBuildVer">
    <vt:lpwstr>2052-12.1.0.28505</vt:lpwstr>
  </property>
  <property fmtid="{D5CDD505-2E9C-101B-9397-08002B2CF9AE}" pid="4" name="ICV">
    <vt:lpwstr>AC7A59C5038047A897E9B632C7BA43A0_12</vt:lpwstr>
  </property>
</Properties>
</file>