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D2D61">
      <w:pPr>
        <w:spacing w:after="40"/>
        <w:jc w:val="right"/>
      </w:pPr>
      <w:r>
        <w:rPr>
          <w:rFonts w:hint="eastAsia" w:ascii="Times New Roman" w:hAnsi="Times New Roman" w:eastAsia="Times New Roman"/>
          <w:sz w:val="24"/>
          <w:szCs w:val="24"/>
          <w:lang w:eastAsia="zh-CN"/>
        </w:rPr>
        <w:drawing>
          <wp:anchor distT="0" distB="0" distL="114300" distR="114300" simplePos="0" relativeHeight="251660288" behindDoc="0" locked="0" layoutInCell="1" allowOverlap="1">
            <wp:simplePos x="0" y="0"/>
            <wp:positionH relativeFrom="column">
              <wp:posOffset>-680085</wp:posOffset>
            </wp:positionH>
            <wp:positionV relativeFrom="paragraph">
              <wp:posOffset>-1043940</wp:posOffset>
            </wp:positionV>
            <wp:extent cx="2893695" cy="1929765"/>
            <wp:effectExtent l="0" t="0" r="0" b="0"/>
            <wp:wrapNone/>
            <wp:docPr id="4" name="图片 4" descr="ChatGPT Image 2026年3月31日 17_10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3月31日 17_10_45"/>
                    <pic:cNvPicPr>
                      <a:picLocks noChangeAspect="1"/>
                    </pic:cNvPicPr>
                  </pic:nvPicPr>
                  <pic:blipFill>
                    <a:blip r:embed="rId7"/>
                    <a:stretch>
                      <a:fillRect/>
                    </a:stretch>
                  </pic:blipFill>
                  <pic:spPr>
                    <a:xfrm>
                      <a:off x="0" y="0"/>
                      <a:ext cx="2893695" cy="1929765"/>
                    </a:xfrm>
                    <a:prstGeom prst="rect">
                      <a:avLst/>
                    </a:prstGeom>
                  </pic:spPr>
                </pic:pic>
              </a:graphicData>
            </a:graphic>
          </wp:anchor>
        </w:drawing>
      </w:r>
      <w:r>
        <w:rPr>
          <w:rFonts w:ascii="Times New Roman" w:hAnsi="Times New Roman" w:eastAsia="Times New Roman"/>
          <w:b/>
          <w:color w:val="A05A5A"/>
          <w:sz w:val="24"/>
          <w:bdr w:val="single" w:color="A05A5A" w:sz="16" w:space="0"/>
        </w:rPr>
        <w:t>FILED</w:t>
      </w:r>
    </w:p>
    <w:p w14:paraId="721F50C8">
      <w:pPr>
        <w:spacing w:after="240" w:line="324" w:lineRule="auto"/>
        <w:jc w:val="center"/>
      </w:pPr>
      <w:r>
        <w:rPr>
          <w:rFonts w:ascii="Times New Roman" w:hAnsi="Times New Roman" w:eastAsia="Times New Roman"/>
          <w:b/>
          <w:sz w:val="22"/>
        </w:rPr>
        <w:t>UNITED STATES DISTRICT COURT</w:t>
      </w:r>
      <w:r>
        <w:rPr>
          <w:rFonts w:ascii="Times New Roman" w:hAnsi="Times New Roman" w:eastAsia="Times New Roman"/>
          <w:b/>
          <w:sz w:val="22"/>
        </w:rPr>
        <w:br w:type="textWrapping"/>
      </w:r>
      <w:r>
        <w:rPr>
          <w:rFonts w:ascii="Times New Roman" w:hAnsi="Times New Roman" w:eastAsia="Times New Roman"/>
          <w:b/>
          <w:sz w:val="22"/>
        </w:rPr>
        <w:t>SOUTHERN DISTRICT OF NEW YORK</w:t>
      </w:r>
    </w:p>
    <w:tbl>
      <w:tblPr>
        <w:tblStyle w:val="32"/>
        <w:tblW w:w="0" w:type="auto"/>
        <w:jc w:val="center"/>
        <w:tblLayout w:type="fixed"/>
        <w:tblCellMar>
          <w:top w:w="0" w:type="dxa"/>
          <w:left w:w="108" w:type="dxa"/>
          <w:bottom w:w="0" w:type="dxa"/>
          <w:right w:w="108" w:type="dxa"/>
        </w:tblCellMar>
      </w:tblPr>
      <w:tblGrid>
        <w:gridCol w:w="6123"/>
        <w:gridCol w:w="3288"/>
      </w:tblGrid>
      <w:tr w14:paraId="14ACA73D">
        <w:tblPrEx>
          <w:tblCellMar>
            <w:top w:w="0" w:type="dxa"/>
            <w:left w:w="108" w:type="dxa"/>
            <w:bottom w:w="0" w:type="dxa"/>
            <w:right w:w="108" w:type="dxa"/>
          </w:tblCellMar>
        </w:tblPrEx>
        <w:trPr>
          <w:jc w:val="center"/>
        </w:trPr>
        <w:tc>
          <w:tcPr>
            <w:tcW w:w="4706" w:type="dxa"/>
            <w:tcBorders>
              <w:top w:val="single" w:color="1F1F1F" w:sz="10" w:space="0"/>
              <w:bottom w:val="single" w:color="1F1F1F" w:sz="10" w:space="0"/>
              <w:right w:val="nil"/>
            </w:tcBorders>
            <w:vAlign w:val="top"/>
          </w:tcPr>
          <w:p w14:paraId="1128F16B">
            <w:pPr>
              <w:spacing w:after="40" w:line="365" w:lineRule="auto"/>
              <w:rPr>
                <w:sz w:val="24"/>
                <w:szCs w:val="24"/>
              </w:rPr>
            </w:pPr>
            <w:r>
              <w:rPr>
                <w:rFonts w:ascii="Times New Roman" w:hAnsi="Times New Roman" w:eastAsia="Times New Roman"/>
                <w:b/>
                <w:sz w:val="24"/>
                <w:szCs w:val="24"/>
              </w:rPr>
              <w:t>RICARDO CLEMENTS</w:t>
            </w:r>
            <w:r>
              <w:rPr>
                <w:rFonts w:hint="eastAsia" w:eastAsia="宋体"/>
                <w:b/>
                <w:sz w:val="24"/>
                <w:szCs w:val="24"/>
                <w:lang w:eastAsia="zh-CN"/>
              </w:rPr>
              <w:t>（</w:t>
            </w:r>
            <w:r>
              <w:rPr>
                <w:rFonts w:hint="eastAsia" w:eastAsia="宋体"/>
                <w:b/>
                <w:sz w:val="24"/>
                <w:szCs w:val="24"/>
                <w:lang w:val="en-US" w:eastAsia="zh-CN"/>
              </w:rPr>
              <w:t>客户姓名</w:t>
            </w:r>
            <w:r>
              <w:rPr>
                <w:rFonts w:hint="eastAsia" w:eastAsia="宋体"/>
                <w:b/>
                <w:sz w:val="24"/>
                <w:szCs w:val="24"/>
                <w:lang w:eastAsia="zh-CN"/>
              </w:rPr>
              <w:t>）</w:t>
            </w:r>
            <w:r>
              <w:rPr>
                <w:rFonts w:ascii="Times New Roman" w:hAnsi="Times New Roman" w:eastAsia="Times New Roman"/>
                <w:i/>
                <w:sz w:val="24"/>
                <w:szCs w:val="24"/>
              </w:rPr>
              <w:t xml:space="preserve">, </w:t>
            </w:r>
            <w:r>
              <w:rPr>
                <w:rFonts w:ascii="Times New Roman" w:hAnsi="Times New Roman" w:eastAsia="Times New Roman"/>
                <w:b w:val="0"/>
                <w:bCs w:val="0"/>
                <w:i/>
                <w:sz w:val="24"/>
                <w:szCs w:val="24"/>
              </w:rPr>
              <w:t>Plaintiff,</w:t>
            </w:r>
          </w:p>
          <w:p w14:paraId="3BAECEB1">
            <w:pPr>
              <w:spacing w:after="120" w:line="365" w:lineRule="auto"/>
              <w:rPr>
                <w:sz w:val="24"/>
                <w:szCs w:val="24"/>
              </w:rPr>
            </w:pPr>
            <w:r>
              <w:rPr>
                <w:rFonts w:ascii="Times New Roman" w:hAnsi="Times New Roman" w:eastAsia="Times New Roman"/>
                <w:b/>
                <w:i w:val="0"/>
                <w:sz w:val="24"/>
                <w:szCs w:val="24"/>
              </w:rPr>
              <w:t>v.</w:t>
            </w:r>
          </w:p>
          <w:p w14:paraId="2CFBF320">
            <w:pPr>
              <w:spacing w:after="40" w:line="365" w:lineRule="auto"/>
              <w:rPr>
                <w:sz w:val="24"/>
                <w:szCs w:val="24"/>
              </w:rPr>
            </w:pPr>
            <w:r>
              <w:rPr>
                <w:rFonts w:ascii="Times New Roman" w:hAnsi="Times New Roman" w:eastAsia="Times New Roman"/>
                <w:b/>
                <w:sz w:val="24"/>
                <w:szCs w:val="24"/>
              </w:rPr>
              <w:t>CHAINFORCE</w:t>
            </w:r>
            <w:r>
              <w:rPr>
                <w:rFonts w:ascii="Times New Roman" w:hAnsi="Times New Roman" w:eastAsia="Times New Roman"/>
                <w:i/>
                <w:sz w:val="24"/>
                <w:szCs w:val="24"/>
              </w:rPr>
              <w:t>, Defendant,</w:t>
            </w:r>
          </w:p>
          <w:p w14:paraId="08EE454B">
            <w:pPr>
              <w:spacing w:after="120" w:line="365" w:lineRule="auto"/>
              <w:rPr>
                <w:sz w:val="24"/>
                <w:szCs w:val="24"/>
              </w:rPr>
            </w:pPr>
            <w:r>
              <w:rPr>
                <w:rFonts w:ascii="Times New Roman" w:hAnsi="Times New Roman" w:eastAsia="Times New Roman"/>
                <w:b w:val="0"/>
                <w:i w:val="0"/>
                <w:sz w:val="24"/>
                <w:szCs w:val="24"/>
              </w:rPr>
              <w:t>and</w:t>
            </w:r>
          </w:p>
          <w:p w14:paraId="1242EB94">
            <w:pPr>
              <w:spacing w:after="40" w:line="365" w:lineRule="auto"/>
              <w:rPr>
                <w:sz w:val="24"/>
                <w:szCs w:val="24"/>
              </w:rPr>
            </w:pPr>
            <w:r>
              <w:rPr>
                <w:rFonts w:ascii="Times New Roman" w:hAnsi="Times New Roman" w:eastAsia="Times New Roman"/>
                <w:b/>
                <w:sz w:val="24"/>
                <w:szCs w:val="24"/>
              </w:rPr>
              <w:t>TETHER LIMITED</w:t>
            </w:r>
            <w:r>
              <w:rPr>
                <w:rFonts w:ascii="Times New Roman" w:hAnsi="Times New Roman" w:eastAsia="Times New Roman"/>
                <w:i/>
                <w:sz w:val="24"/>
                <w:szCs w:val="24"/>
              </w:rPr>
              <w:t xml:space="preserve"> (as non-party issuer of USDT),</w:t>
            </w:r>
          </w:p>
          <w:p w14:paraId="171AD00F">
            <w:pPr>
              <w:spacing w:after="40" w:line="365" w:lineRule="auto"/>
              <w:rPr>
                <w:sz w:val="24"/>
                <w:szCs w:val="24"/>
              </w:rPr>
            </w:pPr>
            <w:r>
              <w:rPr>
                <w:rFonts w:ascii="Times New Roman" w:hAnsi="Times New Roman" w:eastAsia="Times New Roman"/>
                <w:b/>
                <w:sz w:val="24"/>
                <w:szCs w:val="24"/>
              </w:rPr>
              <w:t>BITGET</w:t>
            </w:r>
            <w:r>
              <w:rPr>
                <w:rFonts w:ascii="Times New Roman" w:hAnsi="Times New Roman" w:eastAsia="Times New Roman"/>
                <w:i/>
                <w:sz w:val="24"/>
                <w:szCs w:val="24"/>
              </w:rPr>
              <w:t xml:space="preserve"> (as non-party custodial wallet provider),</w:t>
            </w:r>
          </w:p>
          <w:p w14:paraId="0010BBCC">
            <w:pPr>
              <w:spacing w:after="0" w:line="365" w:lineRule="auto"/>
              <w:rPr>
                <w:sz w:val="24"/>
                <w:szCs w:val="24"/>
              </w:rPr>
            </w:pPr>
            <w:r>
              <w:rPr>
                <w:rFonts w:ascii="Times New Roman" w:hAnsi="Times New Roman" w:eastAsia="Times New Roman"/>
                <w:b w:val="0"/>
                <w:i w:val="0"/>
                <w:sz w:val="24"/>
                <w:szCs w:val="24"/>
              </w:rPr>
              <w:t>Third-Party Respondents.</w:t>
            </w:r>
          </w:p>
        </w:tc>
        <w:tc>
          <w:tcPr>
            <w:tcW w:w="4706" w:type="dxa"/>
            <w:tcBorders>
              <w:top w:val="single" w:color="1F1F1F" w:sz="10" w:space="0"/>
              <w:left w:val="nil"/>
              <w:bottom w:val="single" w:color="1F1F1F" w:sz="10" w:space="0"/>
            </w:tcBorders>
            <w:vAlign w:val="top"/>
          </w:tcPr>
          <w:tbl>
            <w:tblPr>
              <w:tblStyle w:val="32"/>
              <w:tblW w:w="0" w:type="auto"/>
              <w:jc w:val="center"/>
              <w:tblLayout w:type="fixed"/>
              <w:tblCellMar>
                <w:top w:w="0" w:type="dxa"/>
                <w:left w:w="108" w:type="dxa"/>
                <w:bottom w:w="0" w:type="dxa"/>
                <w:right w:w="108" w:type="dxa"/>
              </w:tblCellMar>
            </w:tblPr>
            <w:tblGrid>
              <w:gridCol w:w="3175"/>
            </w:tblGrid>
            <w:tr w14:paraId="24684AB8">
              <w:tblPrEx>
                <w:tblCellMar>
                  <w:top w:w="0" w:type="dxa"/>
                  <w:left w:w="108" w:type="dxa"/>
                  <w:bottom w:w="0" w:type="dxa"/>
                  <w:right w:w="108" w:type="dxa"/>
                </w:tblCellMar>
              </w:tblPrEx>
              <w:trPr>
                <w:jc w:val="center"/>
              </w:trPr>
              <w:tc>
                <w:tcPr>
                  <w:tcW w:w="3175" w:type="dxa"/>
                  <w:tcBorders>
                    <w:top w:val="single" w:color="1F1F1F" w:sz="8" w:space="0"/>
                    <w:left w:val="single" w:color="1F1F1F" w:sz="8" w:space="0"/>
                    <w:right w:val="single" w:color="1F1F1F" w:sz="8" w:space="0"/>
                  </w:tcBorders>
                  <w:vAlign w:val="center"/>
                </w:tcPr>
                <w:p w14:paraId="35601342">
                  <w:pPr>
                    <w:spacing w:after="40"/>
                    <w:jc w:val="left"/>
                    <w:rPr>
                      <w:sz w:val="24"/>
                      <w:szCs w:val="24"/>
                    </w:rPr>
                  </w:pPr>
                  <w:r>
                    <w:rPr>
                      <w:b/>
                      <w:sz w:val="24"/>
                      <w:szCs w:val="24"/>
                    </w:rPr>
                    <w:t>CIVIL ACTION NO.</w:t>
                  </w:r>
                </w:p>
              </w:tc>
            </w:tr>
            <w:tr w14:paraId="64FDA354">
              <w:tblPrEx>
                <w:tblCellMar>
                  <w:top w:w="0" w:type="dxa"/>
                  <w:left w:w="108" w:type="dxa"/>
                  <w:bottom w:w="0" w:type="dxa"/>
                  <w:right w:w="108" w:type="dxa"/>
                </w:tblCellMar>
              </w:tblPrEx>
              <w:trPr>
                <w:jc w:val="center"/>
              </w:trPr>
              <w:tc>
                <w:tcPr>
                  <w:tcW w:w="3175" w:type="dxa"/>
                  <w:tcBorders>
                    <w:left w:val="single" w:color="1F1F1F" w:sz="8" w:space="0"/>
                    <w:right w:val="single" w:color="1F1F1F" w:sz="8" w:space="0"/>
                  </w:tcBorders>
                  <w:vAlign w:val="center"/>
                </w:tcPr>
                <w:p w14:paraId="1A86E5F3">
                  <w:pPr>
                    <w:spacing w:after="40"/>
                    <w:jc w:val="left"/>
                    <w:rPr>
                      <w:sz w:val="24"/>
                      <w:szCs w:val="24"/>
                    </w:rPr>
                  </w:pPr>
                  <w:r>
                    <w:rPr>
                      <w:rFonts w:hint="eastAsia" w:eastAsia="宋体"/>
                      <w:b/>
                      <w:sz w:val="24"/>
                      <w:szCs w:val="24"/>
                      <w:lang w:val="en-US" w:eastAsia="zh-CN"/>
                    </w:rPr>
                    <w:t>WC</w:t>
                  </w:r>
                  <w:r>
                    <w:rPr>
                      <w:b/>
                      <w:sz w:val="24"/>
                      <w:szCs w:val="24"/>
                    </w:rPr>
                    <w:t>-CRYPTO-1068-0177</w:t>
                  </w:r>
                </w:p>
              </w:tc>
            </w:tr>
            <w:tr w14:paraId="0A3E4668">
              <w:tblPrEx>
                <w:tblCellMar>
                  <w:top w:w="0" w:type="dxa"/>
                  <w:left w:w="108" w:type="dxa"/>
                  <w:bottom w:w="0" w:type="dxa"/>
                  <w:right w:w="108" w:type="dxa"/>
                </w:tblCellMar>
              </w:tblPrEx>
              <w:trPr>
                <w:jc w:val="center"/>
              </w:trPr>
              <w:tc>
                <w:tcPr>
                  <w:tcW w:w="3175" w:type="dxa"/>
                  <w:tcBorders>
                    <w:left w:val="single" w:color="1F1F1F" w:sz="8" w:space="0"/>
                    <w:bottom w:val="single" w:color="1F1F1F" w:sz="8" w:space="0"/>
                    <w:right w:val="single" w:color="1F1F1F" w:sz="8" w:space="0"/>
                  </w:tcBorders>
                  <w:vAlign w:val="center"/>
                </w:tcPr>
                <w:p w14:paraId="161199E1">
                  <w:pPr>
                    <w:jc w:val="left"/>
                    <w:rPr>
                      <w:sz w:val="24"/>
                      <w:szCs w:val="24"/>
                    </w:rPr>
                  </w:pPr>
                  <w:r>
                    <w:rPr>
                      <w:sz w:val="24"/>
                      <w:szCs w:val="24"/>
                    </w:rPr>
                    <w:t>EMERGENCY RELIEF</w:t>
                  </w:r>
                  <w:r>
                    <w:rPr>
                      <w:sz w:val="24"/>
                      <w:szCs w:val="24"/>
                    </w:rPr>
                    <w:br w:type="textWrapping"/>
                  </w:r>
                  <w:r>
                    <w:rPr>
                      <w:sz w:val="24"/>
                      <w:szCs w:val="24"/>
                    </w:rPr>
                    <w:t>ASSET FREEZE / RESTITUTION</w:t>
                  </w:r>
                </w:p>
              </w:tc>
            </w:tr>
          </w:tbl>
          <w:p w14:paraId="03156CB8">
            <w:pPr>
              <w:rPr>
                <w:sz w:val="24"/>
                <w:szCs w:val="24"/>
              </w:rPr>
            </w:pPr>
          </w:p>
        </w:tc>
      </w:tr>
    </w:tbl>
    <w:p w14:paraId="5FA018A2">
      <w:pPr>
        <w:spacing w:after="120"/>
      </w:pPr>
    </w:p>
    <w:p w14:paraId="49EACA7A">
      <w:pPr>
        <w:spacing w:after="300" w:line="341" w:lineRule="auto"/>
        <w:jc w:val="center"/>
      </w:pPr>
      <w:r>
        <w:rPr>
          <w:rFonts w:ascii="Times New Roman" w:hAnsi="Times New Roman" w:eastAsia="Times New Roman"/>
          <w:b/>
          <w:sz w:val="24"/>
        </w:rPr>
        <w:t>EMERGENCY ORDER GRANTING PLAINTIFF'S MOTION FOR TEMPORARY RESTRAINING ORDER, ASSET FREEZE, EMERGENCY FREEZE OF USDT TOKENS, AND REPATRIATION / RESTITUTION OF FUNDS</w:t>
      </w:r>
    </w:p>
    <w:p w14:paraId="4D1FB881">
      <w:pPr>
        <w:spacing w:after="220" w:line="379" w:lineRule="auto"/>
        <w:jc w:val="both"/>
        <w:rPr>
          <w:sz w:val="24"/>
          <w:szCs w:val="24"/>
        </w:rPr>
      </w:pPr>
      <w:r>
        <w:rPr>
          <w:rFonts w:ascii="Times New Roman" w:hAnsi="Times New Roman" w:eastAsia="Times New Roman"/>
          <w:sz w:val="24"/>
          <w:szCs w:val="24"/>
        </w:rPr>
        <w:t xml:space="preserve">Upon consideration of the Plaintiff's Complaint, Emergency Motion for Temporary Restraining Order and Asset Freeze, the Declaration of </w:t>
      </w:r>
      <w:r>
        <w:rPr>
          <w:rFonts w:hint="eastAsia" w:eastAsia="宋体"/>
          <w:sz w:val="24"/>
          <w:szCs w:val="24"/>
          <w:lang w:val="en-US" w:eastAsia="zh-CN"/>
        </w:rPr>
        <w:t>Daniel Okafor</w:t>
      </w:r>
      <w:r>
        <w:rPr>
          <w:rFonts w:ascii="Times New Roman" w:hAnsi="Times New Roman" w:eastAsia="Times New Roman"/>
          <w:sz w:val="24"/>
          <w:szCs w:val="24"/>
        </w:rPr>
        <w:t xml:space="preserve">, Esq. (Bar No. </w:t>
      </w:r>
      <w:r>
        <w:rPr>
          <w:rFonts w:hint="eastAsia" w:ascii="Times New Roman" w:hAnsi="Times New Roman" w:eastAsia="Times New Roman"/>
          <w:sz w:val="24"/>
          <w:szCs w:val="24"/>
        </w:rPr>
        <w:t>3806612</w:t>
      </w:r>
      <w:r>
        <w:rPr>
          <w:rFonts w:ascii="Times New Roman" w:hAnsi="Times New Roman" w:eastAsia="Times New Roman"/>
          <w:sz w:val="24"/>
          <w:szCs w:val="24"/>
        </w:rPr>
        <w:t xml:space="preserve">) of </w:t>
      </w:r>
      <w:r>
        <w:rPr>
          <w:rFonts w:hint="eastAsia" w:eastAsia="宋体"/>
          <w:sz w:val="24"/>
          <w:szCs w:val="24"/>
          <w:lang w:val="en-US" w:eastAsia="zh-CN"/>
        </w:rPr>
        <w:t>Whitfield &amp; Crane LLP</w:t>
      </w:r>
      <w:r>
        <w:rPr>
          <w:rFonts w:ascii="Times New Roman" w:hAnsi="Times New Roman" w:eastAsia="Times New Roman"/>
          <w:sz w:val="24"/>
          <w:szCs w:val="24"/>
        </w:rPr>
        <w:t>, the supporting investigation report and exhibits provided by Plaintiff's counsel, and all other papers and proceedings herein, and for good cause shown, the Court hereby finds and ORDERS as follows:</w:t>
      </w:r>
    </w:p>
    <w:p w14:paraId="20C3479B">
      <w:pPr>
        <w:spacing w:after="140" w:line="348" w:lineRule="auto"/>
        <w:jc w:val="left"/>
        <w:rPr>
          <w:sz w:val="24"/>
          <w:szCs w:val="24"/>
        </w:rPr>
      </w:pPr>
      <w:r>
        <w:rPr>
          <w:rFonts w:ascii="Times New Roman" w:hAnsi="Times New Roman" w:eastAsia="Times New Roman"/>
          <w:b/>
          <w:sz w:val="24"/>
          <w:szCs w:val="24"/>
        </w:rPr>
        <w:t>1. Findings of Fact and Conclusions of Law.</w:t>
      </w:r>
    </w:p>
    <w:p w14:paraId="6FAC1BDE">
      <w:pPr>
        <w:spacing w:after="220" w:line="379" w:lineRule="auto"/>
        <w:jc w:val="both"/>
        <w:rPr>
          <w:sz w:val="24"/>
          <w:szCs w:val="24"/>
        </w:rPr>
      </w:pPr>
      <w:r>
        <w:rPr>
          <w:rFonts w:hint="eastAsia" w:ascii="Times New Roman" w:hAnsi="Times New Roman" w:eastAsia="Times New Roman"/>
          <w:sz w:val="24"/>
          <w:szCs w:val="24"/>
        </w:rPr>
        <w:t>The Court finds that Plaintiff 客户姓名 has demonstrated a substantial likelihood of success on the merits of his claims for financial fraud, wire fraud, and unjust enrichment arising from the underlying fraudulent scheme. According to the investigation conducted by Daniel Okafor, Esq. of Whitfield &amp; Crane LLP on behalf of Plaintiff and similarly situated victims, Plaintiff was fraudulently induced to transfer or deposit funds as part of the fraudulent activity.</w:t>
      </w:r>
    </w:p>
    <w:p w14:paraId="512CEF6D">
      <w:pPr>
        <w:spacing w:after="220" w:line="379" w:lineRule="auto"/>
        <w:jc w:val="both"/>
        <w:rPr>
          <w:sz w:val="24"/>
          <w:szCs w:val="24"/>
        </w:rPr>
      </w:pPr>
      <w:r>
        <w:rPr>
          <w:rFonts w:ascii="Times New Roman" w:hAnsi="Times New Roman" w:eastAsia="Times New Roman"/>
          <w:sz w:val="24"/>
          <w:szCs w:val="24"/>
        </w:rPr>
        <w:t xml:space="preserve">The investigation further reveals that the misappropriated funds were ultimately transferred by the perpetrators to a Bitget custodial wallet and converted into USDT tokens. Specifically, Plaintiff </w:t>
      </w:r>
      <w:r>
        <w:rPr>
          <w:rFonts w:hint="eastAsia" w:eastAsia="宋体"/>
          <w:sz w:val="24"/>
          <w:szCs w:val="24"/>
          <w:lang w:val="en-US" w:eastAsia="zh-CN"/>
        </w:rPr>
        <w:t>客户姓名</w:t>
      </w:r>
      <w:r>
        <w:rPr>
          <w:rFonts w:ascii="Times New Roman" w:hAnsi="Times New Roman" w:eastAsia="Times New Roman"/>
          <w:sz w:val="24"/>
          <w:szCs w:val="24"/>
        </w:rPr>
        <w:t xml:space="preserve"> suffered a direct loss of $</w:t>
      </w:r>
      <w:r>
        <w:rPr>
          <w:rFonts w:hint="eastAsia" w:eastAsia="宋体"/>
          <w:sz w:val="24"/>
          <w:szCs w:val="24"/>
          <w:lang w:val="en-US" w:eastAsia="zh-CN"/>
        </w:rPr>
        <w:t>客户损失的本金</w:t>
      </w:r>
      <w:r>
        <w:rPr>
          <w:rFonts w:ascii="Times New Roman" w:hAnsi="Times New Roman" w:eastAsia="Times New Roman"/>
          <w:sz w:val="24"/>
          <w:szCs w:val="24"/>
        </w:rPr>
        <w:t xml:space="preserve"> (United States Dollars). The total amount traceable to the fraudulent scheme and currently held in the Bitget custodial wallet is 5,628,751.37 USDT.</w:t>
      </w:r>
      <w:r>
        <w:rPr>
          <w:rFonts w:hint="eastAsia" w:eastAsia="宋体"/>
          <w:sz w:val="24"/>
          <w:szCs w:val="24"/>
          <w:lang w:eastAsia="zh-CN"/>
        </w:rPr>
        <w:drawing>
          <wp:anchor distT="0" distB="0" distL="114300" distR="114300" simplePos="0" relativeHeight="251664384" behindDoc="1" locked="0" layoutInCell="1" allowOverlap="1">
            <wp:simplePos x="0" y="0"/>
            <wp:positionH relativeFrom="column">
              <wp:posOffset>4424680</wp:posOffset>
            </wp:positionH>
            <wp:positionV relativeFrom="paragraph">
              <wp:posOffset>-328930</wp:posOffset>
            </wp:positionV>
            <wp:extent cx="1963420" cy="1963420"/>
            <wp:effectExtent l="0" t="0" r="17780" b="17780"/>
            <wp:wrapNone/>
            <wp:docPr id="5" name="图片 5" descr="81a2c490-36c9-4eec-8950-43523ede8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1a2c490-36c9-4eec-8950-43523ede8fa0"/>
                    <pic:cNvPicPr>
                      <a:picLocks noChangeAspect="1"/>
                    </pic:cNvPicPr>
                  </pic:nvPicPr>
                  <pic:blipFill>
                    <a:blip r:embed="rId8">
                      <a:alphaModFix amt="20000"/>
                    </a:blip>
                    <a:stretch>
                      <a:fillRect/>
                    </a:stretch>
                  </pic:blipFill>
                  <pic:spPr>
                    <a:xfrm>
                      <a:off x="0" y="0"/>
                      <a:ext cx="1963420" cy="1963420"/>
                    </a:xfrm>
                    <a:prstGeom prst="rect">
                      <a:avLst/>
                    </a:prstGeom>
                  </pic:spPr>
                </pic:pic>
              </a:graphicData>
            </a:graphic>
          </wp:anchor>
        </w:drawing>
      </w:r>
    </w:p>
    <w:p w14:paraId="6F826F24">
      <w:pPr>
        <w:spacing w:before="160"/>
        <w:jc w:val="both"/>
      </w:pPr>
    </w:p>
    <w:p w14:paraId="701C7D9B">
      <w:pPr>
        <w:rPr>
          <w:sz w:val="24"/>
          <w:szCs w:val="24"/>
        </w:rPr>
      </w:pPr>
    </w:p>
    <w:p w14:paraId="386DB53F">
      <w:pPr>
        <w:spacing w:after="260"/>
        <w:jc w:val="center"/>
        <w:rPr>
          <w:sz w:val="24"/>
          <w:szCs w:val="24"/>
        </w:rPr>
      </w:pPr>
      <w:r>
        <w:rPr>
          <w:b/>
          <w:sz w:val="24"/>
          <w:szCs w:val="24"/>
        </w:rPr>
        <w:t>EMERGENCY ORDER - CONTINUED</w:t>
      </w:r>
    </w:p>
    <w:p w14:paraId="39FA120B">
      <w:pPr>
        <w:spacing w:after="220" w:line="379" w:lineRule="auto"/>
        <w:jc w:val="both"/>
        <w:rPr>
          <w:sz w:val="24"/>
          <w:szCs w:val="24"/>
        </w:rPr>
      </w:pPr>
      <w:r>
        <w:rPr>
          <w:rFonts w:ascii="Times New Roman" w:hAnsi="Times New Roman" w:eastAsia="Times New Roman"/>
          <w:sz w:val="24"/>
          <w:szCs w:val="24"/>
        </w:rPr>
        <w:t xml:space="preserve">The investigation confirms that this address contains funds belonging to multiple victims in addition to Mr. </w:t>
      </w:r>
      <w:r>
        <w:rPr>
          <w:rFonts w:hint="eastAsia" w:eastAsia="宋体"/>
          <w:sz w:val="24"/>
          <w:szCs w:val="24"/>
          <w:lang w:val="en-US" w:eastAsia="zh-CN"/>
        </w:rPr>
        <w:t>客户姓名</w:t>
      </w:r>
      <w:r>
        <w:rPr>
          <w:rFonts w:ascii="Times New Roman" w:hAnsi="Times New Roman" w:eastAsia="Times New Roman"/>
          <w:sz w:val="24"/>
          <w:szCs w:val="24"/>
        </w:rPr>
        <w:t>. Immediate and irreparable harm will result to Plaintiff and the class of victims in the absence of this relief. The balance of equities tips decidedly in favor of the Plaintiff and the public interest, and the issuance of this Emergency Order is necessary to preserve assets and prevent further dissipation.</w:t>
      </w:r>
    </w:p>
    <w:p w14:paraId="48D72614">
      <w:pPr>
        <w:spacing w:after="140" w:line="348" w:lineRule="auto"/>
        <w:jc w:val="left"/>
        <w:rPr>
          <w:sz w:val="24"/>
          <w:szCs w:val="24"/>
        </w:rPr>
      </w:pPr>
      <w:r>
        <w:rPr>
          <w:rFonts w:ascii="Times New Roman" w:hAnsi="Times New Roman" w:eastAsia="Times New Roman"/>
          <w:b/>
          <w:sz w:val="24"/>
          <w:szCs w:val="24"/>
        </w:rPr>
        <w:t>2. Emergency Freeze of USDT Assets.</w:t>
      </w:r>
    </w:p>
    <w:p w14:paraId="1E58DD97">
      <w:pPr>
        <w:spacing w:after="220" w:line="379" w:lineRule="auto"/>
        <w:jc w:val="both"/>
        <w:rPr>
          <w:sz w:val="24"/>
          <w:szCs w:val="24"/>
        </w:rPr>
      </w:pPr>
      <w:r>
        <w:rPr>
          <w:rFonts w:ascii="Times New Roman" w:hAnsi="Times New Roman" w:eastAsia="Times New Roman"/>
          <w:sz w:val="24"/>
          <w:szCs w:val="24"/>
        </w:rPr>
        <w:t xml:space="preserve">Non-party Tether Limited, as the sole issuer and administrator of USDT tokens, together with Bitget as the custodial service provider, are hereby DIRECTED AND ORDERED to immediately implement an EMERGENCY FREEZE on all USDT tokens associated with the following Bitget custodial wallet address: </w:t>
      </w:r>
      <w:r>
        <w:rPr>
          <w:rFonts w:hint="eastAsia" w:ascii="Times New Roman" w:hAnsi="Times New Roman" w:eastAsia="Times New Roman"/>
          <w:sz w:val="24"/>
          <w:szCs w:val="24"/>
        </w:rPr>
        <w:t>0x8a6babc576e8abd7299dca35cccaeb3d134bdeb6</w:t>
      </w:r>
      <w:r>
        <w:rPr>
          <w:rFonts w:ascii="Times New Roman" w:hAnsi="Times New Roman" w:eastAsia="Times New Roman"/>
          <w:sz w:val="24"/>
          <w:szCs w:val="24"/>
        </w:rPr>
        <w:t>. The total frozen amount shall be 5,628,751.37 USDT.</w:t>
      </w:r>
    </w:p>
    <w:p w14:paraId="0EDFD526">
      <w:pPr>
        <w:spacing w:after="220" w:line="379" w:lineRule="auto"/>
        <w:jc w:val="both"/>
        <w:rPr>
          <w:sz w:val="24"/>
          <w:szCs w:val="24"/>
        </w:rPr>
      </w:pPr>
      <w:r>
        <w:rPr>
          <w:rFonts w:ascii="Times New Roman" w:hAnsi="Times New Roman" w:eastAsia="Times New Roman"/>
          <w:sz w:val="24"/>
          <w:szCs w:val="24"/>
        </w:rPr>
        <w:t>Tether Limited and Bitget, their officers, agents, employees, and any person or entity acting in concert with them, are PROHIBITED from transferr</w:t>
      </w:r>
      <w:bookmarkStart w:id="0" w:name="_GoBack"/>
      <w:bookmarkEnd w:id="0"/>
      <w:r>
        <w:rPr>
          <w:rFonts w:ascii="Times New Roman" w:hAnsi="Times New Roman" w:eastAsia="Times New Roman"/>
          <w:sz w:val="24"/>
          <w:szCs w:val="24"/>
        </w:rPr>
        <w:t>ing, withdrawing, converting, encumbering, or otherwise disposing of any USDT in the Frozen Address without express written authorization from this Court. This freeze shall remain in full force and effect pending further order of the Court or final judgment.</w:t>
      </w:r>
    </w:p>
    <w:p w14:paraId="41BDA59E">
      <w:pPr>
        <w:spacing w:after="140" w:line="348" w:lineRule="auto"/>
        <w:jc w:val="left"/>
        <w:rPr>
          <w:sz w:val="24"/>
          <w:szCs w:val="24"/>
        </w:rPr>
      </w:pPr>
      <w:r>
        <w:rPr>
          <w:rFonts w:ascii="Times New Roman" w:hAnsi="Times New Roman" w:eastAsia="Times New Roman"/>
          <w:b/>
          <w:sz w:val="24"/>
          <w:szCs w:val="24"/>
        </w:rPr>
        <w:t>3. Repatriation and Restitution of Funds.</w:t>
      </w:r>
    </w:p>
    <w:p w14:paraId="65257670">
      <w:pPr>
        <w:spacing w:after="220" w:line="379" w:lineRule="auto"/>
        <w:jc w:val="both"/>
        <w:rPr>
          <w:sz w:val="24"/>
          <w:szCs w:val="24"/>
        </w:rPr>
      </w:pPr>
      <w:r>
        <w:rPr>
          <w:rFonts w:ascii="Times New Roman" w:hAnsi="Times New Roman" w:eastAsia="Times New Roman"/>
          <w:sz w:val="24"/>
          <w:szCs w:val="24"/>
        </w:rPr>
        <w:t xml:space="preserve">Tether Limited is hereby ORDERED to immediately execute the repatriation and restitution of the entire frozen balance of 5,628,751.37 USDT. Because the </w:t>
      </w:r>
      <w:r>
        <w:rPr>
          <w:rFonts w:hint="eastAsia" w:eastAsia="宋体"/>
          <w:sz w:val="24"/>
          <w:szCs w:val="24"/>
          <w:lang w:val="en-US" w:eastAsia="zh-CN"/>
        </w:rPr>
        <w:t>Whitfield &amp; Crane LLP</w:t>
      </w:r>
      <w:r>
        <w:rPr>
          <w:rFonts w:ascii="Times New Roman" w:hAnsi="Times New Roman" w:eastAsia="Times New Roman"/>
          <w:sz w:val="24"/>
          <w:szCs w:val="24"/>
        </w:rPr>
        <w:t xml:space="preserve"> investigation confirms that the Frozen Address contains funds traceable to multiple victims (including but not limited to Plaintiff </w:t>
      </w:r>
      <w:r>
        <w:rPr>
          <w:rFonts w:hint="eastAsia" w:eastAsia="宋体"/>
          <w:sz w:val="24"/>
          <w:szCs w:val="24"/>
          <w:lang w:val="en-US" w:eastAsia="zh-CN"/>
        </w:rPr>
        <w:t>客户姓名</w:t>
      </w:r>
      <w:r>
        <w:rPr>
          <w:rFonts w:ascii="Times New Roman" w:hAnsi="Times New Roman" w:eastAsia="Times New Roman"/>
          <w:sz w:val="24"/>
          <w:szCs w:val="24"/>
        </w:rPr>
        <w:t>), Tether Limited shall:</w:t>
      </w:r>
    </w:p>
    <w:p w14:paraId="383C2146">
      <w:pPr>
        <w:spacing w:after="140" w:line="372" w:lineRule="auto"/>
        <w:ind w:left="173" w:firstLine="0"/>
        <w:jc w:val="both"/>
        <w:rPr>
          <w:sz w:val="24"/>
          <w:szCs w:val="24"/>
        </w:rPr>
      </w:pPr>
      <w:r>
        <w:rPr>
          <w:rFonts w:ascii="Times New Roman" w:hAnsi="Times New Roman" w:eastAsia="Times New Roman"/>
          <w:sz w:val="24"/>
          <w:szCs w:val="24"/>
        </w:rPr>
        <w:t xml:space="preserve">1. Reasonably allocate the returned funds on a pro-rata basis among all identified victims based on their verified USD loss amounts submitted by </w:t>
      </w:r>
      <w:r>
        <w:rPr>
          <w:rFonts w:hint="eastAsia" w:eastAsia="宋体"/>
          <w:sz w:val="24"/>
          <w:szCs w:val="24"/>
          <w:lang w:val="en-US" w:eastAsia="zh-CN"/>
        </w:rPr>
        <w:t>Whitfield &amp; Crane LLP</w:t>
      </w:r>
      <w:r>
        <w:rPr>
          <w:rFonts w:ascii="Times New Roman" w:hAnsi="Times New Roman" w:eastAsia="Times New Roman"/>
          <w:sz w:val="24"/>
          <w:szCs w:val="24"/>
        </w:rPr>
        <w:t>.</w:t>
      </w:r>
    </w:p>
    <w:p w14:paraId="4160F924">
      <w:pPr>
        <w:spacing w:after="140" w:line="372" w:lineRule="auto"/>
        <w:ind w:left="173" w:firstLine="0"/>
        <w:jc w:val="both"/>
        <w:rPr>
          <w:sz w:val="24"/>
          <w:szCs w:val="24"/>
        </w:rPr>
      </w:pPr>
      <w:r>
        <w:rPr>
          <w:rFonts w:ascii="Times New Roman" w:hAnsi="Times New Roman" w:eastAsia="Times New Roman"/>
          <w:sz w:val="24"/>
          <w:szCs w:val="24"/>
        </w:rPr>
        <w:t xml:space="preserve">2. </w:t>
      </w:r>
      <w:r>
        <w:rPr>
          <w:rFonts w:hint="eastAsia" w:ascii="Times New Roman" w:hAnsi="Times New Roman" w:eastAsia="Times New Roman"/>
          <w:sz w:val="24"/>
          <w:szCs w:val="24"/>
        </w:rPr>
        <w:t>Return the allocated portions directly to the victims in USDT, with the amount of USDT to be refunded determined by converting the victims’ USD-denominated loss into its USDT equivalent using the prevailing USDT-to-USD exchange rate in effect on the date of refund.</w:t>
      </w:r>
    </w:p>
    <w:p w14:paraId="205B32ED">
      <w:pPr>
        <w:jc w:val="both"/>
      </w:pPr>
      <w:r>
        <w:rPr>
          <w:rFonts w:hint="eastAsia" w:eastAsia="宋体"/>
          <w:sz w:val="24"/>
          <w:szCs w:val="24"/>
          <w:lang w:eastAsia="zh-CN"/>
        </w:rPr>
        <w:drawing>
          <wp:anchor distT="0" distB="0" distL="114300" distR="114300" simplePos="0" relativeHeight="251665408" behindDoc="1" locked="0" layoutInCell="1" allowOverlap="1">
            <wp:simplePos x="0" y="0"/>
            <wp:positionH relativeFrom="column">
              <wp:posOffset>4424680</wp:posOffset>
            </wp:positionH>
            <wp:positionV relativeFrom="paragraph">
              <wp:posOffset>-1764665</wp:posOffset>
            </wp:positionV>
            <wp:extent cx="1963420" cy="1963420"/>
            <wp:effectExtent l="0" t="0" r="17780" b="17780"/>
            <wp:wrapNone/>
            <wp:docPr id="6" name="图片 6" descr="81a2c490-36c9-4eec-8950-43523ede8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1a2c490-36c9-4eec-8950-43523ede8fa0"/>
                    <pic:cNvPicPr>
                      <a:picLocks noChangeAspect="1"/>
                    </pic:cNvPicPr>
                  </pic:nvPicPr>
                  <pic:blipFill>
                    <a:blip r:embed="rId8">
                      <a:alphaModFix amt="20000"/>
                    </a:blip>
                    <a:stretch>
                      <a:fillRect/>
                    </a:stretch>
                  </pic:blipFill>
                  <pic:spPr>
                    <a:xfrm>
                      <a:off x="0" y="0"/>
                      <a:ext cx="1963420" cy="1963420"/>
                    </a:xfrm>
                    <a:prstGeom prst="rect">
                      <a:avLst/>
                    </a:prstGeom>
                  </pic:spPr>
                </pic:pic>
              </a:graphicData>
            </a:graphic>
          </wp:anchor>
        </w:drawing>
      </w:r>
    </w:p>
    <w:p w14:paraId="39FDEDFC">
      <w:r>
        <w:br w:type="page"/>
      </w:r>
    </w:p>
    <w:p w14:paraId="28BFBD14">
      <w:pPr>
        <w:spacing w:after="260"/>
        <w:jc w:val="center"/>
        <w:rPr>
          <w:sz w:val="24"/>
          <w:szCs w:val="24"/>
        </w:rPr>
      </w:pPr>
      <w:r>
        <w:rPr>
          <w:b/>
          <w:sz w:val="24"/>
          <w:szCs w:val="24"/>
        </w:rPr>
        <w:t>EMERGENCY ORDER - CONTINUED</w:t>
      </w:r>
    </w:p>
    <w:p w14:paraId="714F732E">
      <w:pPr>
        <w:spacing w:after="140" w:line="372" w:lineRule="auto"/>
        <w:ind w:left="173" w:firstLine="0"/>
        <w:jc w:val="both"/>
        <w:rPr>
          <w:sz w:val="24"/>
          <w:szCs w:val="24"/>
        </w:rPr>
      </w:pPr>
      <w:r>
        <w:rPr>
          <w:rFonts w:hint="eastAsia" w:ascii="Times New Roman" w:hAnsi="Times New Roman" w:eastAsia="Times New Roman"/>
          <w:sz w:val="24"/>
          <w:szCs w:val="24"/>
        </w:rPr>
        <w:t>3. Submit a detailed Allocation Report to this Court within one (1)</w:t>
      </w:r>
      <w:r>
        <w:rPr>
          <w:rFonts w:ascii="Times New Roman" w:hAnsi="Times New Roman" w:eastAsia="Times New Roman"/>
          <w:sz w:val="24"/>
          <w:szCs w:val="24"/>
        </w:rPr>
        <w:t xml:space="preserve"> business days of the freeze for judicial confirmation and approval of the distribution plan.</w:t>
      </w:r>
    </w:p>
    <w:p w14:paraId="7AB13470">
      <w:pPr>
        <w:spacing w:after="220" w:line="379" w:lineRule="auto"/>
        <w:jc w:val="both"/>
        <w:rPr>
          <w:rFonts w:hint="eastAsia" w:eastAsia="宋体"/>
          <w:sz w:val="24"/>
          <w:szCs w:val="24"/>
          <w:lang w:val="en-US" w:eastAsia="zh-CN"/>
        </w:rPr>
      </w:pPr>
      <w:r>
        <w:rPr>
          <w:rFonts w:ascii="Times New Roman" w:hAnsi="Times New Roman" w:eastAsia="Times New Roman"/>
          <w:sz w:val="24"/>
          <w:szCs w:val="24"/>
        </w:rPr>
        <w:t xml:space="preserve">The restitution to Plaintiff </w:t>
      </w:r>
      <w:r>
        <w:rPr>
          <w:rFonts w:hint="eastAsia" w:eastAsia="宋体"/>
          <w:sz w:val="24"/>
          <w:szCs w:val="24"/>
          <w:lang w:val="en-US" w:eastAsia="zh-CN"/>
        </w:rPr>
        <w:t>客户姓名</w:t>
      </w:r>
      <w:r>
        <w:rPr>
          <w:rFonts w:ascii="Times New Roman" w:hAnsi="Times New Roman" w:eastAsia="Times New Roman"/>
          <w:sz w:val="24"/>
          <w:szCs w:val="24"/>
        </w:rPr>
        <w:t xml:space="preserve"> shall include at minimum his documented USD loss of $</w:t>
      </w:r>
      <w:r>
        <w:rPr>
          <w:rFonts w:hint="eastAsia" w:eastAsia="宋体"/>
          <w:sz w:val="24"/>
          <w:szCs w:val="24"/>
          <w:lang w:val="en-US" w:eastAsia="zh-CN"/>
        </w:rPr>
        <w:t>客户损失的本金.</w:t>
      </w:r>
    </w:p>
    <w:p w14:paraId="77771D51">
      <w:pPr>
        <w:spacing w:after="140" w:line="348" w:lineRule="auto"/>
        <w:jc w:val="left"/>
        <w:rPr>
          <w:sz w:val="24"/>
          <w:szCs w:val="24"/>
        </w:rPr>
      </w:pPr>
      <w:r>
        <w:rPr>
          <w:rFonts w:ascii="Times New Roman" w:hAnsi="Times New Roman" w:eastAsia="Times New Roman"/>
          <w:b/>
          <w:sz w:val="24"/>
          <w:szCs w:val="24"/>
        </w:rPr>
        <w:t>4. Accounting and Reporting Requirements.</w:t>
      </w:r>
    </w:p>
    <w:p w14:paraId="0DEE3020">
      <w:pPr>
        <w:spacing w:after="220" w:line="379" w:lineRule="auto"/>
        <w:jc w:val="both"/>
        <w:rPr>
          <w:sz w:val="24"/>
          <w:szCs w:val="24"/>
        </w:rPr>
      </w:pPr>
      <w:r>
        <w:rPr>
          <w:rFonts w:ascii="Times New Roman" w:hAnsi="Times New Roman" w:eastAsia="Times New Roman"/>
          <w:sz w:val="24"/>
          <w:szCs w:val="24"/>
        </w:rPr>
        <w:t xml:space="preserve">Within </w:t>
      </w:r>
      <w:r>
        <w:rPr>
          <w:rFonts w:hint="eastAsia" w:eastAsia="宋体"/>
          <w:sz w:val="24"/>
          <w:szCs w:val="24"/>
          <w:lang w:val="en-US" w:eastAsia="zh-CN"/>
        </w:rPr>
        <w:t>one</w:t>
      </w:r>
      <w:r>
        <w:rPr>
          <w:rFonts w:ascii="Times New Roman" w:hAnsi="Times New Roman" w:eastAsia="Times New Roman"/>
          <w:sz w:val="24"/>
          <w:szCs w:val="24"/>
        </w:rPr>
        <w:t xml:space="preserve"> (</w:t>
      </w:r>
      <w:r>
        <w:rPr>
          <w:rFonts w:hint="eastAsia" w:eastAsia="宋体"/>
          <w:sz w:val="24"/>
          <w:szCs w:val="24"/>
          <w:lang w:val="en-US" w:eastAsia="zh-CN"/>
        </w:rPr>
        <w:t>1</w:t>
      </w:r>
      <w:r>
        <w:rPr>
          <w:rFonts w:ascii="Times New Roman" w:hAnsi="Times New Roman" w:eastAsia="Times New Roman"/>
          <w:sz w:val="24"/>
          <w:szCs w:val="24"/>
        </w:rPr>
        <w:t>) business days of service of this Order, Tether Limited and Bitget shall provide Plaintiff's counsel (</w:t>
      </w:r>
      <w:r>
        <w:rPr>
          <w:rFonts w:hint="eastAsia" w:eastAsia="宋体"/>
          <w:sz w:val="24"/>
          <w:szCs w:val="24"/>
          <w:lang w:val="en-US" w:eastAsia="zh-CN"/>
        </w:rPr>
        <w:t>Daniel Okafor</w:t>
      </w:r>
      <w:r>
        <w:rPr>
          <w:rFonts w:ascii="Times New Roman" w:hAnsi="Times New Roman" w:eastAsia="Times New Roman"/>
          <w:sz w:val="24"/>
          <w:szCs w:val="24"/>
        </w:rPr>
        <w:t xml:space="preserve">, Esq., </w:t>
      </w:r>
      <w:r>
        <w:rPr>
          <w:rFonts w:hint="eastAsia" w:eastAsia="宋体"/>
          <w:sz w:val="24"/>
          <w:szCs w:val="24"/>
          <w:lang w:val="en-US" w:eastAsia="zh-CN"/>
        </w:rPr>
        <w:t>Whitfield &amp; Crane LLP</w:t>
      </w:r>
      <w:r>
        <w:rPr>
          <w:rFonts w:ascii="Times New Roman" w:hAnsi="Times New Roman" w:eastAsia="Times New Roman"/>
          <w:sz w:val="24"/>
          <w:szCs w:val="24"/>
        </w:rPr>
        <w:t>) with a full and complete accounting of:</w:t>
      </w:r>
    </w:p>
    <w:p w14:paraId="3D156B66">
      <w:pPr>
        <w:spacing w:after="140" w:line="372" w:lineRule="auto"/>
        <w:ind w:left="173" w:firstLine="0"/>
        <w:jc w:val="both"/>
        <w:rPr>
          <w:sz w:val="24"/>
          <w:szCs w:val="24"/>
        </w:rPr>
      </w:pPr>
      <w:r>
        <w:rPr>
          <w:rFonts w:ascii="Times New Roman" w:hAnsi="Times New Roman" w:eastAsia="Times New Roman"/>
          <w:sz w:val="24"/>
          <w:szCs w:val="24"/>
        </w:rPr>
        <w:t>1. The exact balance and transaction history of the Frozen Address for the past twenty-four (24) months.</w:t>
      </w:r>
    </w:p>
    <w:p w14:paraId="10933F5A">
      <w:pPr>
        <w:spacing w:after="140" w:line="372" w:lineRule="auto"/>
        <w:ind w:left="173" w:firstLine="0"/>
        <w:jc w:val="both"/>
        <w:rPr>
          <w:sz w:val="24"/>
          <w:szCs w:val="24"/>
        </w:rPr>
      </w:pPr>
      <w:r>
        <w:rPr>
          <w:rFonts w:ascii="Times New Roman" w:hAnsi="Times New Roman" w:eastAsia="Times New Roman"/>
          <w:sz w:val="24"/>
          <w:szCs w:val="24"/>
        </w:rPr>
        <w:t>2. All blockchain records confirming the USDT tokens are under Tether's control.</w:t>
      </w:r>
    </w:p>
    <w:p w14:paraId="22A37C3B">
      <w:pPr>
        <w:spacing w:after="140" w:line="372" w:lineRule="auto"/>
        <w:ind w:left="173" w:firstLine="0"/>
        <w:jc w:val="both"/>
        <w:rPr>
          <w:sz w:val="24"/>
          <w:szCs w:val="24"/>
        </w:rPr>
      </w:pPr>
      <w:r>
        <w:rPr>
          <w:rFonts w:ascii="Times New Roman" w:hAnsi="Times New Roman" w:eastAsia="Times New Roman"/>
          <w:sz w:val="24"/>
          <w:szCs w:val="24"/>
        </w:rPr>
        <w:t>3. Written confirmation of the implementation of the Emergency Freeze.</w:t>
      </w:r>
    </w:p>
    <w:p w14:paraId="56D6FCBB">
      <w:pPr>
        <w:spacing w:after="220" w:line="379" w:lineRule="auto"/>
        <w:jc w:val="both"/>
        <w:rPr>
          <w:sz w:val="24"/>
          <w:szCs w:val="24"/>
        </w:rPr>
      </w:pPr>
      <w:r>
        <w:rPr>
          <w:rFonts w:ascii="Times New Roman" w:hAnsi="Times New Roman" w:eastAsia="Times New Roman"/>
          <w:sz w:val="24"/>
          <w:szCs w:val="24"/>
        </w:rPr>
        <w:t>Failure to comply shall subject Tether Limited and Bitget to contempt proceedings.</w:t>
      </w:r>
    </w:p>
    <w:p w14:paraId="3FD7E487">
      <w:pPr>
        <w:spacing w:after="140" w:line="348" w:lineRule="auto"/>
        <w:jc w:val="left"/>
        <w:rPr>
          <w:sz w:val="24"/>
          <w:szCs w:val="24"/>
        </w:rPr>
      </w:pPr>
      <w:r>
        <w:rPr>
          <w:rFonts w:ascii="Times New Roman" w:hAnsi="Times New Roman" w:eastAsia="Times New Roman"/>
          <w:b/>
          <w:sz w:val="24"/>
          <w:szCs w:val="24"/>
        </w:rPr>
        <w:t>5. Service and Immediate Effectiveness.</w:t>
      </w:r>
    </w:p>
    <w:p w14:paraId="72CD0492">
      <w:pPr>
        <w:spacing w:after="220" w:line="379" w:lineRule="auto"/>
        <w:jc w:val="both"/>
        <w:rPr>
          <w:sz w:val="24"/>
          <w:szCs w:val="24"/>
        </w:rPr>
      </w:pPr>
      <w:r>
        <w:rPr>
          <w:rFonts w:ascii="Times New Roman" w:hAnsi="Times New Roman" w:eastAsia="Times New Roman"/>
          <w:sz w:val="24"/>
          <w:szCs w:val="24"/>
        </w:rPr>
        <w:t>This Order may be served upon Tether Limited, Bitget, and any affiliated financial institutions by electronic mail, overnight courier, or personal service to their registered agents or legal departments. It shall be deemed effective immediately upon receipt.</w:t>
      </w:r>
    </w:p>
    <w:p w14:paraId="35D988F2">
      <w:r>
        <w:br w:type="page"/>
      </w:r>
      <w:r>
        <w:rPr>
          <w:rFonts w:hint="eastAsia" w:eastAsia="宋体"/>
          <w:sz w:val="24"/>
          <w:szCs w:val="24"/>
          <w:lang w:eastAsia="zh-CN"/>
        </w:rPr>
        <w:drawing>
          <wp:anchor distT="0" distB="0" distL="114300" distR="114300" simplePos="0" relativeHeight="251663360" behindDoc="1" locked="0" layoutInCell="1" allowOverlap="1">
            <wp:simplePos x="0" y="0"/>
            <wp:positionH relativeFrom="column">
              <wp:posOffset>4424680</wp:posOffset>
            </wp:positionH>
            <wp:positionV relativeFrom="paragraph">
              <wp:posOffset>1193165</wp:posOffset>
            </wp:positionV>
            <wp:extent cx="1963420" cy="1963420"/>
            <wp:effectExtent l="0" t="0" r="17780" b="17780"/>
            <wp:wrapNone/>
            <wp:docPr id="3" name="图片 3" descr="81a2c490-36c9-4eec-8950-43523ede8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1a2c490-36c9-4eec-8950-43523ede8fa0"/>
                    <pic:cNvPicPr>
                      <a:picLocks noChangeAspect="1"/>
                    </pic:cNvPicPr>
                  </pic:nvPicPr>
                  <pic:blipFill>
                    <a:blip r:embed="rId8">
                      <a:alphaModFix amt="20000"/>
                    </a:blip>
                    <a:stretch>
                      <a:fillRect/>
                    </a:stretch>
                  </pic:blipFill>
                  <pic:spPr>
                    <a:xfrm>
                      <a:off x="0" y="0"/>
                      <a:ext cx="1963420" cy="1963420"/>
                    </a:xfrm>
                    <a:prstGeom prst="rect">
                      <a:avLst/>
                    </a:prstGeom>
                  </pic:spPr>
                </pic:pic>
              </a:graphicData>
            </a:graphic>
          </wp:anchor>
        </w:drawing>
      </w:r>
    </w:p>
    <w:p w14:paraId="543C04EC">
      <w:pPr>
        <w:spacing w:after="260"/>
        <w:jc w:val="center"/>
        <w:rPr>
          <w:sz w:val="24"/>
          <w:szCs w:val="24"/>
        </w:rPr>
      </w:pPr>
      <w:r>
        <w:rPr>
          <w:b/>
          <w:sz w:val="24"/>
          <w:szCs w:val="24"/>
        </w:rPr>
        <w:t>EMERGENCY ORDER - FINAL PAGE</w:t>
      </w:r>
    </w:p>
    <w:p w14:paraId="30D13714">
      <w:pPr>
        <w:spacing w:after="220" w:line="379" w:lineRule="auto"/>
        <w:jc w:val="both"/>
        <w:rPr>
          <w:sz w:val="24"/>
          <w:szCs w:val="24"/>
        </w:rPr>
      </w:pPr>
      <w:r>
        <w:rPr>
          <w:rFonts w:ascii="Times New Roman" w:hAnsi="Times New Roman" w:eastAsia="Times New Roman"/>
          <w:sz w:val="24"/>
          <w:szCs w:val="24"/>
        </w:rPr>
        <w:t>This Order is specifically intended for submission to Tether Limited's compliance and legal departments to compel immediate execution of the Emergency Freeze Order and restitution process.</w:t>
      </w:r>
    </w:p>
    <w:p w14:paraId="768F010D">
      <w:pPr>
        <w:spacing w:after="140" w:line="348" w:lineRule="auto"/>
        <w:jc w:val="left"/>
        <w:rPr>
          <w:sz w:val="24"/>
          <w:szCs w:val="24"/>
        </w:rPr>
      </w:pPr>
      <w:r>
        <w:rPr>
          <w:rFonts w:ascii="Times New Roman" w:hAnsi="Times New Roman" w:eastAsia="Times New Roman"/>
          <w:b/>
          <w:sz w:val="24"/>
          <w:szCs w:val="24"/>
        </w:rPr>
        <w:t>6. Duration and Modification.</w:t>
      </w:r>
    </w:p>
    <w:p w14:paraId="65A789A0">
      <w:pPr>
        <w:spacing w:after="220" w:line="379" w:lineRule="auto"/>
        <w:jc w:val="both"/>
        <w:rPr>
          <w:sz w:val="24"/>
          <w:szCs w:val="24"/>
        </w:rPr>
      </w:pPr>
      <w:r>
        <w:rPr>
          <w:rFonts w:ascii="Times New Roman" w:hAnsi="Times New Roman" w:eastAsia="Times New Roman"/>
          <w:sz w:val="24"/>
          <w:szCs w:val="24"/>
        </w:rPr>
        <w:t>This Emergency Order shall remain in full force and effect until further order of this Court, a final judgment is entered, or the Court approves the final allocation and distribution of the returned funds.</w:t>
      </w:r>
      <w:r>
        <w:rPr>
          <w:rFonts w:ascii="Times New Roman" w:hAnsi="Times New Roman" w:eastAsia="Times New Roman"/>
          <w:b/>
          <w:sz w:val="24"/>
          <w:szCs w:val="24"/>
        </w:rPr>
        <w:br w:type="textWrapping"/>
      </w:r>
      <w:r>
        <w:rPr>
          <w:rFonts w:ascii="Times New Roman" w:hAnsi="Times New Roman" w:eastAsia="Times New Roman"/>
          <w:b/>
          <w:sz w:val="24"/>
          <w:szCs w:val="24"/>
        </w:rPr>
        <w:t>IT IS SO ORDERED.</w:t>
      </w:r>
    </w:p>
    <w:tbl>
      <w:tblPr>
        <w:tblStyle w:val="32"/>
        <w:tblW w:w="0" w:type="auto"/>
        <w:jc w:val="center"/>
        <w:tblLayout w:type="fixed"/>
        <w:tblCellMar>
          <w:top w:w="0" w:type="dxa"/>
          <w:left w:w="108" w:type="dxa"/>
          <w:bottom w:w="0" w:type="dxa"/>
          <w:right w:w="108" w:type="dxa"/>
        </w:tblCellMar>
      </w:tblPr>
      <w:tblGrid>
        <w:gridCol w:w="4535"/>
        <w:gridCol w:w="4535"/>
      </w:tblGrid>
      <w:tr w14:paraId="330FC052">
        <w:tblPrEx>
          <w:tblCellMar>
            <w:top w:w="0" w:type="dxa"/>
            <w:left w:w="108" w:type="dxa"/>
            <w:bottom w:w="0" w:type="dxa"/>
            <w:right w:w="108" w:type="dxa"/>
          </w:tblCellMar>
        </w:tblPrEx>
        <w:trPr>
          <w:jc w:val="center"/>
        </w:trPr>
        <w:tc>
          <w:tcPr>
            <w:tcW w:w="4706" w:type="dxa"/>
            <w:tcBorders>
              <w:top w:val="nil"/>
              <w:left w:val="nil"/>
              <w:bottom w:val="nil"/>
              <w:right w:val="nil"/>
            </w:tcBorders>
            <w:vAlign w:val="bottom"/>
          </w:tcPr>
          <w:p w14:paraId="23A4EC9A">
            <w:pPr>
              <w:spacing w:after="0" w:line="372" w:lineRule="auto"/>
              <w:rPr>
                <w:sz w:val="24"/>
                <w:szCs w:val="24"/>
              </w:rPr>
            </w:pPr>
            <w:r>
              <w:rPr>
                <w:rFonts w:hint="eastAsia" w:eastAsia="宋体"/>
                <w:sz w:val="24"/>
                <w:szCs w:val="24"/>
                <w:lang w:val="en-US" w:eastAsia="zh-CN"/>
              </w:rPr>
              <w:t>冻结日期</w:t>
            </w:r>
            <w:r>
              <w:rPr>
                <w:rFonts w:ascii="Times New Roman" w:hAnsi="Times New Roman" w:eastAsia="Times New Roman"/>
                <w:sz w:val="24"/>
                <w:szCs w:val="24"/>
              </w:rPr>
              <w:br w:type="textWrapping"/>
            </w:r>
            <w:r>
              <w:rPr>
                <w:rFonts w:ascii="Times New Roman" w:hAnsi="Times New Roman" w:eastAsia="Times New Roman"/>
                <w:sz w:val="24"/>
                <w:szCs w:val="24"/>
              </w:rPr>
              <w:t>New York, New York</w:t>
            </w:r>
          </w:p>
        </w:tc>
        <w:tc>
          <w:tcPr>
            <w:tcW w:w="4706" w:type="dxa"/>
            <w:tcBorders>
              <w:top w:val="nil"/>
              <w:left w:val="nil"/>
              <w:bottom w:val="nil"/>
              <w:right w:val="nil"/>
            </w:tcBorders>
            <w:vAlign w:val="bottom"/>
          </w:tcPr>
          <w:p w14:paraId="4C35DE44">
            <w:pPr>
              <w:pBdr>
                <w:top w:val="single" w:color="000000" w:sz="6" w:space="1"/>
              </w:pBdr>
              <w:spacing w:after="0" w:line="372" w:lineRule="auto"/>
              <w:rPr>
                <w:sz w:val="24"/>
                <w:szCs w:val="24"/>
              </w:rPr>
            </w:pPr>
            <w:r>
              <w:rPr>
                <w:rFonts w:ascii="Times New Roman" w:hAnsi="Times New Roman" w:eastAsia="Times New Roman"/>
                <w:b/>
                <w:sz w:val="24"/>
                <w:szCs w:val="24"/>
              </w:rPr>
              <w:t>The Honorable Laura Taylor Swain</w:t>
            </w:r>
            <w:r>
              <w:rPr>
                <w:rFonts w:ascii="Times New Roman" w:hAnsi="Times New Roman" w:eastAsia="Times New Roman"/>
                <w:b/>
                <w:sz w:val="24"/>
                <w:szCs w:val="24"/>
              </w:rPr>
              <w:br w:type="textWrapping"/>
            </w:r>
            <w:r>
              <w:rPr>
                <w:rFonts w:ascii="Times New Roman" w:hAnsi="Times New Roman" w:eastAsia="Times New Roman"/>
                <w:b/>
                <w:sz w:val="24"/>
                <w:szCs w:val="24"/>
              </w:rPr>
              <w:t>Chief United States District Judge</w:t>
            </w:r>
            <w:r>
              <w:rPr>
                <w:rFonts w:ascii="Times New Roman" w:hAnsi="Times New Roman" w:eastAsia="Times New Roman"/>
                <w:b/>
                <w:sz w:val="24"/>
                <w:szCs w:val="24"/>
              </w:rPr>
              <w:br w:type="textWrapping"/>
            </w:r>
            <w:r>
              <w:rPr>
                <w:rFonts w:ascii="Times New Roman" w:hAnsi="Times New Roman" w:eastAsia="Times New Roman"/>
                <w:b/>
                <w:sz w:val="24"/>
                <w:szCs w:val="24"/>
              </w:rPr>
              <w:t>Southern District of New York</w:t>
            </w:r>
          </w:p>
        </w:tc>
      </w:tr>
    </w:tbl>
    <w:p w14:paraId="0F0C566A">
      <w:pPr>
        <w:spacing w:before="320" w:after="160"/>
        <w:rPr>
          <w:sz w:val="24"/>
          <w:szCs w:val="24"/>
        </w:rPr>
      </w:pPr>
      <w:r>
        <w:rPr>
          <w:i/>
          <w:sz w:val="24"/>
          <w:szCs w:val="24"/>
        </w:rPr>
        <w:t>Respectfully submitted by:</w:t>
      </w:r>
    </w:p>
    <w:p w14:paraId="4A173C15">
      <w:pPr>
        <w:spacing w:after="0" w:line="355" w:lineRule="auto"/>
        <w:rPr>
          <w:rFonts w:hint="eastAsia" w:ascii="Times New Roman" w:hAnsi="Times New Roman" w:eastAsia="Times New Roman"/>
          <w:sz w:val="24"/>
          <w:szCs w:val="24"/>
        </w:rPr>
      </w:pPr>
      <w:r>
        <w:rPr>
          <w:rFonts w:ascii="Times New Roman" w:hAnsi="Times New Roman" w:eastAsia="Times New Roman"/>
          <w:sz w:val="24"/>
          <w:szCs w:val="24"/>
        </w:rPr>
        <w:t xml:space="preserve">/s/ </w:t>
      </w:r>
      <w:r>
        <w:rPr>
          <w:rFonts w:hint="eastAsia" w:eastAsia="宋体"/>
          <w:sz w:val="24"/>
          <w:szCs w:val="24"/>
          <w:lang w:val="en-US" w:eastAsia="zh-CN"/>
        </w:rPr>
        <w:t>Daniel Okafor</w:t>
      </w:r>
      <w:r>
        <w:rPr>
          <w:rFonts w:ascii="Times New Roman" w:hAnsi="Times New Roman" w:eastAsia="Times New Roman"/>
          <w:sz w:val="24"/>
          <w:szCs w:val="24"/>
        </w:rPr>
        <w:br w:type="textWrapping"/>
      </w:r>
      <w:r>
        <w:rPr>
          <w:rFonts w:hint="eastAsia" w:eastAsia="宋体"/>
          <w:sz w:val="24"/>
          <w:szCs w:val="24"/>
          <w:lang w:val="en-US" w:eastAsia="zh-CN"/>
        </w:rPr>
        <w:t>Daniel Okafor</w:t>
      </w:r>
      <w:r>
        <w:rPr>
          <w:rFonts w:ascii="Times New Roman" w:hAnsi="Times New Roman" w:eastAsia="Times New Roman"/>
          <w:sz w:val="24"/>
          <w:szCs w:val="24"/>
        </w:rPr>
        <w:t>, Esq.</w:t>
      </w:r>
      <w:r>
        <w:rPr>
          <w:rFonts w:ascii="Times New Roman" w:hAnsi="Times New Roman" w:eastAsia="Times New Roman"/>
          <w:sz w:val="24"/>
          <w:szCs w:val="24"/>
        </w:rPr>
        <w:br w:type="textWrapping"/>
      </w:r>
      <w:r>
        <w:rPr>
          <w:rFonts w:ascii="Times New Roman" w:hAnsi="Times New Roman" w:eastAsia="Times New Roman"/>
          <w:sz w:val="24"/>
          <w:szCs w:val="24"/>
        </w:rPr>
        <w:t xml:space="preserve">Bar No. </w:t>
      </w:r>
      <w:r>
        <w:rPr>
          <w:rFonts w:hint="eastAsia" w:ascii="Times New Roman" w:hAnsi="Times New Roman" w:eastAsia="Times New Roman"/>
          <w:sz w:val="24"/>
          <w:szCs w:val="24"/>
        </w:rPr>
        <w:t>3806612</w:t>
      </w:r>
      <w:r>
        <w:rPr>
          <w:rFonts w:ascii="Times New Roman" w:hAnsi="Times New Roman" w:eastAsia="Times New Roman"/>
          <w:sz w:val="24"/>
          <w:szCs w:val="24"/>
        </w:rPr>
        <w:br w:type="textWrapping"/>
      </w:r>
      <w:r>
        <w:rPr>
          <w:rFonts w:hint="eastAsia" w:ascii="Times New Roman" w:hAnsi="Times New Roman" w:eastAsia="Times New Roman"/>
          <w:sz w:val="24"/>
          <w:szCs w:val="24"/>
        </w:rPr>
        <w:t>WHITFIELD &amp; CRANE LLP</w:t>
      </w:r>
      <w:r>
        <w:rPr>
          <w:rFonts w:ascii="Times New Roman" w:hAnsi="Times New Roman" w:eastAsia="Times New Roman"/>
          <w:sz w:val="24"/>
          <w:szCs w:val="24"/>
        </w:rPr>
        <w:br w:type="textWrapping"/>
      </w:r>
      <w:r>
        <w:rPr>
          <w:rFonts w:hint="eastAsia" w:ascii="Times New Roman" w:hAnsi="Times New Roman" w:eastAsia="Times New Roman"/>
          <w:sz w:val="24"/>
          <w:szCs w:val="24"/>
        </w:rPr>
        <w:t>60 East 42nd Street, 38th Floor, Office C</w:t>
      </w:r>
    </w:p>
    <w:p w14:paraId="18B99AE4">
      <w:pPr>
        <w:spacing w:after="0" w:line="355" w:lineRule="auto"/>
        <w:rPr>
          <w:rFonts w:ascii="Times New Roman" w:hAnsi="Times New Roman" w:eastAsia="Times New Roman"/>
          <w:sz w:val="24"/>
          <w:szCs w:val="24"/>
        </w:rPr>
      </w:pPr>
      <w:r>
        <w:rPr>
          <w:rFonts w:hint="eastAsia" w:ascii="Times New Roman" w:hAnsi="Times New Roman" w:eastAsia="Times New Roman"/>
          <w:sz w:val="24"/>
          <w:szCs w:val="24"/>
        </w:rPr>
        <w:t>New York, NY 1016</w:t>
      </w:r>
      <w:r>
        <w:rPr>
          <w:rFonts w:hint="eastAsia" w:eastAsia="宋体"/>
          <w:sz w:val="24"/>
          <w:szCs w:val="24"/>
          <w:lang w:val="en-US" w:eastAsia="zh-CN"/>
        </w:rPr>
        <w:t>5</w:t>
      </w:r>
      <w:r>
        <w:rPr>
          <w:rFonts w:ascii="Times New Roman" w:hAnsi="Times New Roman" w:eastAsia="Times New Roman"/>
          <w:sz w:val="24"/>
          <w:szCs w:val="24"/>
        </w:rPr>
        <w:br w:type="textWrapping"/>
      </w:r>
      <w:r>
        <w:rPr>
          <w:rFonts w:ascii="Times New Roman" w:hAnsi="Times New Roman" w:eastAsia="Times New Roman"/>
          <w:sz w:val="24"/>
          <w:szCs w:val="24"/>
        </w:rPr>
        <w:t xml:space="preserve">Email: </w:t>
      </w:r>
      <w:r>
        <w:rPr>
          <w:rFonts w:hint="eastAsia" w:ascii="Times New Roman" w:hAnsi="Times New Roman" w:eastAsia="Times New Roman"/>
          <w:sz w:val="24"/>
          <w:szCs w:val="24"/>
        </w:rPr>
        <w:t>whitfieldcranellp@gmail.com</w:t>
      </w:r>
      <w:r>
        <w:rPr>
          <w:rFonts w:ascii="Times New Roman" w:hAnsi="Times New Roman" w:eastAsia="Times New Roman"/>
          <w:sz w:val="24"/>
          <w:szCs w:val="24"/>
        </w:rPr>
        <w:br w:type="textWrapping"/>
      </w:r>
      <w:r>
        <w:rPr>
          <w:rFonts w:ascii="Times New Roman" w:hAnsi="Times New Roman" w:eastAsia="Times New Roman"/>
          <w:sz w:val="24"/>
          <w:szCs w:val="24"/>
        </w:rPr>
        <w:t>Counsel for Plaintiff</w:t>
      </w:r>
    </w:p>
    <w:p w14:paraId="09F43807">
      <w:pPr>
        <w:spacing w:after="0" w:line="355" w:lineRule="auto"/>
        <w:rPr>
          <w:rFonts w:ascii="Times New Roman" w:hAnsi="Times New Roman" w:eastAsia="Times New Roman"/>
          <w:sz w:val="24"/>
          <w:szCs w:val="24"/>
        </w:rPr>
      </w:pPr>
    </w:p>
    <w:p w14:paraId="162D8DD0">
      <w:pPr>
        <w:spacing w:after="0" w:line="355" w:lineRule="auto"/>
        <w:rPr>
          <w:rFonts w:ascii="Times New Roman" w:hAnsi="Times New Roman" w:eastAsia="Times New Roman"/>
          <w:sz w:val="24"/>
          <w:szCs w:val="24"/>
        </w:rPr>
      </w:pPr>
    </w:p>
    <w:p w14:paraId="4116FA26">
      <w:pPr>
        <w:spacing w:after="0" w:line="355" w:lineRule="auto"/>
        <w:rPr>
          <w:rFonts w:hint="eastAsia" w:ascii="Times New Roman" w:hAnsi="Times New Roman" w:eastAsia="Times New Roman"/>
          <w:sz w:val="24"/>
          <w:szCs w:val="24"/>
          <w:lang w:eastAsia="zh-CN"/>
        </w:rPr>
      </w:pP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4"/>
        <w:gridCol w:w="4814"/>
      </w:tblGrid>
      <w:tr w14:paraId="21D3B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66487BA7">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Counsel Signature:</w:t>
            </w:r>
          </w:p>
          <w:p w14:paraId="34A4E5D8">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drawing>
                <wp:anchor distT="0" distB="0" distL="114300" distR="114300" simplePos="0" relativeHeight="251662336" behindDoc="0" locked="0" layoutInCell="1" allowOverlap="1">
                  <wp:simplePos x="0" y="0"/>
                  <wp:positionH relativeFrom="column">
                    <wp:posOffset>361950</wp:posOffset>
                  </wp:positionH>
                  <wp:positionV relativeFrom="paragraph">
                    <wp:posOffset>40005</wp:posOffset>
                  </wp:positionV>
                  <wp:extent cx="2070100" cy="689610"/>
                  <wp:effectExtent l="0" t="0" r="0" b="0"/>
                  <wp:wrapNone/>
                  <wp:docPr id="2" name="图片 2" descr="律师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律师签名"/>
                          <pic:cNvPicPr>
                            <a:picLocks noChangeAspect="1"/>
                          </pic:cNvPicPr>
                        </pic:nvPicPr>
                        <pic:blipFill>
                          <a:blip r:embed="rId9"/>
                          <a:stretch>
                            <a:fillRect/>
                          </a:stretch>
                        </pic:blipFill>
                        <pic:spPr>
                          <a:xfrm>
                            <a:off x="0" y="0"/>
                            <a:ext cx="2070100" cy="689610"/>
                          </a:xfrm>
                          <a:prstGeom prst="rect">
                            <a:avLst/>
                          </a:prstGeom>
                        </pic:spPr>
                      </pic:pic>
                    </a:graphicData>
                  </a:graphic>
                </wp:anchor>
              </w:drawing>
            </w:r>
          </w:p>
        </w:tc>
        <w:tc>
          <w:tcPr>
            <w:tcW w:w="4814" w:type="dxa"/>
            <w:tcBorders>
              <w:tl2br w:val="nil"/>
              <w:tr2bl w:val="nil"/>
            </w:tcBorders>
            <w:vAlign w:val="top"/>
          </w:tcPr>
          <w:p w14:paraId="7881BF5A">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drawing>
                <wp:anchor distT="0" distB="0" distL="114300" distR="114300" simplePos="0" relativeHeight="251661312" behindDoc="0" locked="0" layoutInCell="1" allowOverlap="1">
                  <wp:simplePos x="0" y="0"/>
                  <wp:positionH relativeFrom="column">
                    <wp:posOffset>524510</wp:posOffset>
                  </wp:positionH>
                  <wp:positionV relativeFrom="paragraph">
                    <wp:posOffset>387985</wp:posOffset>
                  </wp:positionV>
                  <wp:extent cx="1410970" cy="357505"/>
                  <wp:effectExtent l="0" t="0" r="17780" b="4445"/>
                  <wp:wrapNone/>
                  <wp:docPr id="8" name="图片 8" descr="纽约州法官签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纽约州法官签名(1)"/>
                          <pic:cNvPicPr>
                            <a:picLocks noChangeAspect="1"/>
                          </pic:cNvPicPr>
                        </pic:nvPicPr>
                        <pic:blipFill>
                          <a:blip r:embed="rId10"/>
                          <a:stretch>
                            <a:fillRect/>
                          </a:stretch>
                        </pic:blipFill>
                        <pic:spPr>
                          <a:xfrm>
                            <a:off x="0" y="0"/>
                            <a:ext cx="1410970" cy="357505"/>
                          </a:xfrm>
                          <a:prstGeom prst="rect">
                            <a:avLst/>
                          </a:prstGeom>
                        </pic:spPr>
                      </pic:pic>
                    </a:graphicData>
                  </a:graphic>
                </wp:anchor>
              </w:drawing>
            </w:r>
            <w:r>
              <w:rPr>
                <w:rFonts w:hint="eastAsia" w:eastAsia="宋体"/>
                <w:sz w:val="24"/>
                <w:szCs w:val="24"/>
                <w:lang w:eastAsia="zh-CN"/>
              </w:rPr>
              <w:drawing>
                <wp:anchor distT="0" distB="0" distL="114300" distR="114300" simplePos="0" relativeHeight="251659264" behindDoc="1" locked="0" layoutInCell="1" allowOverlap="1">
                  <wp:simplePos x="0" y="0"/>
                  <wp:positionH relativeFrom="column">
                    <wp:posOffset>1367790</wp:posOffset>
                  </wp:positionH>
                  <wp:positionV relativeFrom="paragraph">
                    <wp:posOffset>230505</wp:posOffset>
                  </wp:positionV>
                  <wp:extent cx="1963420" cy="1963420"/>
                  <wp:effectExtent l="0" t="0" r="17780" b="17780"/>
                  <wp:wrapNone/>
                  <wp:docPr id="1" name="图片 1" descr="81a2c490-36c9-4eec-8950-43523ede8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1a2c490-36c9-4eec-8950-43523ede8fa0"/>
                          <pic:cNvPicPr>
                            <a:picLocks noChangeAspect="1"/>
                          </pic:cNvPicPr>
                        </pic:nvPicPr>
                        <pic:blipFill>
                          <a:blip r:embed="rId8">
                            <a:alphaModFix amt="20000"/>
                          </a:blip>
                          <a:stretch>
                            <a:fillRect/>
                          </a:stretch>
                        </pic:blipFill>
                        <pic:spPr>
                          <a:xfrm>
                            <a:off x="0" y="0"/>
                            <a:ext cx="1963420" cy="1963420"/>
                          </a:xfrm>
                          <a:prstGeom prst="rect">
                            <a:avLst/>
                          </a:prstGeom>
                        </pic:spPr>
                      </pic:pic>
                    </a:graphicData>
                  </a:graphic>
                </wp:anchor>
              </w:drawing>
            </w:r>
            <w:r>
              <w:rPr>
                <w:rFonts w:hint="eastAsia" w:ascii="Times New Roman" w:hAnsi="Times New Roman" w:eastAsia="Times New Roman"/>
                <w:sz w:val="24"/>
                <w:szCs w:val="24"/>
                <w:lang w:eastAsia="zh-CN"/>
              </w:rPr>
              <w:t>Judge Signature:</w:t>
            </w:r>
          </w:p>
        </w:tc>
      </w:tr>
      <w:tr w14:paraId="2B0AE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5EE1EA2D">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Name:</w:t>
            </w:r>
          </w:p>
          <w:p w14:paraId="2BAC5F2C">
            <w:pPr>
              <w:spacing w:after="0" w:line="355" w:lineRule="auto"/>
              <w:jc w:val="left"/>
              <w:rPr>
                <w:rFonts w:hint="eastAsia" w:ascii="Times New Roman" w:hAnsi="Times New Roman" w:eastAsia="Times New Roman"/>
                <w:sz w:val="24"/>
                <w:szCs w:val="24"/>
                <w:lang w:eastAsia="zh-CN"/>
              </w:rPr>
            </w:pPr>
          </w:p>
        </w:tc>
        <w:tc>
          <w:tcPr>
            <w:tcW w:w="4814" w:type="dxa"/>
            <w:tcBorders>
              <w:tl2br w:val="nil"/>
              <w:tr2bl w:val="nil"/>
            </w:tcBorders>
            <w:vAlign w:val="top"/>
          </w:tcPr>
          <w:p w14:paraId="64AE9FA1">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t>Name:</w:t>
            </w:r>
          </w:p>
        </w:tc>
      </w:tr>
      <w:tr w14:paraId="54D82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01B7F026">
            <w:pPr>
              <w:spacing w:after="0" w:line="355" w:lineRule="auto"/>
              <w:jc w:val="left"/>
              <w:rPr>
                <w:rFonts w:hint="eastAsia" w:ascii="Times New Roman" w:hAnsi="Times New Roman" w:eastAsia="Times New Roman"/>
                <w:sz w:val="24"/>
                <w:szCs w:val="24"/>
                <w:lang w:eastAsia="zh-CN"/>
              </w:rPr>
            </w:pPr>
            <w:r>
              <w:rPr>
                <w:rFonts w:hint="eastAsia"/>
                <w:sz w:val="24"/>
                <w:szCs w:val="24"/>
                <w:lang w:val="en-US" w:eastAsia="zh-CN"/>
              </w:rPr>
              <w:t>冻结日期</w:t>
            </w:r>
          </w:p>
        </w:tc>
        <w:tc>
          <w:tcPr>
            <w:tcW w:w="4814" w:type="dxa"/>
            <w:tcBorders>
              <w:tl2br w:val="nil"/>
              <w:tr2bl w:val="nil"/>
            </w:tcBorders>
            <w:vAlign w:val="top"/>
          </w:tcPr>
          <w:p w14:paraId="7CE8D742">
            <w:pPr>
              <w:spacing w:after="0" w:line="355" w:lineRule="auto"/>
              <w:jc w:val="left"/>
              <w:rPr>
                <w:rFonts w:hint="default" w:ascii="Times New Roman" w:hAnsi="Times New Roman" w:eastAsia="Times New Roman"/>
                <w:sz w:val="24"/>
                <w:szCs w:val="24"/>
                <w:vertAlign w:val="baseline"/>
                <w:lang w:val="en-US" w:eastAsia="zh-CN"/>
              </w:rPr>
            </w:pPr>
            <w:r>
              <w:rPr>
                <w:rFonts w:hint="eastAsia"/>
                <w:sz w:val="24"/>
                <w:szCs w:val="24"/>
                <w:lang w:val="en-US" w:eastAsia="zh-CN"/>
              </w:rPr>
              <w:t>冻结日期</w:t>
            </w:r>
          </w:p>
        </w:tc>
      </w:tr>
    </w:tbl>
    <w:p w14:paraId="28958669">
      <w:pPr>
        <w:spacing w:after="0" w:line="355" w:lineRule="auto"/>
        <w:rPr>
          <w:rFonts w:hint="eastAsia" w:ascii="Times New Roman" w:hAnsi="Times New Roman" w:eastAsia="Times New Roman"/>
          <w:sz w:val="24"/>
          <w:szCs w:val="24"/>
          <w:lang w:eastAsia="zh-CN"/>
        </w:rPr>
      </w:pPr>
    </w:p>
    <w:sectPr>
      <w:footerReference r:id="rId5" w:type="default"/>
      <w:pgSz w:w="11906" w:h="16838"/>
      <w:pgMar w:top="1020" w:right="1247" w:bottom="1020" w:left="1247" w:header="454" w:footer="454"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方正FW筑紫明朝 简 M">
    <w:altName w:val="宋体"/>
    <w:panose1 w:val="02000600000000000000"/>
    <w:charset w:val="86"/>
    <w:family w:val="auto"/>
    <w:pitch w:val="default"/>
    <w:sig w:usb0="00000000" w:usb1="00000000" w:usb2="00000012" w:usb3="00000000" w:csb0="00040001" w:csb1="00000000"/>
  </w:font>
  <w:font w:name="Cambria">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3656F">
    <w:pPr>
      <w:pStyle w:val="24"/>
      <w:pBdr>
        <w:top w:val="single" w:color="BDBDBD" w:sz="6" w:space="1"/>
      </w:pBdr>
      <w:tabs>
        <w:tab w:val="right" w:pos="9412"/>
      </w:tabs>
      <w:spacing w:before="60" w:after="0"/>
      <w:jc w:val="left"/>
    </w:pPr>
    <w:r>
      <w:rPr>
        <w:color w:val="666666"/>
        <w:sz w:val="17"/>
      </w:rPr>
      <w:t>SDNY Emergency Relief Order</w:t>
    </w:r>
    <w:r>
      <w:rPr>
        <w:color w:val="666666"/>
        <w:sz w:val="17"/>
      </w:rPr>
      <w:tab/>
    </w:r>
    <w:r>
      <w:rPr>
        <w:color w:val="666666"/>
        <w:sz w:val="17"/>
      </w:rPr>
      <w:t xml:space="preserve">Page </w:t>
    </w:r>
    <w:r>
      <w:rPr>
        <w:color w:val="666666"/>
        <w:sz w:val="17"/>
      </w:rPr>
      <w:fldChar w:fldCharType="begin"/>
    </w:r>
    <w:r>
      <w:rPr>
        <w:color w:val="666666"/>
        <w:sz w:val="17"/>
      </w:rPr>
      <w:instrText xml:space="preserve">PAGE</w:instrText>
    </w:r>
    <w:r>
      <w:rPr>
        <w:color w:val="666666"/>
        <w:sz w:val="17"/>
      </w:rPr>
      <w:fldChar w:fldCharType="separate"/>
    </w:r>
    <w:r>
      <w:rPr>
        <w:color w:val="666666"/>
        <w:sz w:val="17"/>
      </w:rPr>
      <w:t>1</w:t>
    </w:r>
    <w:r>
      <w:rPr>
        <w:color w:val="666666"/>
        <w:sz w:val="17"/>
      </w:rPr>
      <w:fldChar w:fldCharType="end"/>
    </w:r>
    <w:r>
      <w:rPr>
        <w:color w:val="666666"/>
        <w:sz w:val="17"/>
      </w:rPr>
      <w:t xml:space="preserve"> of </w:t>
    </w:r>
    <w:r>
      <w:rPr>
        <w:color w:val="666666"/>
        <w:sz w:val="17"/>
      </w:rPr>
      <w:fldChar w:fldCharType="begin"/>
    </w:r>
    <w:r>
      <w:rPr>
        <w:color w:val="666666"/>
        <w:sz w:val="17"/>
      </w:rPr>
      <w:instrText xml:space="preserve">NUMPAGES</w:instrText>
    </w:r>
    <w:r>
      <w:rPr>
        <w:color w:val="666666"/>
        <w:sz w:val="17"/>
      </w:rPr>
      <w:fldChar w:fldCharType="separate"/>
    </w:r>
    <w:r>
      <w:rPr>
        <w:color w:val="666666"/>
        <w:sz w:val="17"/>
      </w:rPr>
      <w:t>1</w:t>
    </w:r>
    <w:r>
      <w:rPr>
        <w:color w:val="666666"/>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4A7D14"/>
    <w:rsid w:val="12A821D4"/>
    <w:rsid w:val="16141EFB"/>
    <w:rsid w:val="1D4C21DB"/>
    <w:rsid w:val="1D6E07B5"/>
    <w:rsid w:val="23D95952"/>
    <w:rsid w:val="2B3109E2"/>
    <w:rsid w:val="30B359F5"/>
    <w:rsid w:val="3C0B53D0"/>
    <w:rsid w:val="417C5E38"/>
    <w:rsid w:val="45F05D82"/>
    <w:rsid w:val="491F4C3C"/>
    <w:rsid w:val="4B4B4D50"/>
    <w:rsid w:val="507439BD"/>
    <w:rsid w:val="524D2993"/>
    <w:rsid w:val="5D9E51B4"/>
    <w:rsid w:val="5F62356D"/>
    <w:rsid w:val="68A45648"/>
    <w:rsid w:val="76533426"/>
    <w:rsid w:val="7A8A0B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FW筑紫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eastAsia="方正FW筑紫明朝 简 M" w:asciiTheme="minorHAnsi" w:hAnsiTheme="minorHAnsi"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919</Words>
  <Characters>5098</Characters>
  <Lines>0</Lines>
  <Paragraphs>0</Paragraphs>
  <TotalTime>2</TotalTime>
  <ScaleCrop>false</ScaleCrop>
  <LinksUpToDate>false</LinksUpToDate>
  <CharactersWithSpaces>5905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2026-08-25T19:44:50Z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eyJoZGlkIjoiZDQ4NWE2MjQ3MTI4ZDRlNjdiYjExYzU1NjM4Mjc0YWEifQ==</vt:lpwstr>
  </property>
  <property fmtid="{D5CDD505-2E9C-101B-9397-08002B2CF9AE}" pid="3" name="KSOProductBuildVer">
    <vt:lpwstr>2052-12.1.0.28043</vt:lpwstr>
  </property>
  <property fmtid="{D5CDD505-2E9C-101B-9397-08002B2CF9AE}" pid="4" name="ICV">
    <vt:lpwstr>AC7A59C5038047A897E9B632C7BA43A0_12</vt:lpwstr>
  </property>
</Properties>
</file>