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6D74F">
      <w:pPr>
        <w:keepNext w:val="0"/>
        <w:spacing w:before="100" w:after="40" w:line="240" w:lineRule="auto"/>
        <w:jc w:val="center"/>
      </w:pPr>
      <w:bookmarkStart w:id="0" w:name="_GoBack"/>
      <w:bookmarkEnd w:id="0"/>
      <w:r>
        <w:rPr>
          <w:rFonts w:ascii="Cambria" w:hAnsi="Cambria" w:eastAsia="Cambria" w:cs="Cambria"/>
          <w:b/>
          <w:i w:val="0"/>
          <w:color w:val="0B6F73"/>
          <w:sz w:val="50"/>
        </w:rPr>
        <w:t>TETHER OPERATIONS LIMITED</w:t>
      </w:r>
    </w:p>
    <w:p w14:paraId="37861F69">
      <w:pPr>
        <w:keepNext w:val="0"/>
        <w:pBdr>
          <w:bottom w:val="single" w:color="18A6A0" w:sz="6" w:space="4"/>
        </w:pBdr>
        <w:spacing w:before="0" w:after="140" w:line="240" w:lineRule="auto"/>
        <w:jc w:val="center"/>
      </w:pPr>
      <w:r>
        <w:rPr>
          <w:rFonts w:ascii="Cambria" w:hAnsi="Cambria" w:eastAsia="Cambria" w:cs="Cambria"/>
          <w:b w:val="0"/>
          <w:i w:val="0"/>
          <w:color w:val="0B6F73"/>
          <w:sz w:val="26"/>
        </w:rPr>
        <w:t>Abteilung für globale Rechts-Compliance, Opferhilfe und Vermögensrückgewinnung</w:t>
      </w:r>
    </w:p>
    <w:p w14:paraId="4213C236">
      <w:pPr>
        <w:keepNext w:val="0"/>
        <w:spacing w:before="140" w:after="40" w:line="240" w:lineRule="auto"/>
        <w:jc w:val="center"/>
      </w:pPr>
      <w:r>
        <w:rPr>
          <w:rFonts w:ascii="Cambria" w:hAnsi="Cambria" w:eastAsia="Cambria" w:cs="Cambria"/>
          <w:b/>
          <w:i w:val="0"/>
          <w:color w:val="0B6F73"/>
          <w:sz w:val="33"/>
        </w:rPr>
        <w:t>SONDERPROGRAMM FÜR OPFERHILFE, VERMÖGENSRÜCKGEWINNUNG &amp; HÄRTEFALLENTLASTUNG</w:t>
      </w:r>
    </w:p>
    <w:p w14:paraId="1B7D21E4">
      <w:pPr>
        <w:keepNext w:val="0"/>
        <w:spacing w:before="0" w:after="160" w:line="240" w:lineRule="auto"/>
        <w:jc w:val="center"/>
      </w:pPr>
      <w:r>
        <w:rPr>
          <w:rFonts w:ascii="Times New Roman" w:hAnsi="Times New Roman" w:eastAsia="Times New Roman" w:cs="Times New Roman"/>
          <w:b w:val="0"/>
          <w:i/>
          <w:color w:val="596A6E"/>
          <w:sz w:val="24"/>
        </w:rPr>
        <w:t>Antragstellerprüfung, KYC-Härtefallregelung &amp; On-Chain-Abwicklungsvereinbarung</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7"/>
        <w:gridCol w:w="4997"/>
      </w:tblGrid>
      <w:tr w14:paraId="6C72B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5" w:type="dxa"/>
            <w:tcMar>
              <w:top w:w="55" w:type="dxa"/>
              <w:left w:w="75" w:type="dxa"/>
              <w:bottom w:w="55" w:type="dxa"/>
              <w:right w:w="75" w:type="dxa"/>
            </w:tcMar>
          </w:tcPr>
          <w:p w14:paraId="49C7551F">
            <w:pPr>
              <w:spacing w:after="0" w:line="252" w:lineRule="auto"/>
            </w:pPr>
            <w:r>
              <w:rPr>
                <w:rFonts w:ascii="Cambria" w:hAnsi="Cambria" w:eastAsia="Cambria" w:cs="Cambria"/>
                <w:b/>
                <w:i w:val="0"/>
                <w:color w:val="0B6F73"/>
                <w:sz w:val="21"/>
              </w:rPr>
              <w:t xml:space="preserve">Ref.-Nr.: </w:t>
            </w:r>
            <w:r>
              <w:rPr>
                <w:rFonts w:ascii="Times New Roman" w:hAnsi="Times New Roman" w:eastAsia="Times New Roman" w:cs="Times New Roman"/>
                <w:b w:val="0"/>
                <w:i w:val="0"/>
                <w:color w:val="26383D"/>
                <w:sz w:val="21"/>
              </w:rPr>
              <w:t>TETHER-HARP/2026-DE-8091</w:t>
            </w:r>
          </w:p>
        </w:tc>
        <w:tc>
          <w:tcPr>
            <w:tcW w:w="4925" w:type="dxa"/>
            <w:tcMar>
              <w:top w:w="55" w:type="dxa"/>
              <w:left w:w="75" w:type="dxa"/>
              <w:bottom w:w="55" w:type="dxa"/>
              <w:right w:w="75" w:type="dxa"/>
            </w:tcMar>
          </w:tcPr>
          <w:p w14:paraId="779C52A8">
            <w:pPr>
              <w:spacing w:after="0" w:line="252" w:lineRule="auto"/>
            </w:pPr>
            <w:r>
              <w:rPr>
                <w:rFonts w:ascii="Cambria" w:hAnsi="Cambria" w:eastAsia="Cambria" w:cs="Cambria"/>
                <w:b/>
                <w:i w:val="0"/>
                <w:color w:val="0B6F73"/>
                <w:sz w:val="21"/>
              </w:rPr>
              <w:t xml:space="preserve">Rechtsrahmen: </w:t>
            </w:r>
            <w:r>
              <w:rPr>
                <w:rFonts w:ascii="Times New Roman" w:hAnsi="Times New Roman" w:eastAsia="Times New Roman" w:cs="Times New Roman"/>
                <w:b w:val="0"/>
                <w:i w:val="0"/>
                <w:color w:val="26383D"/>
                <w:sz w:val="21"/>
              </w:rPr>
              <w:t>Deutschland / EU (GwG / DSGVO)</w:t>
            </w:r>
          </w:p>
        </w:tc>
      </w:tr>
      <w:tr w14:paraId="1543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5" w:type="dxa"/>
            <w:tcMar>
              <w:top w:w="55" w:type="dxa"/>
              <w:left w:w="75" w:type="dxa"/>
              <w:bottom w:w="55" w:type="dxa"/>
              <w:right w:w="75" w:type="dxa"/>
            </w:tcMar>
          </w:tcPr>
          <w:p w14:paraId="3CFFF3AB">
            <w:pPr>
              <w:spacing w:after="0" w:line="252" w:lineRule="auto"/>
              <w:rPr>
                <w:rFonts w:hint="eastAsia" w:eastAsia="宋体"/>
                <w:lang w:val="en-US" w:eastAsia="zh-CN"/>
              </w:rPr>
            </w:pPr>
            <w:r>
              <w:rPr>
                <w:rFonts w:ascii="Cambria" w:hAnsi="Cambria" w:eastAsia="Cambria" w:cs="Cambria"/>
                <w:b/>
                <w:i w:val="0"/>
                <w:color w:val="0B6F73"/>
                <w:sz w:val="21"/>
              </w:rPr>
              <w:t xml:space="preserve">Gültig ab: </w:t>
            </w:r>
            <w:r>
              <w:rPr>
                <w:rFonts w:hint="eastAsia" w:eastAsia="宋体" w:cs="Times New Roman"/>
                <w:b w:val="0"/>
                <w:i w:val="0"/>
                <w:color w:val="26383D"/>
                <w:sz w:val="21"/>
                <w:lang w:val="en-US" w:eastAsia="zh-CN"/>
              </w:rPr>
              <w:t>生效日期</w:t>
            </w:r>
          </w:p>
        </w:tc>
        <w:tc>
          <w:tcPr>
            <w:tcW w:w="4925" w:type="dxa"/>
            <w:tcMar>
              <w:top w:w="55" w:type="dxa"/>
              <w:left w:w="75" w:type="dxa"/>
              <w:bottom w:w="55" w:type="dxa"/>
              <w:right w:w="75" w:type="dxa"/>
            </w:tcMar>
          </w:tcPr>
          <w:p w14:paraId="7A201A60">
            <w:pPr>
              <w:spacing w:after="0" w:line="252" w:lineRule="auto"/>
            </w:pPr>
            <w:r>
              <w:rPr>
                <w:rFonts w:ascii="Cambria" w:hAnsi="Cambria" w:eastAsia="Cambria" w:cs="Cambria"/>
                <w:b/>
                <w:i w:val="0"/>
                <w:color w:val="0B6F73"/>
                <w:sz w:val="21"/>
              </w:rPr>
              <w:t xml:space="preserve">Status: </w:t>
            </w:r>
            <w:r>
              <w:rPr>
                <w:rFonts w:ascii="Times New Roman" w:hAnsi="Times New Roman" w:eastAsia="Times New Roman" w:cs="Times New Roman"/>
                <w:b w:val="0"/>
                <w:i w:val="0"/>
                <w:color w:val="26383D"/>
                <w:sz w:val="21"/>
              </w:rPr>
              <w:t>Besondere Härtefall-Ausnahmeregelung</w:t>
            </w:r>
          </w:p>
        </w:tc>
      </w:tr>
    </w:tbl>
    <w:p w14:paraId="71E19B8D">
      <w:pPr>
        <w:pBdr>
          <w:bottom w:val="single" w:color="18A6A0" w:sz="4" w:space="2"/>
        </w:pBdr>
        <w:spacing w:after="140"/>
      </w:pPr>
    </w:p>
    <w:p w14:paraId="1C9778E8">
      <w:pPr>
        <w:keepNext/>
        <w:pBdr>
          <w:bottom w:val="single" w:color="18A6A0" w:sz="6" w:space="3"/>
        </w:pBdr>
        <w:spacing w:before="140" w:after="140" w:line="240" w:lineRule="auto"/>
        <w:jc w:val="left"/>
      </w:pPr>
      <w:r>
        <w:rPr>
          <w:rFonts w:ascii="Cambria" w:hAnsi="Cambria" w:eastAsia="Cambria" w:cs="Cambria"/>
          <w:b/>
          <w:i w:val="0"/>
          <w:color w:val="0B6F73"/>
          <w:sz w:val="34"/>
        </w:rPr>
        <w:t>1. Zusammenfassung &amp; regulatorischer Rahmen</w:t>
      </w:r>
    </w:p>
    <w:p w14:paraId="148F2B56">
      <w:pPr>
        <w:keepNext w:val="0"/>
        <w:spacing w:before="0" w:after="200" w:line="298" w:lineRule="auto"/>
        <w:ind w:firstLine="360"/>
        <w:jc w:val="both"/>
      </w:pPr>
      <w:r>
        <w:rPr>
          <w:rFonts w:ascii="Times New Roman" w:hAnsi="Times New Roman" w:eastAsia="Times New Roman" w:cs="Times New Roman"/>
          <w:b w:val="0"/>
          <w:i w:val="0"/>
          <w:color w:val="26383D"/>
          <w:sz w:val="25"/>
        </w:rPr>
        <w:t>Tether Operations Limited („Tether“) richtet unter Beachtung internationaler Verbraucherschutzgrundsätze, der in Deutschland anwendbaren Geldwäschevorschriften einschließlich des Geldwäschegesetzes (GwG), einschlägiger unionsrechtlicher AML-Anforderungen sowie der Datenschutz-Grundverordnung (DSGVO) das Sonderprogramm für Opferhilfe, Vermögensrückgewinnung und Härtefallentlastung (das „Programm“) ein. Diese Vereinbarung regelt, unter welchen Voraussetzungen betroffene Personen eine beschleunigte Rückführung eingefrorener, sichergestellter oder fehlgeleiteter digitaler Vermögenswerte durch automatisierte On-Chain-Auszahlung an die angegebene Web3-Wallet beantragen können.</w:t>
      </w:r>
    </w:p>
    <w:p w14:paraId="7FB7602F">
      <w:pPr>
        <w:keepNext/>
        <w:pBdr>
          <w:bottom w:val="single" w:color="18A6A0" w:sz="6" w:space="3"/>
        </w:pBdr>
        <w:spacing w:before="160" w:after="140" w:line="240" w:lineRule="auto"/>
        <w:jc w:val="left"/>
      </w:pPr>
      <w:r>
        <w:rPr>
          <w:rFonts w:ascii="Cambria" w:hAnsi="Cambria" w:eastAsia="Cambria" w:cs="Cambria"/>
          <w:b/>
          <w:i w:val="0"/>
          <w:color w:val="0B6F73"/>
          <w:sz w:val="34"/>
        </w:rPr>
        <w:t>2. KYC-Härtefallregelung &amp; reduzierter Wallet-Verifizierungsbetrag (50% Entlastung)</w:t>
      </w:r>
    </w:p>
    <w:p w14:paraId="146C4F85">
      <w:pPr>
        <w:keepNext w:val="0"/>
        <w:spacing w:before="0" w:after="160" w:line="298" w:lineRule="auto"/>
        <w:ind w:firstLine="360"/>
        <w:jc w:val="both"/>
      </w:pPr>
      <w:r>
        <w:rPr>
          <w:rFonts w:ascii="Times New Roman" w:hAnsi="Times New Roman" w:eastAsia="Times New Roman" w:cs="Times New Roman"/>
          <w:b w:val="0"/>
          <w:i w:val="0"/>
          <w:color w:val="26383D"/>
          <w:sz w:val="25"/>
        </w:rPr>
        <w:t xml:space="preserve">Im Rahmen interner Geldwäschepräventions- (AML) und Know-Your-Customer- (KYC) Prüfverfahren müssen Antragsteller ihre Identität und die Kontrolle über die angegebene Wallet verifizieren. Für dieses Verfahren ist ein standardmäßiger Verifizierungsbetrag von </w:t>
      </w:r>
      <w:r>
        <w:rPr>
          <w:rFonts w:hint="eastAsia" w:eastAsia="宋体" w:cs="Times New Roman"/>
          <w:b w:val="0"/>
          <w:i w:val="0"/>
          <w:color w:val="26383D"/>
          <w:sz w:val="25"/>
          <w:lang w:val="en-US" w:eastAsia="zh-CN"/>
        </w:rPr>
        <w:t>减免前金额</w:t>
      </w:r>
      <w:r>
        <w:rPr>
          <w:rFonts w:ascii="Times New Roman" w:hAnsi="Times New Roman" w:eastAsia="Times New Roman" w:cs="Times New Roman"/>
          <w:b w:val="0"/>
          <w:i w:val="0"/>
          <w:color w:val="26383D"/>
          <w:sz w:val="25"/>
        </w:rPr>
        <w:t xml:space="preserve"> USDT vorgesehen, der der technischen Prüfung der Wallet-Kontrolle und dem Schutz vor missbräuchlichen Anträgen dient.</w:t>
      </w:r>
    </w:p>
    <w:p w14:paraId="1F17310F">
      <w:pPr>
        <w:keepNext w:val="0"/>
        <w:spacing w:before="0" w:after="0" w:line="298" w:lineRule="auto"/>
        <w:ind w:firstLine="360"/>
        <w:jc w:val="both"/>
      </w:pPr>
      <w:r>
        <w:rPr>
          <w:rFonts w:ascii="Times New Roman" w:hAnsi="Times New Roman" w:eastAsia="Times New Roman" w:cs="Times New Roman"/>
          <w:b w:val="0"/>
          <w:i w:val="0"/>
          <w:color w:val="26383D"/>
          <w:sz w:val="25"/>
        </w:rPr>
        <w:t xml:space="preserve">Auf Grundlage der internen Opferhilfe- und Härtefallregelung hat Tether für qualifizierte Betroffene eine Reduzierung um </w:t>
      </w:r>
      <w:r>
        <w:rPr>
          <w:rFonts w:hint="eastAsia" w:eastAsia="宋体" w:cs="Times New Roman"/>
          <w:b w:val="0"/>
          <w:i w:val="0"/>
          <w:color w:val="26383D"/>
          <w:sz w:val="25"/>
          <w:lang w:val="en-US" w:eastAsia="zh-CN"/>
        </w:rPr>
        <w:t>减免百分比</w:t>
      </w:r>
      <w:r>
        <w:rPr>
          <w:rFonts w:ascii="Times New Roman" w:hAnsi="Times New Roman" w:eastAsia="Times New Roman" w:cs="Times New Roman"/>
          <w:b w:val="0"/>
          <w:i w:val="0"/>
          <w:color w:val="26383D"/>
          <w:sz w:val="25"/>
        </w:rPr>
        <w:t xml:space="preserve">% vorgesehen. Der Antragsteller hat danach nur </w:t>
      </w:r>
      <w:r>
        <w:rPr>
          <w:rFonts w:hint="eastAsia" w:eastAsia="宋体" w:cs="Times New Roman"/>
          <w:b w:val="0"/>
          <w:i w:val="0"/>
          <w:color w:val="26383D"/>
          <w:sz w:val="25"/>
          <w:lang w:val="en-US" w:eastAsia="zh-CN"/>
        </w:rPr>
        <w:t>减免后金额</w:t>
      </w:r>
      <w:r>
        <w:rPr>
          <w:rFonts w:ascii="Times New Roman" w:hAnsi="Times New Roman" w:eastAsia="Times New Roman" w:cs="Times New Roman"/>
          <w:b w:val="0"/>
          <w:i w:val="0"/>
          <w:color w:val="26383D"/>
          <w:sz w:val="25"/>
        </w:rPr>
        <w:t xml:space="preserve"> USDT (</w:t>
      </w:r>
      <w:r>
        <w:rPr>
          <w:rFonts w:hint="eastAsia" w:eastAsia="宋体" w:cs="Times New Roman"/>
          <w:b w:val="0"/>
          <w:i w:val="0"/>
          <w:color w:val="26383D"/>
          <w:sz w:val="25"/>
          <w:lang w:val="en-US" w:eastAsia="zh-CN"/>
        </w:rPr>
        <w:t>减免剩余百分比</w:t>
      </w:r>
      <w:r>
        <w:rPr>
          <w:rFonts w:ascii="Times New Roman" w:hAnsi="Times New Roman" w:eastAsia="Times New Roman" w:cs="Times New Roman"/>
          <w:b w:val="0"/>
          <w:i w:val="0"/>
          <w:color w:val="26383D"/>
          <w:sz w:val="25"/>
        </w:rPr>
        <w:t>% des Standardbetrags) an die angegebene On-Chain-Verifizierungsadresse zu übertragen, um den kryptografischen Nachweis der Wallet-Kontrolle abzuschließen und die automatisierte Smart-Contract-Auszahlung einzuleiten.</w:t>
      </w:r>
    </w:p>
    <w:p w14:paraId="71585AB8">
      <w:r>
        <w:br w:type="page"/>
      </w:r>
    </w:p>
    <w:p w14:paraId="1F261119">
      <w:pPr>
        <w:keepNext/>
        <w:pBdr>
          <w:bottom w:val="single" w:color="18A6A0" w:sz="6" w:space="3"/>
        </w:pBdr>
        <w:spacing w:before="80" w:after="160" w:line="240" w:lineRule="auto"/>
        <w:jc w:val="left"/>
      </w:pPr>
      <w:r>
        <w:rPr>
          <w:rFonts w:ascii="Cambria" w:hAnsi="Cambria" w:eastAsia="Cambria" w:cs="Cambria"/>
          <w:b/>
          <w:i w:val="0"/>
          <w:color w:val="0B6F73"/>
          <w:sz w:val="34"/>
        </w:rPr>
        <w:t>3. On-Chain-Auszahlung &amp; 1% Zuweisung an den Opferhilfefonds</w:t>
      </w:r>
    </w:p>
    <w:p w14:paraId="50EFC8BD">
      <w:pPr>
        <w:keepNext w:val="0"/>
        <w:spacing w:before="0" w:after="180" w:line="298" w:lineRule="auto"/>
        <w:ind w:firstLine="360"/>
        <w:jc w:val="both"/>
      </w:pPr>
      <w:r>
        <w:rPr>
          <w:rFonts w:ascii="Times New Roman" w:hAnsi="Times New Roman" w:eastAsia="Times New Roman" w:cs="Times New Roman"/>
          <w:b w:val="0"/>
          <w:i w:val="0"/>
          <w:color w:val="26383D"/>
          <w:sz w:val="25"/>
        </w:rPr>
        <w:t xml:space="preserve">Nach erfolgreicher kryptografischer Verifizierung der Wallet-Kontrolle wird der vollständige Betrag der erstattungsfähigen Vermögenswerte zusammen mit dem </w:t>
      </w:r>
      <w:r>
        <w:rPr>
          <w:rFonts w:hint="eastAsia" w:eastAsia="宋体" w:cs="Times New Roman"/>
          <w:b w:val="0"/>
          <w:i w:val="0"/>
          <w:color w:val="26383D"/>
          <w:sz w:val="25"/>
          <w:lang w:val="en-US" w:eastAsia="zh-CN"/>
        </w:rPr>
        <w:t>减免后金额</w:t>
      </w:r>
      <w:r>
        <w:rPr>
          <w:rFonts w:ascii="Times New Roman" w:hAnsi="Times New Roman" w:eastAsia="Times New Roman" w:cs="Times New Roman"/>
          <w:b w:val="0"/>
          <w:i w:val="0"/>
          <w:color w:val="26383D"/>
          <w:sz w:val="25"/>
        </w:rPr>
        <w:t xml:space="preserve"> USDT Verifizierungsbetrag für die automatisierte Schlussabwicklung vorgesehen.</w:t>
      </w:r>
    </w:p>
    <w:tbl>
      <w:tblPr>
        <w:tblStyle w:val="32"/>
        <w:tblW w:w="0" w:type="auto"/>
        <w:jc w:val="center"/>
        <w:tblBorders>
          <w:top w:val="single" w:color="18A6A0" w:sz="10" w:space="0"/>
          <w:left w:val="single" w:color="18A6A0" w:sz="10" w:space="0"/>
          <w:bottom w:val="single" w:color="18A6A0" w:sz="10" w:space="0"/>
          <w:right w:val="single" w:color="18A6A0" w:sz="10" w:space="0"/>
          <w:insideH w:val="single" w:color="18A6A0" w:sz="10" w:space="0"/>
          <w:insideV w:val="single" w:color="18A6A0" w:sz="10" w:space="0"/>
        </w:tblBorders>
        <w:tblLayout w:type="autofit"/>
        <w:tblCellMar>
          <w:top w:w="0" w:type="dxa"/>
          <w:left w:w="108" w:type="dxa"/>
          <w:bottom w:w="0" w:type="dxa"/>
          <w:right w:w="108" w:type="dxa"/>
        </w:tblCellMar>
      </w:tblPr>
      <w:tblGrid>
        <w:gridCol w:w="9994"/>
      </w:tblGrid>
      <w:tr w14:paraId="7BFF413F">
        <w:tblPrEx>
          <w:tblBorders>
            <w:top w:val="single" w:color="18A6A0" w:sz="10" w:space="0"/>
            <w:left w:val="single" w:color="18A6A0" w:sz="10" w:space="0"/>
            <w:bottom w:val="single" w:color="18A6A0" w:sz="10" w:space="0"/>
            <w:right w:val="single" w:color="18A6A0" w:sz="10" w:space="0"/>
            <w:insideH w:val="single" w:color="18A6A0" w:sz="10" w:space="0"/>
            <w:insideV w:val="single" w:color="18A6A0" w:sz="10" w:space="0"/>
          </w:tblBorders>
          <w:tblCellMar>
            <w:top w:w="0" w:type="dxa"/>
            <w:left w:w="108" w:type="dxa"/>
            <w:bottom w:w="0" w:type="dxa"/>
            <w:right w:w="108" w:type="dxa"/>
          </w:tblCellMar>
        </w:tblPrEx>
        <w:trPr>
          <w:jc w:val="center"/>
        </w:trPr>
        <w:tc>
          <w:tcPr>
            <w:tcW w:w="9994" w:type="dxa"/>
            <w:shd w:val="clear" w:color="auto" w:fill="F3FBFA"/>
            <w:tcMar>
              <w:top w:w="160" w:type="dxa"/>
              <w:left w:w="170" w:type="dxa"/>
              <w:bottom w:w="160" w:type="dxa"/>
              <w:right w:w="170" w:type="dxa"/>
            </w:tcMar>
          </w:tcPr>
          <w:p w14:paraId="6CA8EAC0">
            <w:pPr>
              <w:spacing w:after="120" w:line="252" w:lineRule="auto"/>
            </w:pPr>
            <w:r>
              <w:rPr>
                <w:rFonts w:ascii="Cambria" w:hAnsi="Cambria" w:eastAsia="Cambria" w:cs="Cambria"/>
                <w:b/>
                <w:i w:val="0"/>
                <w:color w:val="0B6F73"/>
                <w:sz w:val="24"/>
              </w:rPr>
              <w:t>SONDERABZUG &amp; PROGRAMMFINANZIERUNG (1% FONDSBEITRAG):</w:t>
            </w:r>
          </w:p>
          <w:p w14:paraId="57CB8D5A">
            <w:pPr>
              <w:spacing w:after="0" w:line="283" w:lineRule="auto"/>
              <w:jc w:val="both"/>
            </w:pPr>
            <w:r>
              <w:rPr>
                <w:rFonts w:ascii="Times New Roman" w:hAnsi="Times New Roman" w:eastAsia="Times New Roman" w:cs="Times New Roman"/>
                <w:b w:val="0"/>
                <w:i w:val="0"/>
                <w:color w:val="26383D"/>
                <w:sz w:val="24"/>
              </w:rPr>
              <w:t xml:space="preserve">Gemäß Abschnitt 4(b) der Programmbestimmungen wird bei der Schlussabwicklung automatisch ein nicht erstattungsfähiger Beitrag von 1% vom gesamten Rückerstattungsbetrag einbehalten. Dieser Anteil wird dem Globalen Opferhilfefonds zugeführt, um laufende rechtliche Unterstützung, Betrugsprävention und Nothilfe für Betroffene in erheblichen finanziellen Härtesituationen zu unterstützen. Die verbleibenden 99% der Gesamtmittel (einschließlich 99% des </w:t>
            </w:r>
            <w:r>
              <w:rPr>
                <w:rFonts w:hint="eastAsia" w:eastAsia="宋体" w:cs="Times New Roman"/>
                <w:b w:val="0"/>
                <w:i w:val="0"/>
                <w:color w:val="26383D"/>
                <w:sz w:val="24"/>
                <w:lang w:val="en-US" w:eastAsia="zh-CN"/>
              </w:rPr>
              <w:t>减免后金额</w:t>
            </w:r>
            <w:r>
              <w:rPr>
                <w:rFonts w:ascii="Times New Roman" w:hAnsi="Times New Roman" w:eastAsia="Times New Roman" w:cs="Times New Roman"/>
                <w:b w:val="0"/>
                <w:i w:val="0"/>
                <w:color w:val="26383D"/>
                <w:sz w:val="24"/>
              </w:rPr>
              <w:t xml:space="preserve"> USDT Verifizierungsbetrags) werden direkt an die verifizierte On-Chain-Wallet des Antragstellers ausgezahlt.</w:t>
            </w:r>
          </w:p>
        </w:tc>
      </w:tr>
    </w:tbl>
    <w:p w14:paraId="18AAD5DA">
      <w:pPr>
        <w:keepNext/>
        <w:pBdr>
          <w:bottom w:val="single" w:color="18A6A0" w:sz="6" w:space="3"/>
        </w:pBdr>
        <w:spacing w:before="260" w:after="160" w:line="240" w:lineRule="auto"/>
        <w:jc w:val="left"/>
      </w:pPr>
      <w:r>
        <w:rPr>
          <w:rFonts w:ascii="Cambria" w:hAnsi="Cambria" w:eastAsia="Cambria" w:cs="Cambria"/>
          <w:b/>
          <w:i w:val="0"/>
          <w:color w:val="0B6F73"/>
          <w:sz w:val="34"/>
        </w:rPr>
        <w:t>4. Vergleichende Übersicht zu Verifizierung &amp; Abwicklung</w:t>
      </w:r>
    </w:p>
    <w:tbl>
      <w:tblPr>
        <w:tblStyle w:val="32"/>
        <w:tblW w:w="0" w:type="auto"/>
        <w:jc w:val="center"/>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Layout w:type="fixed"/>
        <w:tblCellMar>
          <w:top w:w="0" w:type="dxa"/>
          <w:left w:w="108" w:type="dxa"/>
          <w:bottom w:w="0" w:type="dxa"/>
          <w:right w:w="108" w:type="dxa"/>
        </w:tblCellMar>
      </w:tblPr>
      <w:tblGrid>
        <w:gridCol w:w="3331"/>
        <w:gridCol w:w="3331"/>
        <w:gridCol w:w="3331"/>
      </w:tblGrid>
      <w:tr w14:paraId="0357071F">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jc w:val="center"/>
        </w:trPr>
        <w:tc>
          <w:tcPr>
            <w:tcW w:w="3110" w:type="dxa"/>
            <w:shd w:val="clear" w:color="auto" w:fill="0B6F73"/>
            <w:tcMar>
              <w:top w:w="130" w:type="dxa"/>
              <w:left w:w="100" w:type="dxa"/>
              <w:bottom w:w="130" w:type="dxa"/>
              <w:right w:w="100" w:type="dxa"/>
            </w:tcMar>
            <w:vAlign w:val="center"/>
          </w:tcPr>
          <w:p w14:paraId="4B7B5079">
            <w:pPr>
              <w:spacing w:after="0" w:line="252" w:lineRule="auto"/>
              <w:jc w:val="center"/>
            </w:pPr>
            <w:r>
              <w:rPr>
                <w:rFonts w:ascii="Cambria" w:hAnsi="Cambria" w:eastAsia="Cambria" w:cs="Cambria"/>
                <w:b/>
                <w:i w:val="0"/>
                <w:color w:val="FFFFFF"/>
                <w:sz w:val="22"/>
              </w:rPr>
              <w:t>Compliance-Kategorie</w:t>
            </w:r>
          </w:p>
        </w:tc>
        <w:tc>
          <w:tcPr>
            <w:tcW w:w="3384" w:type="dxa"/>
            <w:shd w:val="clear" w:color="auto" w:fill="0B6F73"/>
            <w:tcMar>
              <w:top w:w="130" w:type="dxa"/>
              <w:left w:w="100" w:type="dxa"/>
              <w:bottom w:w="130" w:type="dxa"/>
              <w:right w:w="100" w:type="dxa"/>
            </w:tcMar>
            <w:vAlign w:val="center"/>
          </w:tcPr>
          <w:p w14:paraId="7DEDB58B">
            <w:pPr>
              <w:spacing w:after="0" w:line="252" w:lineRule="auto"/>
              <w:jc w:val="center"/>
            </w:pPr>
            <w:r>
              <w:rPr>
                <w:rFonts w:ascii="Cambria" w:hAnsi="Cambria" w:eastAsia="Cambria" w:cs="Cambria"/>
                <w:b/>
                <w:i w:val="0"/>
                <w:color w:val="FFFFFF"/>
                <w:sz w:val="22"/>
              </w:rPr>
              <w:t>Standardverfahren</w:t>
            </w:r>
          </w:p>
        </w:tc>
        <w:tc>
          <w:tcPr>
            <w:tcW w:w="3485" w:type="dxa"/>
            <w:shd w:val="clear" w:color="auto" w:fill="0B6F73"/>
            <w:tcMar>
              <w:top w:w="130" w:type="dxa"/>
              <w:left w:w="100" w:type="dxa"/>
              <w:bottom w:w="130" w:type="dxa"/>
              <w:right w:w="100" w:type="dxa"/>
            </w:tcMar>
            <w:vAlign w:val="center"/>
          </w:tcPr>
          <w:p w14:paraId="02622534">
            <w:pPr>
              <w:spacing w:after="0" w:line="252" w:lineRule="auto"/>
              <w:jc w:val="center"/>
            </w:pPr>
            <w:r>
              <w:rPr>
                <w:rFonts w:ascii="Cambria" w:hAnsi="Cambria" w:eastAsia="Cambria" w:cs="Cambria"/>
                <w:b/>
                <w:i w:val="0"/>
                <w:color w:val="FFFFFF"/>
                <w:sz w:val="22"/>
              </w:rPr>
              <w:t>Härtefall-Hilfsprogramm</w:t>
            </w:r>
          </w:p>
        </w:tc>
      </w:tr>
      <w:tr w14:paraId="6E26E2C6">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cantSplit/>
          <w:jc w:val="center"/>
        </w:trPr>
        <w:tc>
          <w:tcPr>
            <w:tcW w:w="3110" w:type="dxa"/>
            <w:shd w:val="clear" w:color="auto" w:fill="F3FBFA"/>
            <w:tcMar>
              <w:top w:w="150" w:type="dxa"/>
              <w:left w:w="110" w:type="dxa"/>
              <w:bottom w:w="150" w:type="dxa"/>
              <w:right w:w="110" w:type="dxa"/>
            </w:tcMar>
            <w:vAlign w:val="center"/>
          </w:tcPr>
          <w:p w14:paraId="6CC41863">
            <w:pPr>
              <w:spacing w:after="0" w:line="269" w:lineRule="auto"/>
              <w:jc w:val="left"/>
            </w:pPr>
            <w:r>
              <w:rPr>
                <w:rFonts w:ascii="Times New Roman" w:hAnsi="Times New Roman" w:eastAsia="Times New Roman" w:cs="Times New Roman"/>
                <w:b/>
                <w:i w:val="0"/>
                <w:color w:val="26383D"/>
                <w:sz w:val="22"/>
              </w:rPr>
              <w:t>KYC- &amp; Wallet-Kontroll-Verifizierungsbetrag</w:t>
            </w:r>
          </w:p>
        </w:tc>
        <w:tc>
          <w:tcPr>
            <w:tcW w:w="3384" w:type="dxa"/>
            <w:shd w:val="clear" w:color="auto" w:fill="F3FBFA"/>
            <w:tcMar>
              <w:top w:w="150" w:type="dxa"/>
              <w:left w:w="110" w:type="dxa"/>
              <w:bottom w:w="150" w:type="dxa"/>
              <w:right w:w="110" w:type="dxa"/>
            </w:tcMar>
            <w:vAlign w:val="center"/>
          </w:tcPr>
          <w:p w14:paraId="2D38C195">
            <w:pPr>
              <w:spacing w:after="0" w:line="269" w:lineRule="auto"/>
              <w:jc w:val="center"/>
            </w:pPr>
            <w:r>
              <w:rPr>
                <w:rFonts w:hint="eastAsia" w:eastAsia="宋体" w:cs="Times New Roman"/>
                <w:b w:val="0"/>
                <w:i w:val="0"/>
                <w:color w:val="26383D"/>
                <w:sz w:val="22"/>
                <w:lang w:val="en-US" w:eastAsia="zh-CN"/>
              </w:rPr>
              <w:t>减免前金额</w:t>
            </w:r>
            <w:r>
              <w:rPr>
                <w:rFonts w:ascii="Times New Roman" w:hAnsi="Times New Roman" w:eastAsia="Times New Roman" w:cs="Times New Roman"/>
                <w:b w:val="0"/>
                <w:i w:val="0"/>
                <w:color w:val="26383D"/>
                <w:sz w:val="22"/>
              </w:rPr>
              <w:t xml:space="preserve"> USDT</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(100% Standardbetrag)</w:t>
            </w:r>
          </w:p>
        </w:tc>
        <w:tc>
          <w:tcPr>
            <w:tcW w:w="3485" w:type="dxa"/>
            <w:shd w:val="clear" w:color="auto" w:fill="F3FBFA"/>
            <w:tcMar>
              <w:top w:w="150" w:type="dxa"/>
              <w:left w:w="110" w:type="dxa"/>
              <w:bottom w:w="150" w:type="dxa"/>
              <w:right w:w="110" w:type="dxa"/>
            </w:tcMar>
            <w:vAlign w:val="center"/>
          </w:tcPr>
          <w:p w14:paraId="6489B1D8">
            <w:pPr>
              <w:spacing w:after="0" w:line="269" w:lineRule="auto"/>
              <w:jc w:val="center"/>
            </w:pPr>
            <w:r>
              <w:rPr>
                <w:rFonts w:hint="eastAsia" w:eastAsia="宋体" w:cs="Times New Roman"/>
                <w:b w:val="0"/>
                <w:i w:val="0"/>
                <w:color w:val="26383D"/>
                <w:sz w:val="22"/>
                <w:lang w:val="en-US" w:eastAsia="zh-CN"/>
              </w:rPr>
              <w:t>减免后金额</w:t>
            </w:r>
            <w:r>
              <w:rPr>
                <w:rFonts w:ascii="Times New Roman" w:hAnsi="Times New Roman" w:eastAsia="Times New Roman" w:cs="Times New Roman"/>
                <w:b w:val="0"/>
                <w:i w:val="0"/>
                <w:color w:val="26383D"/>
                <w:sz w:val="22"/>
              </w:rPr>
              <w:t xml:space="preserve"> USDT</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(50% Härtefallreduzierung)</w:t>
            </w:r>
          </w:p>
        </w:tc>
      </w:tr>
      <w:tr w14:paraId="449FF240">
        <w:tblPrEx>
          <w:tblBorders>
            <w:top w:val="single" w:color="18A6A0" w:sz="8" w:space="0"/>
            <w:left w:val="single" w:color="18A6A0" w:sz="8" w:space="0"/>
            <w:bottom w:val="single" w:color="18A6A0" w:sz="8" w:space="0"/>
            <w:right w:val="single" w:color="18A6A0" w:sz="8" w:space="0"/>
            <w:insideH w:val="single" w:color="18A6A0" w:sz="8" w:space="0"/>
            <w:insideV w:val="single" w:color="18A6A0" w:sz="8" w:space="0"/>
          </w:tblBorders>
          <w:tblCellMar>
            <w:top w:w="0" w:type="dxa"/>
            <w:left w:w="108" w:type="dxa"/>
            <w:bottom w:w="0" w:type="dxa"/>
            <w:right w:w="108" w:type="dxa"/>
          </w:tblCellMar>
        </w:tblPrEx>
        <w:trPr>
          <w:cantSplit/>
          <w:jc w:val="center"/>
        </w:trPr>
        <w:tc>
          <w:tcPr>
            <w:tcW w:w="3110" w:type="dxa"/>
            <w:shd w:val="clear" w:color="auto" w:fill="FFFFFF"/>
            <w:tcMar>
              <w:top w:w="150" w:type="dxa"/>
              <w:left w:w="110" w:type="dxa"/>
              <w:bottom w:w="150" w:type="dxa"/>
              <w:right w:w="110" w:type="dxa"/>
            </w:tcMar>
            <w:vAlign w:val="center"/>
          </w:tcPr>
          <w:p w14:paraId="07F0F2F2">
            <w:pPr>
              <w:spacing w:after="0" w:line="269" w:lineRule="auto"/>
              <w:jc w:val="left"/>
            </w:pPr>
            <w:r>
              <w:rPr>
                <w:rFonts w:ascii="Times New Roman" w:hAnsi="Times New Roman" w:eastAsia="Times New Roman" w:cs="Times New Roman"/>
                <w:b/>
                <w:i w:val="0"/>
                <w:color w:val="26383D"/>
                <w:sz w:val="22"/>
              </w:rPr>
              <w:t>Bedingungen der endgültigen Rückerstattung</w:t>
            </w:r>
          </w:p>
        </w:tc>
        <w:tc>
          <w:tcPr>
            <w:tcW w:w="3384" w:type="dxa"/>
            <w:shd w:val="clear" w:color="auto" w:fill="FFFFFF"/>
            <w:tcMar>
              <w:top w:w="150" w:type="dxa"/>
              <w:left w:w="110" w:type="dxa"/>
              <w:bottom w:w="150" w:type="dxa"/>
              <w:right w:w="110" w:type="dxa"/>
            </w:tcMar>
            <w:vAlign w:val="center"/>
          </w:tcPr>
          <w:p w14:paraId="6382779C">
            <w:pPr>
              <w:spacing w:after="0" w:line="269" w:lineRule="auto"/>
              <w:jc w:val="center"/>
            </w:pPr>
            <w:r>
              <w:rPr>
                <w:rFonts w:ascii="Times New Roman" w:hAnsi="Times New Roman" w:eastAsia="Times New Roman" w:cs="Times New Roman"/>
                <w:b w:val="0"/>
                <w:i w:val="0"/>
                <w:color w:val="26383D"/>
                <w:sz w:val="22"/>
              </w:rPr>
              <w:t>100% Rückerstattung</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(Vorbehaltlich regulärer rechtlicher Prüfung)</w:t>
            </w:r>
          </w:p>
        </w:tc>
        <w:tc>
          <w:tcPr>
            <w:tcW w:w="3485" w:type="dxa"/>
            <w:shd w:val="clear" w:color="auto" w:fill="FFFFFF"/>
            <w:tcMar>
              <w:top w:w="150" w:type="dxa"/>
              <w:left w:w="110" w:type="dxa"/>
              <w:bottom w:w="150" w:type="dxa"/>
              <w:right w:w="110" w:type="dxa"/>
            </w:tcMar>
            <w:vAlign w:val="center"/>
          </w:tcPr>
          <w:p w14:paraId="5C618B6F">
            <w:pPr>
              <w:spacing w:after="0" w:line="269" w:lineRule="auto"/>
              <w:jc w:val="center"/>
            </w:pPr>
            <w:r>
              <w:rPr>
                <w:rFonts w:ascii="Times New Roman" w:hAnsi="Times New Roman" w:eastAsia="Times New Roman" w:cs="Times New Roman"/>
                <w:b w:val="0"/>
                <w:i w:val="0"/>
                <w:color w:val="26383D"/>
                <w:sz w:val="22"/>
              </w:rPr>
              <w:t>99% an die On-Chain-Wallet /</w:t>
            </w:r>
            <w:r>
              <w:rPr>
                <w:rFonts w:ascii="Times New Roman" w:hAnsi="Times New Roman" w:eastAsia="Times New Roman" w:cs="Times New Roman"/>
                <w:b w:val="0"/>
                <w:i w:val="0"/>
                <w:color w:val="26383D"/>
                <w:sz w:val="22"/>
              </w:rPr>
              <w:br w:type="textWrapping"/>
            </w:r>
            <w:r>
              <w:rPr>
                <w:rFonts w:ascii="Times New Roman" w:hAnsi="Times New Roman" w:eastAsia="Times New Roman" w:cs="Times New Roman"/>
                <w:b w:val="0"/>
                <w:i w:val="0"/>
                <w:color w:val="26383D"/>
                <w:sz w:val="22"/>
              </w:rPr>
              <w:t>1% Einbehalt für den Opferhilfefonds</w:t>
            </w:r>
          </w:p>
        </w:tc>
      </w:tr>
    </w:tbl>
    <w:p w14:paraId="67A563CE">
      <w:r>
        <w:br w:type="page"/>
      </w:r>
    </w:p>
    <w:p w14:paraId="61822F71">
      <w:pPr>
        <w:keepNext/>
        <w:pBdr>
          <w:bottom w:val="single" w:color="18A6A0" w:sz="6" w:space="3"/>
        </w:pBdr>
        <w:spacing w:before="80" w:after="180" w:line="240" w:lineRule="auto"/>
        <w:jc w:val="left"/>
      </w:pPr>
      <w:r>
        <w:rPr>
          <w:rFonts w:ascii="Cambria" w:hAnsi="Cambria" w:eastAsia="Cambria" w:cs="Cambria"/>
          <w:b/>
          <w:i w:val="0"/>
          <w:color w:val="0B6F73"/>
          <w:sz w:val="34"/>
        </w:rPr>
        <w:t>5. Bestätigung &amp; Ermächtigung des Antragstellers</w:t>
      </w:r>
    </w:p>
    <w:p w14:paraId="7C96E450">
      <w:pPr>
        <w:keepNext w:val="0"/>
        <w:spacing w:before="0" w:after="280" w:line="298" w:lineRule="auto"/>
        <w:ind w:firstLine="0"/>
        <w:jc w:val="both"/>
      </w:pPr>
      <w:r>
        <w:rPr>
          <w:rFonts w:ascii="Times New Roman" w:hAnsi="Times New Roman" w:eastAsia="Times New Roman" w:cs="Times New Roman"/>
          <w:b w:val="0"/>
          <w:i w:val="0"/>
          <w:color w:val="26383D"/>
          <w:sz w:val="25"/>
        </w:rPr>
        <w:t>Mit der Unterzeichnung bestätigt der Antragsteller nach bestem Wissen und Gewissen, rechtmäßiger Inhaber des registrierten Betroffenenkontos zu sein, die Zuweisung von 1% an den Opferhilfefonds vollständig zu akzeptieren und Tether Operations Limited zu ermächtigen, die abschließende Rückerstattung an die angegebene On-Chain-Wallet-Adresse vorzunehmen.</w:t>
      </w:r>
    </w:p>
    <w:tbl>
      <w:tblPr>
        <w:tblStyle w:val="32"/>
        <w:tblpPr w:leftFromText="180" w:rightFromText="180" w:vertAnchor="text" w:horzAnchor="page" w:tblpX="1179" w:tblpY="12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7"/>
      </w:tblGrid>
      <w:tr w14:paraId="304BB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16F92300">
            <w:pPr>
              <w:spacing w:after="100"/>
            </w:pPr>
            <w:r>
              <w:rPr>
                <w:rFonts w:ascii="Cambria" w:hAnsi="Cambria" w:eastAsia="Cambria" w:cs="Cambria"/>
                <w:b/>
                <w:i w:val="0"/>
                <w:color w:val="0B6F73"/>
                <w:sz w:val="24"/>
              </w:rPr>
              <w:t>Vollständiger gesetzlicher Name des Antragstellers:</w:t>
            </w:r>
          </w:p>
          <w:p w14:paraId="0991E8E4">
            <w:pPr>
              <w:pBdr>
                <w:bottom w:val="single" w:color="63BDB8" w:sz="4" w:space="1"/>
              </w:pBdr>
              <w:spacing w:before="140" w:after="60"/>
              <w:rPr>
                <w:rFonts w:hint="default" w:eastAsia="宋体"/>
                <w:lang w:val="en-US" w:eastAsia="zh-CN"/>
              </w:rPr>
            </w:pPr>
            <w:r>
              <w:rPr>
                <w:rFonts w:ascii="Times New Roman" w:hAnsi="Times New Roman" w:eastAsia="Times New Roman" w:cs="Times New Roman"/>
                <w:b w:val="0"/>
                <w:i w:val="0"/>
                <w:color w:val="26383D"/>
                <w:sz w:val="24"/>
              </w:rPr>
              <w:t xml:space="preserve"> </w:t>
            </w:r>
            <w:r>
              <w:rPr>
                <w:rFonts w:hint="eastAsia" w:eastAsia="宋体" w:cs="Times New Roman"/>
                <w:b w:val="0"/>
                <w:i w:val="0"/>
                <w:color w:val="26383D"/>
                <w:sz w:val="24"/>
                <w:lang w:val="en-US" w:eastAsia="zh-CN"/>
              </w:rPr>
              <w:t>客户姓名</w:t>
            </w:r>
          </w:p>
        </w:tc>
      </w:tr>
      <w:tr w14:paraId="25B9E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67C9130A">
            <w:pPr>
              <w:spacing w:after="100"/>
            </w:pPr>
            <w:r>
              <w:rPr>
                <w:rFonts w:ascii="Cambria" w:hAnsi="Cambria" w:eastAsia="Cambria" w:cs="Cambria"/>
                <w:b/>
                <w:i w:val="0"/>
                <w:color w:val="0B6F73"/>
                <w:sz w:val="24"/>
              </w:rPr>
              <w:t>Kontakt-E-Mail / Telefon des Antragstellers:</w:t>
            </w:r>
          </w:p>
          <w:p w14:paraId="7F4B56E0">
            <w:pPr>
              <w:pBdr>
                <w:bottom w:val="single" w:color="63BDB8" w:sz="4" w:space="1"/>
              </w:pBdr>
              <w:spacing w:before="140" w:after="60"/>
              <w:rPr>
                <w:rFonts w:hint="default" w:eastAsia="宋体"/>
                <w:lang w:val="en-US" w:eastAsia="zh-CN"/>
              </w:rPr>
            </w:pPr>
            <w:r>
              <w:rPr>
                <w:rFonts w:ascii="Times New Roman" w:hAnsi="Times New Roman" w:eastAsia="Times New Roman" w:cs="Times New Roman"/>
                <w:b w:val="0"/>
                <w:i w:val="0"/>
                <w:color w:val="26383D"/>
                <w:sz w:val="24"/>
              </w:rPr>
              <w:t xml:space="preserve"> </w:t>
            </w:r>
            <w:r>
              <w:rPr>
                <w:rFonts w:hint="eastAsia" w:eastAsia="宋体" w:cs="Times New Roman"/>
                <w:b w:val="0"/>
                <w:i w:val="0"/>
                <w:color w:val="26383D"/>
                <w:sz w:val="24"/>
                <w:lang w:val="en-US" w:eastAsia="zh-CN"/>
              </w:rPr>
              <w:t>邮箱或电话</w:t>
            </w:r>
          </w:p>
        </w:tc>
      </w:tr>
      <w:tr w14:paraId="05E16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10" w:type="dxa"/>
              <w:left w:w="90" w:type="dxa"/>
              <w:bottom w:w="140" w:type="dxa"/>
              <w:right w:w="90" w:type="dxa"/>
            </w:tcMar>
          </w:tcPr>
          <w:p w14:paraId="4961B048">
            <w:pPr>
              <w:spacing w:after="100"/>
            </w:pPr>
            <w:r>
              <w:rPr>
                <w:rFonts w:hint="default" w:ascii="Arial" w:hAnsi="Arial" w:eastAsia="宋体" w:cs="Arial"/>
                <w:b w:val="0"/>
                <w:bCs w:val="0"/>
                <w:sz w:val="24"/>
                <w:szCs w:val="24"/>
                <w:lang w:val="en-US" w:eastAsia="zh-CN"/>
              </w:rPr>
              <w:drawing>
                <wp:anchor distT="0" distB="0" distL="114300" distR="114300" simplePos="0" relativeHeight="251659264" behindDoc="0" locked="0" layoutInCell="1" allowOverlap="1">
                  <wp:simplePos x="0" y="0"/>
                  <wp:positionH relativeFrom="column">
                    <wp:posOffset>648335</wp:posOffset>
                  </wp:positionH>
                  <wp:positionV relativeFrom="paragraph">
                    <wp:posOffset>146050</wp:posOffset>
                  </wp:positionV>
                  <wp:extent cx="1821180" cy="458470"/>
                  <wp:effectExtent l="0" t="0" r="7620" b="1778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8"/>
                          <a:stretch>
                            <a:fillRect/>
                          </a:stretch>
                        </pic:blipFill>
                        <pic:spPr>
                          <a:xfrm>
                            <a:off x="0" y="0"/>
                            <a:ext cx="1821180" cy="458470"/>
                          </a:xfrm>
                          <a:prstGeom prst="rect">
                            <a:avLst/>
                          </a:prstGeom>
                        </pic:spPr>
                      </pic:pic>
                    </a:graphicData>
                  </a:graphic>
                </wp:anchor>
              </w:drawing>
            </w:r>
            <w:r>
              <w:rPr>
                <w:rFonts w:hint="eastAsia" w:ascii="Cambria" w:hAnsi="Cambria" w:eastAsia="Cambria" w:cs="Cambria"/>
                <w:b/>
                <w:i w:val="0"/>
                <w:color w:val="0B6F73"/>
                <w:sz w:val="24"/>
              </w:rPr>
              <w:t>Autorisierter Compliance-Beauftragter von Tether:</w:t>
            </w:r>
          </w:p>
          <w:p w14:paraId="64AB0947">
            <w:pPr>
              <w:pBdr>
                <w:bottom w:val="single" w:color="63BDB8" w:sz="4" w:space="1"/>
              </w:pBdr>
              <w:spacing w:before="140" w:after="60"/>
            </w:pPr>
            <w:r>
              <w:rPr>
                <w:rFonts w:ascii="Times New Roman" w:hAnsi="Times New Roman" w:eastAsia="Times New Roman" w:cs="Times New Roman"/>
                <w:b w:val="0"/>
                <w:i w:val="0"/>
                <w:color w:val="26383D"/>
                <w:sz w:val="24"/>
              </w:rPr>
              <w:t xml:space="preserve"> </w:t>
            </w:r>
          </w:p>
        </w:tc>
      </w:tr>
      <w:tr w14:paraId="296E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97" w:type="dxa"/>
            <w:tcMar>
              <w:top w:w="180" w:type="dxa"/>
              <w:left w:w="90" w:type="dxa"/>
              <w:bottom w:w="120" w:type="dxa"/>
              <w:right w:w="90" w:type="dxa"/>
            </w:tcMar>
          </w:tcPr>
          <w:p w14:paraId="1C914B15">
            <w:pPr>
              <w:spacing w:after="0"/>
              <w:rPr>
                <w:rFonts w:hint="eastAsia" w:eastAsia="宋体"/>
                <w:lang w:val="en-US" w:eastAsia="zh-CN"/>
              </w:rPr>
            </w:pPr>
            <w:r>
              <w:rPr>
                <w:rFonts w:ascii="Cambria" w:hAnsi="Cambria" w:eastAsia="Cambria" w:cs="Cambria"/>
                <w:b/>
                <w:i w:val="0"/>
                <w:color w:val="0B6F73"/>
                <w:sz w:val="23"/>
              </w:rPr>
              <w:t xml:space="preserve">Datum (TT.MM.JJJJ): </w:t>
            </w:r>
            <w:r>
              <w:rPr>
                <w:rFonts w:hint="eastAsia" w:ascii="Cambria" w:hAnsi="Cambria" w:eastAsia="宋体" w:cs="Cambria"/>
                <w:b/>
                <w:i w:val="0"/>
                <w:color w:val="0B6F73"/>
                <w:sz w:val="23"/>
                <w:lang w:val="en-US" w:eastAsia="zh-CN"/>
              </w:rPr>
              <w:t>日</w:t>
            </w:r>
            <w:r>
              <w:rPr>
                <w:rFonts w:ascii="Cambria" w:hAnsi="Cambria" w:eastAsia="Cambria" w:cs="Cambria"/>
                <w:b/>
                <w:i w:val="0"/>
                <w:color w:val="0B6F73"/>
                <w:sz w:val="23"/>
              </w:rPr>
              <w:t xml:space="preserve">/ </w:t>
            </w:r>
            <w:r>
              <w:rPr>
                <w:rFonts w:hint="eastAsia" w:ascii="Cambria" w:hAnsi="Cambria" w:eastAsia="宋体" w:cs="Cambria"/>
                <w:b/>
                <w:i w:val="0"/>
                <w:color w:val="0B6F73"/>
                <w:sz w:val="23"/>
                <w:lang w:val="en-US" w:eastAsia="zh-CN"/>
              </w:rPr>
              <w:t>月</w:t>
            </w:r>
            <w:r>
              <w:rPr>
                <w:rFonts w:ascii="Cambria" w:hAnsi="Cambria" w:eastAsia="Cambria" w:cs="Cambria"/>
                <w:b/>
                <w:i w:val="0"/>
                <w:color w:val="0B6F73"/>
                <w:sz w:val="23"/>
              </w:rPr>
              <w:t xml:space="preserve"> / </w:t>
            </w:r>
            <w:r>
              <w:rPr>
                <w:rFonts w:hint="eastAsia" w:ascii="Cambria" w:hAnsi="Cambria" w:eastAsia="宋体" w:cs="Cambria"/>
                <w:b/>
                <w:i w:val="0"/>
                <w:color w:val="0B6F73"/>
                <w:sz w:val="23"/>
                <w:lang w:val="en-US" w:eastAsia="zh-CN"/>
              </w:rPr>
              <w:t>年</w:t>
            </w:r>
          </w:p>
        </w:tc>
      </w:tr>
    </w:tbl>
    <w:p w14:paraId="2ADDF1AB"/>
    <w:sectPr>
      <w:headerReference r:id="rId5" w:type="default"/>
      <w:footerReference r:id="rId6" w:type="default"/>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9CCA">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Seite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von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1619">
    <w:pPr>
      <w:pBdr>
        <w:bottom w:val="single" w:color="18A6A0" w:sz="6" w:space="3"/>
      </w:pBdr>
      <w:spacing w:before="0" w:after="2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85E40"/>
    <w:rsid w:val="59B94868"/>
    <w:rsid w:val="602055A1"/>
    <w:rsid w:val="6E2B07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heme="minorEastAsia" w:cstheme="minorBidi"/>
      <w:color w:val="26383D"/>
      <w:sz w:val="2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456</Words>
  <Characters>3511</Characters>
  <Lines>0</Lines>
  <Paragraphs>0</Paragraphs>
  <TotalTime>1</TotalTime>
  <ScaleCrop>false</ScaleCrop>
  <LinksUpToDate>false</LinksUpToDate>
  <CharactersWithSpaces>3883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Tether Operations Limited</dc:creator>
  <dc:description>FICTIONAL SAMPLE / DEMO ONLY / NOT ISSUED BY TETHER</dc:description>
  <cp:keywords>Tether; Compliance; Opferhilfe; Vermögensrückgewinnung; Deutschland</cp:keywords>
  <cp:lastModifiedBy>Administrator</cp:lastModifiedBy>
  <dcterms:modified xsi:type="dcterms:W3CDTF">2026-08-31T15:01:41Z</dcterms:modified>
  <dc:subject>Deutschland-adaptierte Fassung</dc:subject>
  <dc:title>Sonderprogramm für Opferhilfe, Vermögensrückgewinnung und Härtefallentlastung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D05B6D9CD8EF40DF91F7FFEA52F8C670_12</vt:lpwstr>
  </property>
</Properties>
</file>