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6D74F">
      <w:pPr>
        <w:keepNext w:val="0"/>
        <w:spacing w:before="100" w:after="40" w:line="240" w:lineRule="auto"/>
        <w:jc w:val="center"/>
      </w:pPr>
      <w:r>
        <w:rPr>
          <w:rFonts w:ascii="Cambria" w:hAnsi="Cambria" w:eastAsia="Cambria" w:cs="Cambria"/>
          <w:b/>
          <w:i w:val="0"/>
          <w:color w:val="0B6F73"/>
          <w:sz w:val="50"/>
        </w:rPr>
        <w:t>TETHER OPERATIONS LIMITED</w:t>
      </w:r>
    </w:p>
    <w:p w14:paraId="37861F69">
      <w:pPr>
        <w:keepNext w:val="0"/>
        <w:pBdr>
          <w:bottom w:val="single" w:color="18A6A0" w:sz="6" w:space="4"/>
        </w:pBdr>
        <w:spacing w:before="0" w:after="140" w:line="240" w:lineRule="auto"/>
        <w:jc w:val="center"/>
      </w:pPr>
      <w:r>
        <w:rPr>
          <w:rFonts w:ascii="Cambria" w:hAnsi="Cambria" w:eastAsia="Cambria" w:cs="Cambria"/>
          <w:b w:val="0"/>
          <w:i w:val="0"/>
          <w:color w:val="0B6F73"/>
          <w:sz w:val="26"/>
        </w:rPr>
        <w:t>Global Legal Compliance &amp; Victim Assistance Asset Recovery Department</w:t>
      </w:r>
    </w:p>
    <w:p w14:paraId="4213C236">
      <w:pPr>
        <w:keepNext w:val="0"/>
        <w:spacing w:before="140" w:after="40" w:line="240" w:lineRule="auto"/>
        <w:jc w:val="center"/>
      </w:pPr>
      <w:r>
        <w:rPr>
          <w:rFonts w:ascii="Cambria" w:hAnsi="Cambria" w:eastAsia="Cambria" w:cs="Cambria"/>
          <w:b/>
          <w:i w:val="0"/>
          <w:color w:val="0B6F73"/>
          <w:sz w:val="33"/>
        </w:rPr>
        <w:t>SPECIAL VICTIM ASSISTANCE ASSET RECOVERY &amp; HARDSHIP RELIEF PROGRAM</w:t>
      </w:r>
    </w:p>
    <w:p w14:paraId="1B7D21E4">
      <w:pPr>
        <w:keepNext w:val="0"/>
        <w:spacing w:before="0" w:after="160" w:line="240" w:lineRule="auto"/>
        <w:jc w:val="center"/>
      </w:pPr>
      <w:r>
        <w:rPr>
          <w:rFonts w:ascii="Times New Roman" w:hAnsi="Times New Roman" w:eastAsia="Times New Roman" w:cs="Times New Roman"/>
          <w:b w:val="0"/>
          <w:i/>
          <w:color w:val="596A6E"/>
          <w:sz w:val="24"/>
        </w:rPr>
        <w:t>Claimant Verification, KYC Hardship Exception &amp; OnChain Settlement Agreement</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97"/>
        <w:gridCol w:w="4997"/>
      </w:tblGrid>
      <w:tr w14:paraId="6C72B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5" w:type="dxa"/>
            <w:tcMar>
              <w:top w:w="55" w:type="dxa"/>
              <w:left w:w="75" w:type="dxa"/>
              <w:bottom w:w="55" w:type="dxa"/>
              <w:right w:w="75" w:type="dxa"/>
            </w:tcMar>
          </w:tcPr>
          <w:p w14:paraId="49C7551F">
            <w:pPr>
              <w:spacing w:after="0" w:line="252" w:lineRule="auto"/>
            </w:pPr>
            <w:r>
              <w:rPr>
                <w:rFonts w:ascii="Cambria" w:hAnsi="Cambria" w:eastAsia="Cambria" w:cs="Cambria"/>
                <w:b/>
                <w:i w:val="0"/>
                <w:color w:val="0B6F73"/>
                <w:sz w:val="21"/>
              </w:rPr>
              <w:t xml:space="preserve">Ref. No.: </w:t>
            </w:r>
            <w:r>
              <w:rPr>
                <w:rFonts w:ascii="Times New Roman" w:hAnsi="Times New Roman" w:eastAsia="Times New Roman" w:cs="Times New Roman"/>
                <w:b w:val="0"/>
                <w:i w:val="0"/>
                <w:color w:val="26383D"/>
                <w:sz w:val="21"/>
              </w:rPr>
              <w:t>TETHER-HARP/2026-US-8091</w:t>
            </w:r>
          </w:p>
        </w:tc>
        <w:tc>
          <w:tcPr>
            <w:tcW w:w="4925" w:type="dxa"/>
            <w:tcMar>
              <w:top w:w="55" w:type="dxa"/>
              <w:left w:w="75" w:type="dxa"/>
              <w:bottom w:w="55" w:type="dxa"/>
              <w:right w:w="75" w:type="dxa"/>
            </w:tcMar>
          </w:tcPr>
          <w:p w14:paraId="779C52A8">
            <w:pPr>
              <w:spacing w:after="0" w:line="252" w:lineRule="auto"/>
            </w:pPr>
            <w:r>
              <w:rPr>
                <w:rFonts w:ascii="Cambria" w:hAnsi="Cambria" w:eastAsia="Cambria" w:cs="Cambria"/>
                <w:b/>
                <w:i w:val="0"/>
                <w:color w:val="0B6F73"/>
                <w:sz w:val="21"/>
              </w:rPr>
              <w:t xml:space="preserve">Jurisdiction: </w:t>
            </w:r>
            <w:r>
              <w:rPr>
                <w:rFonts w:ascii="Times New Roman" w:hAnsi="Times New Roman" w:eastAsia="Times New Roman" w:cs="Times New Roman"/>
                <w:b w:val="0"/>
                <w:i w:val="0"/>
                <w:color w:val="26383D"/>
                <w:sz w:val="21"/>
              </w:rPr>
              <w:t>United States Compliance / FinCEN</w:t>
            </w:r>
          </w:p>
        </w:tc>
      </w:tr>
      <w:tr w14:paraId="1543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5" w:type="dxa"/>
            <w:tcMar>
              <w:top w:w="55" w:type="dxa"/>
              <w:left w:w="75" w:type="dxa"/>
              <w:bottom w:w="55" w:type="dxa"/>
              <w:right w:w="75" w:type="dxa"/>
            </w:tcMar>
          </w:tcPr>
          <w:p w14:paraId="3CFFF3AB">
            <w:pPr>
              <w:spacing w:after="0" w:line="252" w:lineRule="auto"/>
              <w:rPr>
                <w:rFonts w:hint="eastAsia" w:eastAsia="宋体"/>
                <w:lang w:val="en-US" w:eastAsia="zh-CN"/>
              </w:rPr>
            </w:pPr>
            <w:r>
              <w:rPr>
                <w:rFonts w:ascii="Cambria" w:hAnsi="Cambria" w:eastAsia="Cambria" w:cs="Cambria"/>
                <w:b/>
                <w:i w:val="0"/>
                <w:color w:val="0B6F73"/>
                <w:sz w:val="21"/>
              </w:rPr>
              <w:t xml:space="preserve">Effective Date: </w:t>
            </w:r>
            <w:r>
              <w:rPr>
                <w:rFonts w:hint="eastAsia" w:eastAsia="宋体" w:cs="Times New Roman"/>
                <w:b w:val="0"/>
                <w:i w:val="0"/>
                <w:color w:val="26383D"/>
                <w:sz w:val="21"/>
                <w:lang w:val="en-US" w:eastAsia="zh-CN"/>
              </w:rPr>
              <w:t>生效日期</w:t>
            </w:r>
          </w:p>
        </w:tc>
        <w:tc>
          <w:tcPr>
            <w:tcW w:w="4925" w:type="dxa"/>
            <w:tcMar>
              <w:top w:w="55" w:type="dxa"/>
              <w:left w:w="75" w:type="dxa"/>
              <w:bottom w:w="55" w:type="dxa"/>
              <w:right w:w="75" w:type="dxa"/>
            </w:tcMar>
          </w:tcPr>
          <w:p w14:paraId="7A201A60">
            <w:pPr>
              <w:spacing w:after="0" w:line="252" w:lineRule="auto"/>
            </w:pPr>
            <w:r>
              <w:rPr>
                <w:rFonts w:ascii="Cambria" w:hAnsi="Cambria" w:eastAsia="Cambria" w:cs="Cambria"/>
                <w:b/>
                <w:i w:val="0"/>
                <w:color w:val="0B6F73"/>
                <w:sz w:val="21"/>
              </w:rPr>
              <w:t xml:space="preserve">Status: </w:t>
            </w:r>
            <w:r>
              <w:rPr>
                <w:rFonts w:ascii="Times New Roman" w:hAnsi="Times New Roman" w:eastAsia="Times New Roman" w:cs="Times New Roman"/>
                <w:b w:val="0"/>
                <w:i w:val="0"/>
                <w:color w:val="26383D"/>
                <w:sz w:val="21"/>
              </w:rPr>
              <w:t>Special Hardship Assistance Exception</w:t>
            </w:r>
          </w:p>
        </w:tc>
      </w:tr>
    </w:tbl>
    <w:p w14:paraId="71E19B8D">
      <w:pPr>
        <w:pBdr>
          <w:bottom w:val="single" w:color="18A6A0" w:sz="4" w:space="2"/>
        </w:pBdr>
        <w:spacing w:after="140"/>
      </w:pPr>
    </w:p>
    <w:p w14:paraId="1C9778E8">
      <w:pPr>
        <w:keepNext/>
        <w:pBdr>
          <w:bottom w:val="single" w:color="18A6A0" w:sz="6" w:space="3"/>
        </w:pBdr>
        <w:spacing w:before="140" w:after="140" w:line="240" w:lineRule="auto"/>
        <w:jc w:val="left"/>
      </w:pPr>
      <w:r>
        <w:rPr>
          <w:rFonts w:ascii="Cambria" w:hAnsi="Cambria" w:eastAsia="Cambria" w:cs="Cambria"/>
          <w:b/>
          <w:i w:val="0"/>
          <w:color w:val="0B6F73"/>
          <w:sz w:val="34"/>
        </w:rPr>
        <w:t>1. Executive Summary &amp; Regulatory Framework</w:t>
      </w:r>
    </w:p>
    <w:p w14:paraId="148F2B56">
      <w:pPr>
        <w:keepNext w:val="0"/>
        <w:spacing w:before="0" w:after="200" w:line="298" w:lineRule="auto"/>
        <w:ind w:firstLine="360"/>
        <w:jc w:val="both"/>
      </w:pPr>
      <w:r>
        <w:rPr>
          <w:rFonts w:ascii="Times New Roman" w:hAnsi="Times New Roman" w:eastAsia="Times New Roman" w:cs="Times New Roman"/>
          <w:b w:val="0"/>
          <w:i w:val="0"/>
          <w:color w:val="26383D"/>
          <w:sz w:val="25"/>
        </w:rPr>
        <w:t>Tether Operations Limited ("Tether"), in accordance with international consumer financial protection standards, the Bank Secrecy Act (BSA), applicable FinCEN guidance concerning digital asset remediation, and federal victim assistance and hardship-relief policies, hereby establishes the Special Victim Assistance Asset Recovery &amp; Hardship Relief Program (the "Program"). This Agreement sets forth the terms under which affected victims may seek expedited recovery of frozen, seized, or misplaced digital assets through automated on-chain disbursement directly to the victim's designated On-Chain Web3 Wallet.</w:t>
      </w:r>
    </w:p>
    <w:p w14:paraId="7FB7602F">
      <w:pPr>
        <w:keepNext/>
        <w:pBdr>
          <w:bottom w:val="single" w:color="18A6A0" w:sz="6" w:space="3"/>
        </w:pBdr>
        <w:spacing w:before="160" w:after="140" w:line="240" w:lineRule="auto"/>
        <w:jc w:val="left"/>
      </w:pPr>
      <w:r>
        <w:rPr>
          <w:rFonts w:ascii="Cambria" w:hAnsi="Cambria" w:eastAsia="Cambria" w:cs="Cambria"/>
          <w:b/>
          <w:i w:val="0"/>
          <w:color w:val="0B6F73"/>
          <w:sz w:val="34"/>
        </w:rPr>
        <w:t>2. KYC Hardship Exception &amp; Reduced Wallet Verification Deposit (50% Relief)</w:t>
      </w:r>
    </w:p>
    <w:p w14:paraId="146C4F85">
      <w:pPr>
        <w:keepNext w:val="0"/>
        <w:spacing w:before="0" w:after="160" w:line="298" w:lineRule="auto"/>
        <w:ind w:firstLine="360"/>
        <w:jc w:val="both"/>
      </w:pPr>
      <w:r>
        <w:rPr>
          <w:rFonts w:ascii="Times New Roman" w:hAnsi="Times New Roman" w:eastAsia="Times New Roman" w:cs="Times New Roman"/>
          <w:b w:val="0"/>
          <w:i w:val="0"/>
          <w:color w:val="26383D"/>
          <w:sz w:val="25"/>
        </w:rPr>
        <w:t xml:space="preserve">Under standard anti-money laundering (AML) and Know Your Customer (KYC) compliance procedures (31 C.F.R. § 1022.210), claimants seeking asset recovery are ordinarily required to complete institutional identity verification and provide a standard compliance security deposit of </w:t>
      </w:r>
      <w:r>
        <w:rPr>
          <w:rFonts w:hint="eastAsia" w:eastAsia="宋体" w:cs="Times New Roman"/>
          <w:b w:val="0"/>
          <w:i w:val="0"/>
          <w:color w:val="26383D"/>
          <w:sz w:val="25"/>
          <w:lang w:val="en-US" w:eastAsia="zh-CN"/>
        </w:rPr>
        <w:t>减免前金额</w:t>
      </w:r>
      <w:r>
        <w:rPr>
          <w:rFonts w:ascii="Times New Roman" w:hAnsi="Times New Roman" w:eastAsia="Times New Roman" w:cs="Times New Roman"/>
          <w:b w:val="0"/>
          <w:i w:val="0"/>
          <w:color w:val="26383D"/>
          <w:sz w:val="25"/>
        </w:rPr>
        <w:t xml:space="preserve"> USDT to verify wallet control and prevent fraudulent claims.</w:t>
      </w:r>
    </w:p>
    <w:p w14:paraId="1F17310F">
      <w:pPr>
        <w:keepNext w:val="0"/>
        <w:spacing w:before="0" w:after="0" w:line="298" w:lineRule="auto"/>
        <w:ind w:firstLine="360"/>
        <w:jc w:val="both"/>
      </w:pPr>
      <w:r>
        <w:rPr>
          <w:rFonts w:ascii="Times New Roman" w:hAnsi="Times New Roman" w:eastAsia="Times New Roman" w:cs="Times New Roman"/>
          <w:b w:val="0"/>
          <w:i w:val="0"/>
          <w:color w:val="26383D"/>
          <w:sz w:val="25"/>
        </w:rPr>
        <w:t xml:space="preserve">Under Tether's Victim Assistance and Hardship Relief Policy and Special Exception Authority, Tether has approved a </w:t>
      </w:r>
      <w:r>
        <w:rPr>
          <w:rFonts w:hint="eastAsia" w:eastAsia="宋体" w:cs="Times New Roman"/>
          <w:b w:val="0"/>
          <w:i w:val="0"/>
          <w:color w:val="26383D"/>
          <w:sz w:val="25"/>
          <w:lang w:val="en-US" w:eastAsia="zh-CN"/>
        </w:rPr>
        <w:t>减免百分比</w:t>
      </w:r>
      <w:r>
        <w:rPr>
          <w:rFonts w:ascii="Times New Roman" w:hAnsi="Times New Roman" w:eastAsia="Times New Roman" w:cs="Times New Roman"/>
          <w:b w:val="0"/>
          <w:i w:val="0"/>
          <w:color w:val="26383D"/>
          <w:sz w:val="25"/>
        </w:rPr>
        <w:t xml:space="preserve">% hardship reduction for qualifying victims. The claimant is required to deposit only </w:t>
      </w:r>
      <w:r>
        <w:rPr>
          <w:rFonts w:hint="eastAsia" w:eastAsia="宋体" w:cs="Times New Roman"/>
          <w:b w:val="0"/>
          <w:i w:val="0"/>
          <w:color w:val="26383D"/>
          <w:sz w:val="25"/>
          <w:lang w:val="en-US" w:eastAsia="zh-CN"/>
        </w:rPr>
        <w:t>减免后金额</w:t>
      </w:r>
      <w:r>
        <w:rPr>
          <w:rFonts w:ascii="Times New Roman" w:hAnsi="Times New Roman" w:eastAsia="Times New Roman" w:cs="Times New Roman"/>
          <w:b w:val="0"/>
          <w:i w:val="0"/>
          <w:color w:val="26383D"/>
          <w:sz w:val="25"/>
        </w:rPr>
        <w:t xml:space="preserve"> USDT (</w:t>
      </w:r>
      <w:r>
        <w:rPr>
          <w:rFonts w:hint="eastAsia" w:eastAsia="宋体" w:cs="Times New Roman"/>
          <w:b w:val="0"/>
          <w:i w:val="0"/>
          <w:color w:val="26383D"/>
          <w:sz w:val="25"/>
          <w:lang w:val="en-US" w:eastAsia="zh-CN"/>
        </w:rPr>
        <w:t>减免剩余百分比</w:t>
      </w:r>
      <w:r>
        <w:rPr>
          <w:rFonts w:ascii="Times New Roman" w:hAnsi="Times New Roman" w:eastAsia="Times New Roman" w:cs="Times New Roman"/>
          <w:b w:val="0"/>
          <w:i w:val="0"/>
          <w:color w:val="26383D"/>
          <w:sz w:val="25"/>
        </w:rPr>
        <w:t>% of the standard requirement) to the designated on-chain verification address to complete cryptographic proof of wallet control and initiate the automated smart-contract disbursement.</w:t>
      </w:r>
    </w:p>
    <w:p w14:paraId="71585AB8">
      <w:r>
        <w:br w:type="page"/>
      </w:r>
    </w:p>
    <w:p w14:paraId="1F261119">
      <w:pPr>
        <w:keepNext/>
        <w:pBdr>
          <w:bottom w:val="single" w:color="18A6A0" w:sz="6" w:space="3"/>
        </w:pBdr>
        <w:spacing w:before="80" w:after="160" w:line="240" w:lineRule="auto"/>
        <w:jc w:val="left"/>
      </w:pPr>
      <w:r>
        <w:rPr>
          <w:rFonts w:ascii="Cambria" w:hAnsi="Cambria" w:eastAsia="Cambria" w:cs="Cambria"/>
          <w:b/>
          <w:i w:val="0"/>
          <w:color w:val="0B6F73"/>
          <w:sz w:val="34"/>
        </w:rPr>
        <w:t>3. On-Chain Disbursement &amp; 1% Victim Assistance Fund Allocation</w:t>
      </w:r>
    </w:p>
    <w:p w14:paraId="50EFC8BD">
      <w:pPr>
        <w:keepNext w:val="0"/>
        <w:spacing w:before="0" w:after="180" w:line="298" w:lineRule="auto"/>
        <w:ind w:firstLine="360"/>
        <w:jc w:val="both"/>
      </w:pPr>
      <w:r>
        <w:rPr>
          <w:rFonts w:ascii="Times New Roman" w:hAnsi="Times New Roman" w:eastAsia="Times New Roman" w:cs="Times New Roman"/>
          <w:b w:val="0"/>
          <w:i w:val="0"/>
          <w:color w:val="26383D"/>
          <w:sz w:val="25"/>
        </w:rPr>
        <w:t xml:space="preserve">Upon successful cryptographic verification of wallet control, the full amount of the victim's eligible recovered assets, together with the </w:t>
      </w:r>
      <w:r>
        <w:rPr>
          <w:rFonts w:hint="eastAsia" w:eastAsia="宋体" w:cs="Times New Roman"/>
          <w:b w:val="0"/>
          <w:i w:val="0"/>
          <w:color w:val="26383D"/>
          <w:sz w:val="25"/>
          <w:lang w:val="en-US" w:eastAsia="zh-CN"/>
        </w:rPr>
        <w:t>减免后金额</w:t>
      </w:r>
      <w:r>
        <w:rPr>
          <w:rFonts w:ascii="Times New Roman" w:hAnsi="Times New Roman" w:eastAsia="Times New Roman" w:cs="Times New Roman"/>
          <w:b w:val="0"/>
          <w:i w:val="0"/>
          <w:color w:val="26383D"/>
          <w:sz w:val="25"/>
        </w:rPr>
        <w:t xml:space="preserve"> USDT verification deposit, will be scheduled for automated final settlement.</w:t>
      </w:r>
    </w:p>
    <w:tbl>
      <w:tblPr>
        <w:tblStyle w:val="32"/>
        <w:tblW w:w="0" w:type="auto"/>
        <w:jc w:val="center"/>
        <w:tblBorders>
          <w:top w:val="single" w:color="18A6A0" w:sz="10" w:space="0"/>
          <w:left w:val="single" w:color="18A6A0" w:sz="10" w:space="0"/>
          <w:bottom w:val="single" w:color="18A6A0" w:sz="10" w:space="0"/>
          <w:right w:val="single" w:color="18A6A0" w:sz="10" w:space="0"/>
          <w:insideH w:val="single" w:color="18A6A0" w:sz="10" w:space="0"/>
          <w:insideV w:val="single" w:color="18A6A0" w:sz="10" w:space="0"/>
        </w:tblBorders>
        <w:tblLayout w:type="autofit"/>
        <w:tblCellMar>
          <w:top w:w="0" w:type="dxa"/>
          <w:left w:w="108" w:type="dxa"/>
          <w:bottom w:w="0" w:type="dxa"/>
          <w:right w:w="108" w:type="dxa"/>
        </w:tblCellMar>
      </w:tblPr>
      <w:tblGrid>
        <w:gridCol w:w="9994"/>
      </w:tblGrid>
      <w:tr w14:paraId="7BFF413F">
        <w:tblPrEx>
          <w:tblBorders>
            <w:top w:val="single" w:color="18A6A0" w:sz="10" w:space="0"/>
            <w:left w:val="single" w:color="18A6A0" w:sz="10" w:space="0"/>
            <w:bottom w:val="single" w:color="18A6A0" w:sz="10" w:space="0"/>
            <w:right w:val="single" w:color="18A6A0" w:sz="10" w:space="0"/>
            <w:insideH w:val="single" w:color="18A6A0" w:sz="10" w:space="0"/>
            <w:insideV w:val="single" w:color="18A6A0" w:sz="10" w:space="0"/>
          </w:tblBorders>
          <w:tblCellMar>
            <w:top w:w="0" w:type="dxa"/>
            <w:left w:w="108" w:type="dxa"/>
            <w:bottom w:w="0" w:type="dxa"/>
            <w:right w:w="108" w:type="dxa"/>
          </w:tblCellMar>
        </w:tblPrEx>
        <w:trPr>
          <w:jc w:val="center"/>
        </w:trPr>
        <w:tc>
          <w:tcPr>
            <w:tcW w:w="9994" w:type="dxa"/>
            <w:shd w:val="clear" w:color="auto" w:fill="F3FBFA"/>
            <w:tcMar>
              <w:top w:w="160" w:type="dxa"/>
              <w:left w:w="170" w:type="dxa"/>
              <w:bottom w:w="160" w:type="dxa"/>
              <w:right w:w="170" w:type="dxa"/>
            </w:tcMar>
          </w:tcPr>
          <w:p w14:paraId="6CA8EAC0">
            <w:pPr>
              <w:spacing w:after="120" w:line="252" w:lineRule="auto"/>
            </w:pPr>
            <w:r>
              <w:rPr>
                <w:rFonts w:ascii="Cambria" w:hAnsi="Cambria" w:eastAsia="Cambria" w:cs="Cambria"/>
                <w:b/>
                <w:i w:val="0"/>
                <w:color w:val="0B6F73"/>
                <w:sz w:val="24"/>
              </w:rPr>
              <w:t>SPECIAL DEDUCTION &amp; PROGRAM FUNDING PROVISION (1% FUND CONTRIBUTION):</w:t>
            </w:r>
          </w:p>
          <w:p w14:paraId="57CB8D5A">
            <w:pPr>
              <w:spacing w:after="0" w:line="283" w:lineRule="auto"/>
              <w:jc w:val="both"/>
            </w:pPr>
            <w:r>
              <w:rPr>
                <w:rFonts w:ascii="Times New Roman" w:hAnsi="Times New Roman" w:eastAsia="Times New Roman" w:cs="Times New Roman"/>
                <w:b w:val="0"/>
                <w:i w:val="0"/>
                <w:color w:val="26383D"/>
                <w:sz w:val="24"/>
              </w:rPr>
              <w:t xml:space="preserve">In accordance with Section 4(b) of the Program Charter, a non-refundable 1% contribution will be automatically withheld from the </w:t>
            </w:r>
            <w:bookmarkStart w:id="0" w:name="_GoBack"/>
            <w:bookmarkEnd w:id="0"/>
            <w:r>
              <w:rPr>
                <w:rFonts w:ascii="Times New Roman" w:hAnsi="Times New Roman" w:eastAsia="Times New Roman" w:cs="Times New Roman"/>
                <w:b w:val="0"/>
                <w:i w:val="0"/>
                <w:color w:val="26383D"/>
                <w:sz w:val="24"/>
              </w:rPr>
              <w:t xml:space="preserve">total refund amount at the time of final settlement. This 1% allocation will be deposited directly into the Global Victim Assistance Fund to support ongoing legal assistance, fraud prevention, and emergency aid for victims experiencing severe financial hardship. The remaining 99% of the total funds (including 99% of the </w:t>
            </w:r>
            <w:r>
              <w:rPr>
                <w:rFonts w:hint="eastAsia" w:eastAsia="宋体" w:cs="Times New Roman"/>
                <w:b w:val="0"/>
                <w:i w:val="0"/>
                <w:color w:val="26383D"/>
                <w:sz w:val="24"/>
                <w:lang w:val="en-US" w:eastAsia="zh-CN"/>
              </w:rPr>
              <w:t>减免后金额</w:t>
            </w:r>
            <w:r>
              <w:rPr>
                <w:rFonts w:ascii="Times New Roman" w:hAnsi="Times New Roman" w:eastAsia="Times New Roman" w:cs="Times New Roman"/>
                <w:b w:val="0"/>
                <w:i w:val="0"/>
                <w:color w:val="26383D"/>
                <w:sz w:val="24"/>
              </w:rPr>
              <w:t xml:space="preserve"> USDT verification deposit) will be disbursed directly to the victim's verified On-Chain Wallet.</w:t>
            </w:r>
          </w:p>
        </w:tc>
      </w:tr>
    </w:tbl>
    <w:p w14:paraId="18AAD5DA">
      <w:pPr>
        <w:keepNext/>
        <w:pBdr>
          <w:bottom w:val="single" w:color="18A6A0" w:sz="6" w:space="3"/>
        </w:pBdr>
        <w:spacing w:before="260" w:after="160" w:line="240" w:lineRule="auto"/>
        <w:jc w:val="left"/>
      </w:pPr>
      <w:r>
        <w:rPr>
          <w:rFonts w:ascii="Cambria" w:hAnsi="Cambria" w:eastAsia="Cambria" w:cs="Cambria"/>
          <w:b/>
          <w:i w:val="0"/>
          <w:color w:val="0B6F73"/>
          <w:sz w:val="34"/>
        </w:rPr>
        <w:t>4. Comparative Verification &amp; Settlement Summary</w:t>
      </w:r>
    </w:p>
    <w:tbl>
      <w:tblPr>
        <w:tblStyle w:val="32"/>
        <w:tblW w:w="0" w:type="auto"/>
        <w:jc w:val="center"/>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Layout w:type="fixed"/>
        <w:tblCellMar>
          <w:top w:w="0" w:type="dxa"/>
          <w:left w:w="108" w:type="dxa"/>
          <w:bottom w:w="0" w:type="dxa"/>
          <w:right w:w="108" w:type="dxa"/>
        </w:tblCellMar>
      </w:tblPr>
      <w:tblGrid>
        <w:gridCol w:w="3331"/>
        <w:gridCol w:w="3331"/>
        <w:gridCol w:w="3331"/>
      </w:tblGrid>
      <w:tr w14:paraId="0357071F">
        <w:tblPrEx>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CellMar>
            <w:top w:w="0" w:type="dxa"/>
            <w:left w:w="108" w:type="dxa"/>
            <w:bottom w:w="0" w:type="dxa"/>
            <w:right w:w="108" w:type="dxa"/>
          </w:tblCellMar>
        </w:tblPrEx>
        <w:trPr>
          <w:jc w:val="center"/>
        </w:trPr>
        <w:tc>
          <w:tcPr>
            <w:tcW w:w="3110" w:type="dxa"/>
            <w:shd w:val="clear" w:color="auto" w:fill="0B6F73"/>
            <w:tcMar>
              <w:top w:w="130" w:type="dxa"/>
              <w:left w:w="100" w:type="dxa"/>
              <w:bottom w:w="130" w:type="dxa"/>
              <w:right w:w="100" w:type="dxa"/>
            </w:tcMar>
            <w:vAlign w:val="center"/>
          </w:tcPr>
          <w:p w14:paraId="4B7B5079">
            <w:pPr>
              <w:spacing w:after="0" w:line="252" w:lineRule="auto"/>
              <w:jc w:val="center"/>
            </w:pPr>
            <w:r>
              <w:rPr>
                <w:rFonts w:ascii="Cambria" w:hAnsi="Cambria" w:eastAsia="Cambria" w:cs="Cambria"/>
                <w:b/>
                <w:i w:val="0"/>
                <w:color w:val="FFFFFF"/>
                <w:sz w:val="22"/>
              </w:rPr>
              <w:t>Compliance Category</w:t>
            </w:r>
          </w:p>
        </w:tc>
        <w:tc>
          <w:tcPr>
            <w:tcW w:w="3384" w:type="dxa"/>
            <w:shd w:val="clear" w:color="auto" w:fill="0B6F73"/>
            <w:tcMar>
              <w:top w:w="130" w:type="dxa"/>
              <w:left w:w="100" w:type="dxa"/>
              <w:bottom w:w="130" w:type="dxa"/>
              <w:right w:w="100" w:type="dxa"/>
            </w:tcMar>
            <w:vAlign w:val="center"/>
          </w:tcPr>
          <w:p w14:paraId="7DEDB58B">
            <w:pPr>
              <w:spacing w:after="0" w:line="252" w:lineRule="auto"/>
              <w:jc w:val="center"/>
            </w:pPr>
            <w:r>
              <w:rPr>
                <w:rFonts w:ascii="Cambria" w:hAnsi="Cambria" w:eastAsia="Cambria" w:cs="Cambria"/>
                <w:b/>
                <w:i w:val="0"/>
                <w:color w:val="FFFFFF"/>
                <w:sz w:val="22"/>
              </w:rPr>
              <w:t>Standard Institutional Procedure</w:t>
            </w:r>
          </w:p>
        </w:tc>
        <w:tc>
          <w:tcPr>
            <w:tcW w:w="3485" w:type="dxa"/>
            <w:shd w:val="clear" w:color="auto" w:fill="0B6F73"/>
            <w:tcMar>
              <w:top w:w="130" w:type="dxa"/>
              <w:left w:w="100" w:type="dxa"/>
              <w:bottom w:w="130" w:type="dxa"/>
              <w:right w:w="100" w:type="dxa"/>
            </w:tcMar>
            <w:vAlign w:val="center"/>
          </w:tcPr>
          <w:p w14:paraId="02622534">
            <w:pPr>
              <w:spacing w:after="0" w:line="252" w:lineRule="auto"/>
              <w:jc w:val="center"/>
            </w:pPr>
            <w:r>
              <w:rPr>
                <w:rFonts w:ascii="Cambria" w:hAnsi="Cambria" w:eastAsia="Cambria" w:cs="Cambria"/>
                <w:b/>
                <w:i w:val="0"/>
                <w:color w:val="FFFFFF"/>
                <w:sz w:val="22"/>
              </w:rPr>
              <w:t>Hardship Assistance Program</w:t>
            </w:r>
          </w:p>
        </w:tc>
      </w:tr>
      <w:tr w14:paraId="6E26E2C6">
        <w:tblPrEx>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CellMar>
            <w:top w:w="0" w:type="dxa"/>
            <w:left w:w="108" w:type="dxa"/>
            <w:bottom w:w="0" w:type="dxa"/>
            <w:right w:w="108" w:type="dxa"/>
          </w:tblCellMar>
        </w:tblPrEx>
        <w:trPr>
          <w:cantSplit/>
          <w:jc w:val="center"/>
        </w:trPr>
        <w:tc>
          <w:tcPr>
            <w:tcW w:w="3110" w:type="dxa"/>
            <w:shd w:val="clear" w:color="auto" w:fill="F3FBFA"/>
            <w:tcMar>
              <w:top w:w="150" w:type="dxa"/>
              <w:left w:w="110" w:type="dxa"/>
              <w:bottom w:w="150" w:type="dxa"/>
              <w:right w:w="110" w:type="dxa"/>
            </w:tcMar>
            <w:vAlign w:val="center"/>
          </w:tcPr>
          <w:p w14:paraId="6CC41863">
            <w:pPr>
              <w:spacing w:after="0" w:line="269" w:lineRule="auto"/>
              <w:jc w:val="left"/>
            </w:pPr>
            <w:r>
              <w:rPr>
                <w:rFonts w:ascii="Times New Roman" w:hAnsi="Times New Roman" w:eastAsia="Times New Roman" w:cs="Times New Roman"/>
                <w:b/>
                <w:i w:val="0"/>
                <w:color w:val="26383D"/>
                <w:sz w:val="22"/>
              </w:rPr>
              <w:t>KYC &amp; Wallet-Control Verification Deposit</w:t>
            </w:r>
          </w:p>
        </w:tc>
        <w:tc>
          <w:tcPr>
            <w:tcW w:w="3384" w:type="dxa"/>
            <w:shd w:val="clear" w:color="auto" w:fill="F3FBFA"/>
            <w:tcMar>
              <w:top w:w="150" w:type="dxa"/>
              <w:left w:w="110" w:type="dxa"/>
              <w:bottom w:w="150" w:type="dxa"/>
              <w:right w:w="110" w:type="dxa"/>
            </w:tcMar>
            <w:vAlign w:val="center"/>
          </w:tcPr>
          <w:p w14:paraId="2D38C195">
            <w:pPr>
              <w:spacing w:after="0" w:line="269" w:lineRule="auto"/>
              <w:jc w:val="center"/>
            </w:pPr>
            <w:r>
              <w:rPr>
                <w:rFonts w:hint="eastAsia" w:eastAsia="宋体" w:cs="Times New Roman"/>
                <w:b w:val="0"/>
                <w:i w:val="0"/>
                <w:color w:val="26383D"/>
                <w:sz w:val="22"/>
                <w:lang w:val="en-US" w:eastAsia="zh-CN"/>
              </w:rPr>
              <w:t>减免前金额</w:t>
            </w:r>
            <w:r>
              <w:rPr>
                <w:rFonts w:ascii="Times New Roman" w:hAnsi="Times New Roman" w:eastAsia="Times New Roman" w:cs="Times New Roman"/>
                <w:b w:val="0"/>
                <w:i w:val="0"/>
                <w:color w:val="26383D"/>
                <w:sz w:val="22"/>
              </w:rPr>
              <w:t xml:space="preserve"> USDT</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(100% Full Requirement)</w:t>
            </w:r>
          </w:p>
        </w:tc>
        <w:tc>
          <w:tcPr>
            <w:tcW w:w="3485" w:type="dxa"/>
            <w:shd w:val="clear" w:color="auto" w:fill="F3FBFA"/>
            <w:tcMar>
              <w:top w:w="150" w:type="dxa"/>
              <w:left w:w="110" w:type="dxa"/>
              <w:bottom w:w="150" w:type="dxa"/>
              <w:right w:w="110" w:type="dxa"/>
            </w:tcMar>
            <w:vAlign w:val="center"/>
          </w:tcPr>
          <w:p w14:paraId="6489B1D8">
            <w:pPr>
              <w:spacing w:after="0" w:line="269" w:lineRule="auto"/>
              <w:jc w:val="center"/>
            </w:pPr>
            <w:r>
              <w:rPr>
                <w:rFonts w:hint="eastAsia" w:eastAsia="宋体" w:cs="Times New Roman"/>
                <w:b w:val="0"/>
                <w:i w:val="0"/>
                <w:color w:val="26383D"/>
                <w:sz w:val="22"/>
                <w:lang w:val="en-US" w:eastAsia="zh-CN"/>
              </w:rPr>
              <w:t>减免后金额</w:t>
            </w:r>
            <w:r>
              <w:rPr>
                <w:rFonts w:ascii="Times New Roman" w:hAnsi="Times New Roman" w:eastAsia="Times New Roman" w:cs="Times New Roman"/>
                <w:b w:val="0"/>
                <w:i w:val="0"/>
                <w:color w:val="26383D"/>
                <w:sz w:val="22"/>
              </w:rPr>
              <w:t xml:space="preserve"> USDT</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(50% Hardship Exception)</w:t>
            </w:r>
          </w:p>
        </w:tc>
      </w:tr>
      <w:tr w14:paraId="449FF240">
        <w:tblPrEx>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CellMar>
            <w:top w:w="0" w:type="dxa"/>
            <w:left w:w="108" w:type="dxa"/>
            <w:bottom w:w="0" w:type="dxa"/>
            <w:right w:w="108" w:type="dxa"/>
          </w:tblCellMar>
        </w:tblPrEx>
        <w:trPr>
          <w:cantSplit/>
          <w:jc w:val="center"/>
        </w:trPr>
        <w:tc>
          <w:tcPr>
            <w:tcW w:w="3110" w:type="dxa"/>
            <w:shd w:val="clear" w:color="auto" w:fill="FFFFFF"/>
            <w:tcMar>
              <w:top w:w="150" w:type="dxa"/>
              <w:left w:w="110" w:type="dxa"/>
              <w:bottom w:w="150" w:type="dxa"/>
              <w:right w:w="110" w:type="dxa"/>
            </w:tcMar>
            <w:vAlign w:val="center"/>
          </w:tcPr>
          <w:p w14:paraId="07F0F2F2">
            <w:pPr>
              <w:spacing w:after="0" w:line="269" w:lineRule="auto"/>
              <w:jc w:val="left"/>
            </w:pPr>
            <w:r>
              <w:rPr>
                <w:rFonts w:ascii="Times New Roman" w:hAnsi="Times New Roman" w:eastAsia="Times New Roman" w:cs="Times New Roman"/>
                <w:b/>
                <w:i w:val="0"/>
                <w:color w:val="26383D"/>
                <w:sz w:val="22"/>
              </w:rPr>
              <w:t>Final Refund Distribution Terms</w:t>
            </w:r>
          </w:p>
        </w:tc>
        <w:tc>
          <w:tcPr>
            <w:tcW w:w="3384" w:type="dxa"/>
            <w:shd w:val="clear" w:color="auto" w:fill="FFFFFF"/>
            <w:tcMar>
              <w:top w:w="150" w:type="dxa"/>
              <w:left w:w="110" w:type="dxa"/>
              <w:bottom w:w="150" w:type="dxa"/>
              <w:right w:w="110" w:type="dxa"/>
            </w:tcMar>
            <w:vAlign w:val="center"/>
          </w:tcPr>
          <w:p w14:paraId="6382779C">
            <w:pPr>
              <w:spacing w:after="0" w:line="269" w:lineRule="auto"/>
              <w:jc w:val="center"/>
            </w:pPr>
            <w:r>
              <w:rPr>
                <w:rFonts w:ascii="Times New Roman" w:hAnsi="Times New Roman" w:eastAsia="Times New Roman" w:cs="Times New Roman"/>
                <w:b w:val="0"/>
                <w:i w:val="0"/>
                <w:color w:val="26383D"/>
                <w:sz w:val="22"/>
              </w:rPr>
              <w:t>100% Refund</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(Subject to standard legal audit)</w:t>
            </w:r>
          </w:p>
        </w:tc>
        <w:tc>
          <w:tcPr>
            <w:tcW w:w="3485" w:type="dxa"/>
            <w:shd w:val="clear" w:color="auto" w:fill="FFFFFF"/>
            <w:tcMar>
              <w:top w:w="150" w:type="dxa"/>
              <w:left w:w="110" w:type="dxa"/>
              <w:bottom w:w="150" w:type="dxa"/>
              <w:right w:w="110" w:type="dxa"/>
            </w:tcMar>
            <w:vAlign w:val="center"/>
          </w:tcPr>
          <w:p w14:paraId="5C618B6F">
            <w:pPr>
              <w:spacing w:after="0" w:line="269" w:lineRule="auto"/>
              <w:jc w:val="center"/>
            </w:pPr>
            <w:r>
              <w:rPr>
                <w:rFonts w:ascii="Times New Roman" w:hAnsi="Times New Roman" w:eastAsia="Times New Roman" w:cs="Times New Roman"/>
                <w:b w:val="0"/>
                <w:i w:val="0"/>
                <w:color w:val="26383D"/>
                <w:sz w:val="22"/>
              </w:rPr>
              <w:t>99% Refund to On-Chain Wallet /</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1% Retained for Victim Assistance Fund</w:t>
            </w:r>
          </w:p>
        </w:tc>
      </w:tr>
    </w:tbl>
    <w:p w14:paraId="67A563CE">
      <w:r>
        <w:br w:type="page"/>
      </w:r>
    </w:p>
    <w:p w14:paraId="61822F71">
      <w:pPr>
        <w:keepNext/>
        <w:pBdr>
          <w:bottom w:val="single" w:color="18A6A0" w:sz="6" w:space="3"/>
        </w:pBdr>
        <w:spacing w:before="80" w:after="180" w:line="240" w:lineRule="auto"/>
        <w:jc w:val="left"/>
      </w:pPr>
      <w:r>
        <w:rPr>
          <w:rFonts w:ascii="Cambria" w:hAnsi="Cambria" w:eastAsia="Cambria" w:cs="Cambria"/>
          <w:b/>
          <w:i w:val="0"/>
          <w:color w:val="0B6F73"/>
          <w:sz w:val="34"/>
        </w:rPr>
        <w:t>5. Claimant Acknowledgment &amp; Authorization</w:t>
      </w:r>
    </w:p>
    <w:p w14:paraId="7C96E450">
      <w:pPr>
        <w:keepNext w:val="0"/>
        <w:spacing w:before="0" w:after="280" w:line="298" w:lineRule="auto"/>
        <w:ind w:firstLine="0"/>
        <w:jc w:val="both"/>
      </w:pPr>
      <w:r>
        <w:rPr>
          <w:rFonts w:ascii="Times New Roman" w:hAnsi="Times New Roman" w:eastAsia="Times New Roman" w:cs="Times New Roman"/>
          <w:b w:val="0"/>
          <w:i w:val="0"/>
          <w:color w:val="26383D"/>
          <w:sz w:val="25"/>
        </w:rPr>
        <w:t>By signing below, the Claimant certifies under penalty of perjury under the laws of the United States of America that they are the lawful owner of the registered victim account, fully accept the 1% victim assistance fund contribution, and authorize Tether Operations Limited to complete the final refund settlement to the designated On-Chain Wallet address.</w:t>
      </w:r>
    </w:p>
    <w:tbl>
      <w:tblPr>
        <w:tblStyle w:val="32"/>
        <w:tblpPr w:leftFromText="180" w:rightFromText="180" w:vertAnchor="text" w:horzAnchor="page" w:tblpX="1179" w:tblpY="12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97"/>
      </w:tblGrid>
      <w:tr w14:paraId="304BB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10" w:type="dxa"/>
              <w:left w:w="90" w:type="dxa"/>
              <w:bottom w:w="140" w:type="dxa"/>
              <w:right w:w="90" w:type="dxa"/>
            </w:tcMar>
          </w:tcPr>
          <w:p w14:paraId="16F92300">
            <w:pPr>
              <w:spacing w:after="100"/>
            </w:pPr>
            <w:r>
              <w:rPr>
                <w:rFonts w:ascii="Cambria" w:hAnsi="Cambria" w:eastAsia="Cambria" w:cs="Cambria"/>
                <w:b/>
                <w:i w:val="0"/>
                <w:color w:val="0B6F73"/>
                <w:sz w:val="24"/>
              </w:rPr>
              <w:t>Claimant Full Legal Name:</w:t>
            </w:r>
          </w:p>
          <w:p w14:paraId="0991E8E4">
            <w:pPr>
              <w:pBdr>
                <w:bottom w:val="single" w:color="63BDB8" w:sz="4" w:space="1"/>
              </w:pBdr>
              <w:spacing w:before="140" w:after="60"/>
              <w:rPr>
                <w:rFonts w:hint="default" w:eastAsia="宋体"/>
                <w:lang w:val="en-US" w:eastAsia="zh-CN"/>
              </w:rPr>
            </w:pPr>
            <w:r>
              <w:rPr>
                <w:rFonts w:ascii="Times New Roman" w:hAnsi="Times New Roman" w:eastAsia="Times New Roman" w:cs="Times New Roman"/>
                <w:b w:val="0"/>
                <w:i w:val="0"/>
                <w:color w:val="26383D"/>
                <w:sz w:val="24"/>
              </w:rPr>
              <w:t xml:space="preserve"> </w:t>
            </w:r>
            <w:r>
              <w:rPr>
                <w:rFonts w:hint="eastAsia" w:eastAsia="宋体" w:cs="Times New Roman"/>
                <w:b w:val="0"/>
                <w:i w:val="0"/>
                <w:color w:val="26383D"/>
                <w:sz w:val="24"/>
                <w:lang w:val="en-US" w:eastAsia="zh-CN"/>
              </w:rPr>
              <w:t>客户姓名</w:t>
            </w:r>
          </w:p>
        </w:tc>
      </w:tr>
      <w:tr w14:paraId="25B9E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10" w:type="dxa"/>
              <w:left w:w="90" w:type="dxa"/>
              <w:bottom w:w="140" w:type="dxa"/>
              <w:right w:w="90" w:type="dxa"/>
            </w:tcMar>
          </w:tcPr>
          <w:p w14:paraId="67C9130A">
            <w:pPr>
              <w:spacing w:after="100"/>
            </w:pPr>
            <w:r>
              <w:rPr>
                <w:rFonts w:ascii="Cambria" w:hAnsi="Cambria" w:eastAsia="Cambria" w:cs="Cambria"/>
                <w:b/>
                <w:i w:val="0"/>
                <w:color w:val="0B6F73"/>
                <w:sz w:val="24"/>
              </w:rPr>
              <w:t>Claimant Contact Email / Phone:</w:t>
            </w:r>
          </w:p>
          <w:p w14:paraId="7F4B56E0">
            <w:pPr>
              <w:pBdr>
                <w:bottom w:val="single" w:color="63BDB8" w:sz="4" w:space="1"/>
              </w:pBdr>
              <w:spacing w:before="140" w:after="60"/>
              <w:rPr>
                <w:rFonts w:hint="default" w:eastAsia="宋体"/>
                <w:lang w:val="en-US" w:eastAsia="zh-CN"/>
              </w:rPr>
            </w:pPr>
            <w:r>
              <w:rPr>
                <w:rFonts w:ascii="Times New Roman" w:hAnsi="Times New Roman" w:eastAsia="Times New Roman" w:cs="Times New Roman"/>
                <w:b w:val="0"/>
                <w:i w:val="0"/>
                <w:color w:val="26383D"/>
                <w:sz w:val="24"/>
              </w:rPr>
              <w:t xml:space="preserve"> </w:t>
            </w:r>
            <w:r>
              <w:rPr>
                <w:rFonts w:hint="eastAsia" w:eastAsia="宋体" w:cs="Times New Roman"/>
                <w:b w:val="0"/>
                <w:i w:val="0"/>
                <w:color w:val="26383D"/>
                <w:sz w:val="24"/>
                <w:lang w:val="en-US" w:eastAsia="zh-CN"/>
              </w:rPr>
              <w:t>邮箱或电话</w:t>
            </w:r>
          </w:p>
        </w:tc>
      </w:tr>
      <w:tr w14:paraId="05E16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10" w:type="dxa"/>
              <w:left w:w="90" w:type="dxa"/>
              <w:bottom w:w="140" w:type="dxa"/>
              <w:right w:w="90" w:type="dxa"/>
            </w:tcMar>
          </w:tcPr>
          <w:p w14:paraId="4961B048">
            <w:pPr>
              <w:spacing w:after="100"/>
            </w:pPr>
            <w:r>
              <w:rPr>
                <w:rFonts w:hint="default" w:ascii="Arial" w:hAnsi="Arial" w:eastAsia="宋体" w:cs="Arial"/>
                <w:b w:val="0"/>
                <w:bCs w:val="0"/>
                <w:sz w:val="24"/>
                <w:szCs w:val="24"/>
                <w:lang w:val="en-US" w:eastAsia="zh-CN"/>
              </w:rPr>
              <w:drawing>
                <wp:anchor distT="0" distB="0" distL="114300" distR="114300" simplePos="0" relativeHeight="251660288" behindDoc="0" locked="0" layoutInCell="1" allowOverlap="1">
                  <wp:simplePos x="0" y="0"/>
                  <wp:positionH relativeFrom="column">
                    <wp:posOffset>133985</wp:posOffset>
                  </wp:positionH>
                  <wp:positionV relativeFrom="paragraph">
                    <wp:posOffset>136525</wp:posOffset>
                  </wp:positionV>
                  <wp:extent cx="1821180" cy="458470"/>
                  <wp:effectExtent l="0" t="0" r="7620" b="17780"/>
                  <wp:wrapNone/>
                  <wp:docPr id="5" name="图片 5" descr="ChatGPT Image 2026年4月16日 20_16_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4月16日 20_16_39(1)"/>
                          <pic:cNvPicPr>
                            <a:picLocks noChangeAspect="1"/>
                          </pic:cNvPicPr>
                        </pic:nvPicPr>
                        <pic:blipFill>
                          <a:blip r:embed="rId8"/>
                          <a:stretch>
                            <a:fillRect/>
                          </a:stretch>
                        </pic:blipFill>
                        <pic:spPr>
                          <a:xfrm>
                            <a:off x="0" y="0"/>
                            <a:ext cx="1821180" cy="458470"/>
                          </a:xfrm>
                          <a:prstGeom prst="rect">
                            <a:avLst/>
                          </a:prstGeom>
                        </pic:spPr>
                      </pic:pic>
                    </a:graphicData>
                  </a:graphic>
                </wp:anchor>
              </w:drawing>
            </w:r>
            <w:r>
              <w:rPr>
                <w:rFonts w:hint="eastAsia" w:ascii="Cambria" w:hAnsi="Cambria" w:eastAsia="Cambria" w:cs="Cambria"/>
                <w:b/>
                <w:i w:val="0"/>
                <w:color w:val="0B6F73"/>
                <w:sz w:val="24"/>
              </w:rPr>
              <w:t>Tether Authorized Compliance Officer:</w:t>
            </w:r>
          </w:p>
          <w:p w14:paraId="64AB0947">
            <w:pPr>
              <w:pBdr>
                <w:bottom w:val="single" w:color="63BDB8" w:sz="4" w:space="1"/>
              </w:pBdr>
              <w:spacing w:before="140" w:after="60"/>
            </w:pPr>
            <w:r>
              <w:rPr>
                <w:rFonts w:ascii="Times New Roman" w:hAnsi="Times New Roman" w:eastAsia="Times New Roman" w:cs="Times New Roman"/>
                <w:b w:val="0"/>
                <w:i w:val="0"/>
                <w:color w:val="26383D"/>
                <w:sz w:val="24"/>
              </w:rPr>
              <w:t xml:space="preserve"> </w:t>
            </w:r>
          </w:p>
        </w:tc>
      </w:tr>
      <w:tr w14:paraId="296E9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80" w:type="dxa"/>
              <w:left w:w="90" w:type="dxa"/>
              <w:bottom w:w="120" w:type="dxa"/>
              <w:right w:w="90" w:type="dxa"/>
            </w:tcMar>
          </w:tcPr>
          <w:p w14:paraId="1C914B15">
            <w:pPr>
              <w:spacing w:after="0"/>
              <w:rPr>
                <w:rFonts w:hint="eastAsia" w:eastAsia="宋体"/>
                <w:lang w:val="en-US" w:eastAsia="zh-CN"/>
              </w:rPr>
            </w:pPr>
            <w:r>
              <w:rPr>
                <w:rFonts w:ascii="Cambria" w:hAnsi="Cambria" w:eastAsia="Cambria" w:cs="Cambria"/>
                <w:b/>
                <w:i w:val="0"/>
                <w:color w:val="0B6F73"/>
                <w:sz w:val="23"/>
              </w:rPr>
              <w:t xml:space="preserve">Date (MM/DD/YYYY): </w:t>
            </w:r>
            <w:r>
              <w:rPr>
                <w:rFonts w:hint="eastAsia" w:ascii="Cambria" w:hAnsi="Cambria" w:eastAsia="宋体" w:cs="Cambria"/>
                <w:b/>
                <w:i w:val="0"/>
                <w:color w:val="0B6F73"/>
                <w:sz w:val="23"/>
                <w:lang w:val="en-US" w:eastAsia="zh-CN"/>
              </w:rPr>
              <w:t>日</w:t>
            </w:r>
            <w:r>
              <w:rPr>
                <w:rFonts w:ascii="Cambria" w:hAnsi="Cambria" w:eastAsia="Cambria" w:cs="Cambria"/>
                <w:b/>
                <w:i w:val="0"/>
                <w:color w:val="0B6F73"/>
                <w:sz w:val="23"/>
              </w:rPr>
              <w:t xml:space="preserve">/ </w:t>
            </w:r>
            <w:r>
              <w:rPr>
                <w:rFonts w:hint="eastAsia" w:ascii="Cambria" w:hAnsi="Cambria" w:eastAsia="宋体" w:cs="Cambria"/>
                <w:b/>
                <w:i w:val="0"/>
                <w:color w:val="0B6F73"/>
                <w:sz w:val="23"/>
                <w:lang w:val="en-US" w:eastAsia="zh-CN"/>
              </w:rPr>
              <w:t>月</w:t>
            </w:r>
            <w:r>
              <w:rPr>
                <w:rFonts w:ascii="Cambria" w:hAnsi="Cambria" w:eastAsia="Cambria" w:cs="Cambria"/>
                <w:b/>
                <w:i w:val="0"/>
                <w:color w:val="0B6F73"/>
                <w:sz w:val="23"/>
              </w:rPr>
              <w:t xml:space="preserve"> / </w:t>
            </w:r>
            <w:r>
              <w:rPr>
                <w:rFonts w:hint="eastAsia" w:ascii="Cambria" w:hAnsi="Cambria" w:eastAsia="宋体" w:cs="Cambria"/>
                <w:b/>
                <w:i w:val="0"/>
                <w:color w:val="0B6F73"/>
                <w:sz w:val="23"/>
                <w:lang w:val="en-US" w:eastAsia="zh-CN"/>
              </w:rPr>
              <w:t>年</w:t>
            </w:r>
          </w:p>
        </w:tc>
      </w:tr>
    </w:tbl>
    <w:p w14:paraId="2ADDF1AB"/>
    <w:sectPr>
      <w:headerReference r:id="rId5" w:type="default"/>
      <w:footerReference r:id="rId6" w:type="default"/>
      <w:pgSz w:w="12240" w:h="15840"/>
      <w:pgMar w:top="1181" w:right="1123" w:bottom="893" w:left="1123" w:header="115"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9CCA">
    <w:pPr>
      <w:pStyle w:val="24"/>
      <w:pBdr>
        <w:bottom w:val="single" w:color="18A6A0" w:sz="6" w:space="3"/>
      </w:pBdr>
      <w:spacing w:before="40" w:after="0"/>
      <w:jc w:val="center"/>
    </w:pPr>
    <w:r>
      <w:rPr>
        <w:rFonts w:ascii="Times New Roman" w:hAnsi="Times New Roman" w:eastAsia="Times New Roman" w:cs="Times New Roman"/>
        <w:b w:val="0"/>
        <w:i w:val="0"/>
        <w:color w:val="0B6F73"/>
        <w:sz w:val="20"/>
      </w:rPr>
      <w:t xml:space="preserve">Page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PAGE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r>
      <w:rPr>
        <w:rFonts w:ascii="Times New Roman" w:hAnsi="Times New Roman" w:eastAsia="Times New Roman" w:cs="Times New Roman"/>
        <w:b w:val="0"/>
        <w:i w:val="0"/>
        <w:color w:val="0B6F73"/>
        <w:sz w:val="20"/>
      </w:rPr>
      <w:t xml:space="preserve"> of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NUMPAGES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50483">
    <w:pPr>
      <w:pStyle w:val="25"/>
      <w:spacing w:before="0" w:after="0" w:line="20" w:lineRule="exact"/>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Document background" descr="Pale teal digital asset them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ument background" descr="Pale teal digital asset themed background"/>
                  <pic:cNvPicPr>
                    <a:picLocks noChangeAspect="1"/>
                  </pic:cNvPicPr>
                </pic:nvPicPr>
                <pic:blipFill>
                  <a:blip r:embed="rId1"/>
                  <a:stretch>
                    <a:fillRect/>
                  </a:stretch>
                </pic:blipFill>
                <pic:spPr>
                  <a:xfrm>
                    <a:off x="0" y="0"/>
                    <a:ext cx="7772400" cy="10058400"/>
                  </a:xfrm>
                  <a:prstGeom prst="rect">
                    <a:avLst/>
                  </a:prstGeom>
                </pic:spPr>
              </pic:pic>
            </a:graphicData>
          </a:graphic>
        </wp:anchor>
      </w:drawing>
    </w:r>
  </w:p>
  <w:p w14:paraId="025C1619">
    <w:pPr>
      <w:pBdr>
        <w:bottom w:val="single" w:color="18A6A0" w:sz="6" w:space="3"/>
      </w:pBdr>
      <w:spacing w:before="0" w:after="2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2055A1"/>
    <w:rsid w:val="6E2B07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Theme="minorEastAsia" w:cstheme="minorBidi"/>
      <w:color w:val="26383D"/>
      <w:sz w:val="25"/>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554</Words>
  <Characters>3206</Characters>
  <Lines>0</Lines>
  <Paragraphs>0</Paragraphs>
  <TotalTime>1</TotalTime>
  <ScaleCrop>false</ScaleCrop>
  <LinksUpToDate>false</LinksUpToDate>
  <CharactersWithSpaces>3676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dc:description>FICTIONAL SAMPLE / DEMO ONLY / NOT ISSUED BY TETHER</dc:description>
  <cp:keywords>anti-fraud sample; fictional sample; editable DOCX; victim assistance; digital asset recovery</cp:keywords>
  <cp:lastModifiedBy>admin</cp:lastModifiedBy>
  <dcterms:modified xsi:type="dcterms:W3CDTF">2026-07-31T00:40:58Z</dcterms:modified>
  <dc:subject>Editable anti-fraud demonstration sample</dc:subject>
  <dc:title>Special Victim Assistance Asset Recovery &amp; Hardship Relief Program - Editable Anti-Fraud Sample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eyJoZGlkIjoiMDM2YWZjNTRkZTRlNDY4M2UzM2U0ZDQyMmI2MzY3MDgifQ==</vt:lpwstr>
  </property>
  <property fmtid="{D5CDD505-2E9C-101B-9397-08002B2CF9AE}" pid="3" name="KSOProductBuildVer">
    <vt:lpwstr>2052-12.1.0.26895</vt:lpwstr>
  </property>
  <property fmtid="{D5CDD505-2E9C-101B-9397-08002B2CF9AE}" pid="4" name="ICV">
    <vt:lpwstr>D05B6D9CD8EF40DF91F7FFEA52F8C670_12</vt:lpwstr>
  </property>
</Properties>
</file>