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2069D">
      <w:pPr>
        <w:keepNext/>
        <w:pBdr>
          <w:bottom w:val="single" w:color="158C8A" w:sz="8" w:space="6"/>
        </w:pBdr>
        <w:spacing w:before="200" w:after="280" w:line="252" w:lineRule="auto"/>
        <w:jc w:val="center"/>
      </w:pPr>
      <w:r>
        <w:rPr>
          <w:rFonts w:ascii="Cambria" w:hAnsi="Cambria" w:eastAsia="Cambria" w:cs="Cambria"/>
          <w:b/>
          <w:i w:val="0"/>
          <w:color w:val="0B6F73"/>
          <w:sz w:val="40"/>
        </w:rPr>
        <w:t>Offizielle Mitteilung über d</w:t>
      </w:r>
      <w:bookmarkStart w:id="0" w:name="_GoBack"/>
      <w:bookmarkEnd w:id="0"/>
      <w:r>
        <w:rPr>
          <w:rFonts w:ascii="Cambria" w:hAnsi="Cambria" w:eastAsia="Cambria" w:cs="Cambria"/>
          <w:b/>
          <w:i w:val="0"/>
          <w:color w:val="0B6F73"/>
          <w:sz w:val="40"/>
        </w:rPr>
        <w:t>ie gerichtlich genehmigte Rückgabe betrügerisch erlangter USDT-Vermögenswerte an 客户姓名</w:t>
      </w:r>
    </w:p>
    <w:p w14:paraId="328E6B6A">
      <w:pPr>
        <w:spacing w:before="0" w:after="120" w:line="283" w:lineRule="auto"/>
        <w:jc w:val="both"/>
      </w:pPr>
      <w:r>
        <w:rPr>
          <w:rFonts w:ascii="Times New Roman" w:hAnsi="Times New Roman" w:eastAsia="Times New Roman" w:cs="Times New Roman"/>
          <w:b w:val="0"/>
          <w:i w:val="0"/>
          <w:color w:val="26383D"/>
          <w:sz w:val="22"/>
        </w:rPr>
        <w:t>Gemäß der am 冻结日期 vom Landgericht Berlin II erlassenen einstweiligen Verfügung und dem Rückgabebeschluss (Az. WC-CRYPTO-1068-0177) sowie auf Grundlage der von Whitfield &amp; Crane PartG mbB im Namen des Mandanten 客户姓名 eingereichten Beweismittel hat Tether die Sperrung und Compliance-Prüfung der in dieser Angelegenheit betroffenen Blockchain-Adresse abgeschlossen.</w:t>
      </w:r>
    </w:p>
    <w:p w14:paraId="0C70A4EB">
      <w:pPr>
        <w:spacing w:before="0" w:after="120" w:line="283" w:lineRule="auto"/>
        <w:jc w:val="both"/>
      </w:pPr>
      <w:r>
        <w:rPr>
          <w:rFonts w:ascii="Times New Roman" w:hAnsi="Times New Roman" w:eastAsia="Times New Roman" w:cs="Times New Roman"/>
          <w:b w:val="0"/>
          <w:i w:val="0"/>
          <w:color w:val="26383D"/>
          <w:sz w:val="22"/>
        </w:rPr>
        <w:t>Nach gemeinsamer Prüfung durch die Compliance-Abteilung von Tether und Whitfield &amp; Crane PartG mbB hat Tether festgestellt, dass die zu dieser Angelegenheit eingereichten Unterlagen, insbesondere die einstweilige Verfügung, den Rückgabebeschluss, die On-Chain-Nachverfolgung und Transaktionszuordnung, die Vorfallsanzeige des Geschädigten sowie der Eigentumsnachweis der Gelder, die Anforderungen der Tether-Nutzungsbedingungen sowie der anwendbaren internationalen Standards zur Bekämpfung von Geldwäsche (AML) und Terrorismusfinanzierung (CFT) erfüllen.</w:t>
      </w:r>
    </w:p>
    <w:p w14:paraId="27FA1B82">
      <w:pPr>
        <w:spacing w:before="0" w:after="120" w:line="283" w:lineRule="auto"/>
        <w:jc w:val="both"/>
      </w:pPr>
      <w:r>
        <w:rPr>
          <w:rFonts w:ascii="Times New Roman" w:hAnsi="Times New Roman" w:eastAsia="Times New Roman" w:cs="Times New Roman"/>
          <w:b w:val="0"/>
          <w:i w:val="0"/>
          <w:color w:val="26383D"/>
          <w:sz w:val="22"/>
        </w:rPr>
        <w:t>Dementsprechend hat Tether die Rückgabe der betreffenden Vermögenswerte gemäß anwendbarem Recht, gerichtlicher Anordnung und internen Compliance-Anforderungen genehmigt.</w:t>
      </w:r>
    </w:p>
    <w:p w14:paraId="69300614">
      <w:pPr>
        <w:keepNext/>
        <w:pageBreakBefore w:val="0"/>
        <w:pBdr>
          <w:bottom w:val="single" w:color="158C8A" w:sz="6" w:space="4"/>
        </w:pBdr>
        <w:spacing w:before="240" w:after="140"/>
      </w:pPr>
      <w:r>
        <w:rPr>
          <w:rFonts w:ascii="Cambria" w:hAnsi="Cambria" w:eastAsia="Cambria" w:cs="Cambria"/>
          <w:b/>
          <w:i w:val="0"/>
          <w:color w:val="0B6F73"/>
          <w:sz w:val="31"/>
        </w:rPr>
        <w:t>I. Status der eingefrorenen Vermögenswerte</w:t>
      </w:r>
    </w:p>
    <w:p w14:paraId="089D7916">
      <w:pPr>
        <w:spacing w:before="0" w:after="120" w:line="283" w:lineRule="auto"/>
        <w:jc w:val="both"/>
      </w:pPr>
      <w:r>
        <w:rPr>
          <w:rFonts w:ascii="Times New Roman" w:hAnsi="Times New Roman" w:eastAsia="Times New Roman" w:cs="Times New Roman"/>
          <w:b w:val="0"/>
          <w:i w:val="0"/>
          <w:color w:val="26383D"/>
          <w:sz w:val="22"/>
        </w:rPr>
        <w:t>Gemäß der Anordnung des Landgerichts Berlin II führte Tether am 冻结日期 eine technische Sperre für die folgende Blockchain-Adresse durch, die mit der betreffenden betrügerischen Aktivität in Verbindung steht:</w:t>
      </w:r>
    </w:p>
    <w:p w14:paraId="015BF9DA">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Betroffene Adresse:</w:t>
      </w:r>
      <w:r>
        <w:rPr>
          <w:rFonts w:ascii="Times New Roman" w:hAnsi="Times New Roman" w:eastAsia="Times New Roman" w:cs="Times New Roman"/>
          <w:b w:val="0"/>
          <w:i w:val="0"/>
          <w:color w:val="26383D"/>
          <w:sz w:val="21"/>
        </w:rPr>
        <w:t xml:space="preserve"> 0x8a6babc576e8abd7299dca35cccaeb3d134bdeb6</w:t>
      </w:r>
    </w:p>
    <w:p w14:paraId="01345D3A">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Eingefrorener Betrag:</w:t>
      </w:r>
      <w:r>
        <w:rPr>
          <w:rFonts w:ascii="Times New Roman" w:hAnsi="Times New Roman" w:eastAsia="Times New Roman" w:cs="Times New Roman"/>
          <w:b w:val="0"/>
          <w:i w:val="0"/>
          <w:color w:val="26383D"/>
          <w:sz w:val="21"/>
        </w:rPr>
        <w:t xml:space="preserve"> 5.628.751,37 USDT</w:t>
      </w:r>
    </w:p>
    <w:p w14:paraId="5D05B5DC">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Blockchain-Netzwerk:</w:t>
      </w:r>
      <w:r>
        <w:rPr>
          <w:rFonts w:ascii="Times New Roman" w:hAnsi="Times New Roman" w:eastAsia="Times New Roman" w:cs="Times New Roman"/>
          <w:b w:val="0"/>
          <w:i w:val="0"/>
          <w:color w:val="26383D"/>
          <w:sz w:val="21"/>
        </w:rPr>
        <w:t xml:space="preserve"> Ethereum (ERC-20)</w:t>
      </w:r>
    </w:p>
    <w:p w14:paraId="297EFAAF">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Sperrstatus:</w:t>
      </w:r>
      <w:r>
        <w:rPr>
          <w:rFonts w:ascii="Times New Roman" w:hAnsi="Times New Roman" w:eastAsia="Times New Roman" w:cs="Times New Roman"/>
          <w:b w:val="0"/>
          <w:i w:val="0"/>
          <w:color w:val="26383D"/>
          <w:sz w:val="21"/>
        </w:rPr>
        <w:t xml:space="preserve"> Die Vermögenswerte wurden von Tether auf die Sperrliste gesetzt und sind für Übertragungen oder sonstige Transaktionen gesperrt.</w:t>
      </w:r>
    </w:p>
    <w:p w14:paraId="1A2E8E26">
      <w:pPr>
        <w:keepNext/>
        <w:pageBreakBefore w:val="0"/>
        <w:pBdr>
          <w:bottom w:val="single" w:color="158C8A" w:sz="6" w:space="4"/>
        </w:pBdr>
        <w:spacing w:before="240" w:after="140"/>
      </w:pPr>
      <w:r>
        <w:rPr>
          <w:rFonts w:ascii="Cambria" w:hAnsi="Cambria" w:eastAsia="Cambria" w:cs="Cambria"/>
          <w:b/>
          <w:i w:val="0"/>
          <w:color w:val="0B6F73"/>
          <w:sz w:val="31"/>
        </w:rPr>
        <w:t>II. Verfahren zur Vermögensrückgabe</w:t>
      </w:r>
    </w:p>
    <w:p w14:paraId="7BCEDB94">
      <w:pPr>
        <w:spacing w:before="0" w:after="120" w:line="283" w:lineRule="auto"/>
        <w:jc w:val="both"/>
      </w:pPr>
      <w:r>
        <w:rPr>
          <w:rFonts w:ascii="Times New Roman" w:hAnsi="Times New Roman" w:eastAsia="Times New Roman" w:cs="Times New Roman"/>
          <w:b w:val="0"/>
          <w:i w:val="0"/>
          <w:color w:val="26383D"/>
          <w:sz w:val="22"/>
        </w:rPr>
        <w:t>Auf Grundlage der vom Landgericht Berlin II geprüften On-Chain-Forensik und Beweisergebnisse wurde festgestellt, dass die an der oben genannten Adresse eingefrorenen USDT rechtmäßig dem Geschädigten 客户姓名 zuzuordnen sind. Tether hat im Rahmen seiner Compliance-Prüfung ferner festgestellt, dass die zur Rückgabe genehmigten Vermögenswerte weder mit Geldwäsche, Terrorismusfinanzierung, Sanktionsverstößen noch mit sonstigen ausschließenden rechtswidrigen Aktivitäten verbunden sind.</w:t>
      </w:r>
    </w:p>
    <w:p w14:paraId="6011BA8D">
      <w:pPr>
        <w:spacing w:before="0" w:after="120" w:line="283" w:lineRule="auto"/>
        <w:jc w:val="both"/>
      </w:pPr>
      <w:r>
        <w:rPr>
          <w:rFonts w:ascii="Times New Roman" w:hAnsi="Times New Roman" w:eastAsia="Times New Roman" w:cs="Times New Roman"/>
          <w:b w:val="0"/>
          <w:i w:val="0"/>
          <w:color w:val="26383D"/>
          <w:sz w:val="22"/>
        </w:rPr>
        <w:t>Zum Schutz der Integrität des Rückgabeverfahrens und zur Verringerung des Risikos von Umleitung, Kompromittierung oder weiteren Verlusten werden die Vermögenswerte über einen gesonderten Anspruchskanal und nicht über den ursprünglichen Übertragungsweg zurückgegeben. Es gelten folgende Verfahren:</w:t>
      </w:r>
    </w:p>
    <w:p w14:paraId="6B6D44CE">
      <w:pPr>
        <w:keepNext/>
        <w:spacing w:before="180" w:after="100"/>
      </w:pPr>
      <w:r>
        <w:rPr>
          <w:rFonts w:ascii="Cambria" w:hAnsi="Cambria" w:eastAsia="Cambria" w:cs="Cambria"/>
          <w:b/>
          <w:i w:val="0"/>
          <w:color w:val="0B6F73"/>
          <w:sz w:val="25"/>
        </w:rPr>
        <w:t>1. Rückgabeaufteilung</w:t>
      </w:r>
    </w:p>
    <w:p w14:paraId="063F10B7">
      <w:pPr>
        <w:spacing w:before="0" w:after="120" w:line="283" w:lineRule="auto"/>
        <w:jc w:val="both"/>
      </w:pPr>
      <w:r>
        <w:rPr>
          <w:rFonts w:ascii="Times New Roman" w:hAnsi="Times New Roman" w:eastAsia="Times New Roman" w:cs="Times New Roman"/>
          <w:b w:val="0"/>
          <w:i w:val="0"/>
          <w:color w:val="26383D"/>
          <w:sz w:val="22"/>
        </w:rPr>
        <w:t>Gemäß dem gerichtlich bestätigten Entschädigungsrahmen und auf Grundlage der verifizierten Finanzunterlagen und Tatsachen dieser Angelegenheit wird der Gesamtbetrag der Rückgabe wie folgt berechnet:</w:t>
      </w:r>
    </w:p>
    <w:p w14:paraId="521AE5F8">
      <w:pPr>
        <w:keepNext/>
        <w:spacing w:before="140" w:after="80"/>
      </w:pPr>
      <w:r>
        <w:rPr>
          <w:rFonts w:ascii="Cambria" w:hAnsi="Cambria" w:eastAsia="Cambria" w:cs="Cambria"/>
          <w:b/>
          <w:i w:val="0"/>
          <w:color w:val="158C8A"/>
          <w:sz w:val="23"/>
        </w:rPr>
        <w:t>Rückgabe des Hauptbetrags</w:t>
      </w:r>
    </w:p>
    <w:p w14:paraId="7AC81460">
      <w:pPr>
        <w:spacing w:before="0" w:after="120" w:line="283" w:lineRule="auto"/>
        <w:jc w:val="both"/>
      </w:pPr>
      <w:r>
        <w:rPr>
          <w:rFonts w:ascii="Times New Roman" w:hAnsi="Times New Roman" w:eastAsia="Times New Roman" w:cs="Times New Roman"/>
          <w:b w:val="0"/>
          <w:i w:val="0"/>
          <w:color w:val="26383D"/>
          <w:sz w:val="22"/>
        </w:rPr>
        <w:t>Der verifizierte, durch Betrug verlorene Hauptbetrag beträgt €本金金额.</w:t>
      </w:r>
    </w:p>
    <w:p w14:paraId="127DA0A0">
      <w:pPr>
        <w:spacing w:before="0" w:after="120" w:line="283" w:lineRule="auto"/>
        <w:jc w:val="both"/>
      </w:pPr>
      <w:r>
        <w:rPr>
          <w:rFonts w:ascii="Times New Roman" w:hAnsi="Times New Roman" w:eastAsia="Times New Roman" w:cs="Times New Roman"/>
          <w:b w:val="0"/>
          <w:i w:val="0"/>
          <w:color w:val="26383D"/>
          <w:sz w:val="22"/>
        </w:rPr>
        <w:t>Gemäß dem gerichtlich genehmigten Entschädigungsrahmen werden 100 % des durch Betrug verlorenen Hauptbetrags zurückgegeben.</w:t>
      </w:r>
    </w:p>
    <w:p w14:paraId="39864ADF">
      <w:pPr>
        <w:spacing w:before="0" w:after="120" w:line="283" w:lineRule="auto"/>
        <w:jc w:val="both"/>
      </w:pPr>
      <w:r>
        <w:rPr>
          <w:rFonts w:ascii="Times New Roman" w:hAnsi="Times New Roman" w:eastAsia="Times New Roman" w:cs="Times New Roman"/>
          <w:b w:val="0"/>
          <w:i w:val="0"/>
          <w:color w:val="26383D"/>
          <w:sz w:val="22"/>
        </w:rPr>
        <w:t>Der rückgabefähige Hauptbetrag beträgt daher:</w:t>
      </w:r>
    </w:p>
    <w:p w14:paraId="306EAB7F">
      <w:pPr>
        <w:pBdr>
          <w:top w:val="single" w:color="158C8A" w:sz="6" w:space="4"/>
          <w:bottom w:val="single" w:color="158C8A" w:sz="6" w:space="4"/>
        </w:pBdr>
        <w:shd w:val="clear" w:fill="EAF7F6"/>
        <w:spacing w:before="80" w:after="140" w:line="252" w:lineRule="auto"/>
        <w:ind w:left="504" w:right="504"/>
        <w:jc w:val="center"/>
      </w:pPr>
      <w:r>
        <w:rPr>
          <w:rFonts w:ascii="Cambria" w:hAnsi="Cambria" w:eastAsia="Cambria" w:cs="Cambria"/>
          <w:b/>
          <w:i w:val="0"/>
          <w:color w:val="0B6F73"/>
          <w:sz w:val="23"/>
        </w:rPr>
        <w:t>€ 本金金额 × 100% = €本金金额</w:t>
      </w:r>
    </w:p>
    <w:p w14:paraId="5A1AC0EC">
      <w:pPr>
        <w:keepNext/>
        <w:spacing w:before="140" w:after="80"/>
      </w:pPr>
      <w:r>
        <w:rPr>
          <w:rFonts w:ascii="Cambria" w:hAnsi="Cambria" w:eastAsia="Cambria" w:cs="Cambria"/>
          <w:b/>
          <w:i w:val="0"/>
          <w:color w:val="158C8A"/>
          <w:sz w:val="23"/>
        </w:rPr>
        <w:t>USDT-Umrechnung und endgültiger Erstattungsbetrag</w:t>
      </w:r>
    </w:p>
    <w:p w14:paraId="42E14A5E">
      <w:pPr>
        <w:spacing w:before="0" w:after="120" w:line="283" w:lineRule="auto"/>
        <w:jc w:val="both"/>
      </w:pPr>
      <w:r>
        <w:rPr>
          <w:rFonts w:ascii="Times New Roman" w:hAnsi="Times New Roman" w:eastAsia="Times New Roman" w:cs="Times New Roman"/>
          <w:b w:val="0"/>
          <w:i w:val="0"/>
          <w:color w:val="26383D"/>
          <w:sz w:val="22"/>
        </w:rPr>
        <w:t>Da die in dieser Angelegenheit eingefrorenen Vermögenswerte auf USDT lauten und in USDT zurückzugeben sind, wird der oben genannte endgültige Rückgabebetrag zum am Auszahlungstag geltenden USDT-EUR-Wechselkurs in USDT umgerechnet. Auf Grundlage des bestätigten Wechselkurses von 1 USDT =</w:t>
      </w:r>
      <w:r>
        <w:rPr>
          <w:rFonts w:hint="eastAsia" w:eastAsia="宋体" w:cs="Times New Roman"/>
          <w:b w:val="0"/>
          <w:i w:val="0"/>
          <w:color w:val="26383D"/>
          <w:sz w:val="22"/>
          <w:lang w:val="en-US" w:eastAsia="zh-CN"/>
        </w:rPr>
        <w:t>汇率</w:t>
      </w:r>
      <w:r>
        <w:rPr>
          <w:rFonts w:ascii="Times New Roman" w:hAnsi="Times New Roman" w:eastAsia="Times New Roman" w:cs="Times New Roman"/>
          <w:b w:val="0"/>
          <w:i w:val="0"/>
          <w:color w:val="26383D"/>
          <w:sz w:val="22"/>
        </w:rPr>
        <w:t xml:space="preserve"> EUR wird der entsprechende Erstattungsbetrag in USDT wie folgt berechnet:</w:t>
      </w:r>
    </w:p>
    <w:p w14:paraId="163422F9">
      <w:pPr>
        <w:pBdr>
          <w:top w:val="single" w:color="158C8A" w:sz="6" w:space="4"/>
          <w:bottom w:val="single" w:color="158C8A" w:sz="6" w:space="4"/>
        </w:pBdr>
        <w:shd w:val="clear" w:fill="EAF7F6"/>
        <w:spacing w:before="80" w:after="140" w:line="252" w:lineRule="auto"/>
        <w:ind w:left="504" w:right="504"/>
        <w:jc w:val="center"/>
      </w:pPr>
      <w:r>
        <w:rPr>
          <w:rFonts w:ascii="Cambria" w:hAnsi="Cambria" w:eastAsia="Cambria" w:cs="Cambria"/>
          <w:b/>
          <w:i w:val="0"/>
          <w:color w:val="0B6F73"/>
          <w:sz w:val="23"/>
        </w:rPr>
        <w:t>€总返还金额 / 汇率 = 总退款金额USDT</w:t>
      </w:r>
    </w:p>
    <w:p w14:paraId="528242FA">
      <w:pPr>
        <w:spacing w:before="0" w:after="120" w:line="283" w:lineRule="auto"/>
        <w:jc w:val="both"/>
      </w:pPr>
      <w:r>
        <w:rPr>
          <w:rFonts w:ascii="Times New Roman" w:hAnsi="Times New Roman" w:eastAsia="Times New Roman" w:cs="Times New Roman"/>
          <w:b w:val="0"/>
          <w:i w:val="0"/>
          <w:color w:val="26383D"/>
          <w:sz w:val="22"/>
        </w:rPr>
        <w:t>Der endgültig in USDT zahlbare Erstattungsbetrag wird hiermit wie folgt bestätigt:</w:t>
      </w:r>
    </w:p>
    <w:p w14:paraId="713E6387">
      <w:pPr>
        <w:pBdr>
          <w:top w:val="single" w:color="158C8A" w:sz="6" w:space="4"/>
          <w:bottom w:val="single" w:color="158C8A" w:sz="6" w:space="4"/>
        </w:pBdr>
        <w:shd w:val="clear" w:fill="EAF7F6"/>
        <w:spacing w:before="80" w:after="140" w:line="252" w:lineRule="auto"/>
        <w:ind w:left="504" w:right="504"/>
        <w:jc w:val="center"/>
      </w:pPr>
      <w:r>
        <w:rPr>
          <w:rFonts w:ascii="Cambria" w:hAnsi="Cambria" w:eastAsia="Cambria" w:cs="Cambria"/>
          <w:b/>
          <w:i w:val="0"/>
          <w:color w:val="0B6F73"/>
          <w:sz w:val="23"/>
        </w:rPr>
        <w:t>Endgültiger Erstattungsbetrag in USDT: 总退款USDT</w:t>
      </w:r>
    </w:p>
    <w:p w14:paraId="4CBDAC66">
      <w:pPr>
        <w:keepNext/>
        <w:spacing w:before="180" w:after="100"/>
      </w:pPr>
      <w:r>
        <w:rPr>
          <w:rFonts w:ascii="Cambria" w:hAnsi="Cambria" w:eastAsia="Cambria" w:cs="Cambria"/>
          <w:b/>
          <w:i w:val="0"/>
          <w:color w:val="0B6F73"/>
          <w:sz w:val="25"/>
        </w:rPr>
        <w:t>2. Erfordernis einer neuen Wallet</w:t>
      </w:r>
    </w:p>
    <w:p w14:paraId="17269CCB">
      <w:pPr>
        <w:spacing w:before="0" w:after="120" w:line="283" w:lineRule="auto"/>
        <w:jc w:val="both"/>
      </w:pPr>
      <w:r>
        <w:rPr>
          <w:rFonts w:ascii="Times New Roman" w:hAnsi="Times New Roman" w:eastAsia="Times New Roman" w:cs="Times New Roman"/>
          <w:b w:val="0"/>
          <w:i w:val="0"/>
          <w:color w:val="26383D"/>
          <w:sz w:val="22"/>
        </w:rPr>
        <w:t>Zur Verringerung des Risikos eines Zugriffs durch Unbefugte und zur Vermeidung der Wiederverwendung einer möglicherweise kompromittierten Adresse muss der Geschädigte ausschließlich im Ethereum-Netzwerk eine neue Onchain-Wallet erstellen, die ERC-20-USDT empfangen kann. Diese Wallet darf zuvor keine Transaktion mit einer Adresse durchgeführt haben, die mit dieser Angelegenheit verbunden ist.</w:t>
      </w:r>
    </w:p>
    <w:p w14:paraId="7563594F">
      <w:pPr>
        <w:keepNext/>
        <w:spacing w:before="180" w:after="100"/>
      </w:pPr>
      <w:r>
        <w:rPr>
          <w:rFonts w:ascii="Cambria" w:hAnsi="Cambria" w:eastAsia="Cambria" w:cs="Cambria"/>
          <w:b/>
          <w:i w:val="0"/>
          <w:color w:val="0B6F73"/>
          <w:sz w:val="25"/>
        </w:rPr>
        <w:t>3. Verifizierung über das Tether-Anspruchsportal</w:t>
      </w:r>
    </w:p>
    <w:p w14:paraId="583ADC46">
      <w:pPr>
        <w:spacing w:before="0" w:after="120" w:line="283" w:lineRule="auto"/>
        <w:jc w:val="both"/>
      </w:pPr>
      <w:r>
        <w:rPr>
          <w:rFonts w:ascii="Times New Roman" w:hAnsi="Times New Roman" w:eastAsia="Times New Roman" w:cs="Times New Roman"/>
          <w:b w:val="0"/>
          <w:i w:val="0"/>
          <w:color w:val="26383D"/>
          <w:sz w:val="22"/>
        </w:rPr>
        <w:t>Der Geschädigte muss vom zuständigen Tether-Ansprechpartner einen eindeutigen Zugangslink für Ansprüche erhalten und darüber das offizielle Tether-Anspruchsportal aufrufen.</w:t>
      </w:r>
    </w:p>
    <w:p w14:paraId="0C9115BE">
      <w:pPr>
        <w:spacing w:before="0" w:after="120" w:line="283" w:lineRule="auto"/>
        <w:jc w:val="both"/>
      </w:pPr>
      <w:r>
        <w:rPr>
          <w:rFonts w:ascii="Times New Roman" w:hAnsi="Times New Roman" w:eastAsia="Times New Roman" w:cs="Times New Roman"/>
          <w:b w:val="0"/>
          <w:i w:val="0"/>
          <w:color w:val="26383D"/>
          <w:sz w:val="22"/>
        </w:rPr>
        <w:t>Folgende Angaben sind über das Portal einzureichen:</w:t>
      </w:r>
    </w:p>
    <w:p w14:paraId="2AC586C5">
      <w:pPr>
        <w:keepNext/>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Name</w:t>
      </w:r>
    </w:p>
    <w:p w14:paraId="0C14342C">
      <w:pPr>
        <w:keepNext/>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Telefon</w:t>
      </w:r>
    </w:p>
    <w:p w14:paraId="2B382C0C">
      <w:pPr>
        <w:keepNext/>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E-Mail</w:t>
      </w:r>
    </w:p>
    <w:p w14:paraId="1052324B">
      <w:pPr>
        <w:keepNext/>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Aktenzeichen</w:t>
      </w:r>
    </w:p>
    <w:p w14:paraId="53FD4FBB">
      <w:pPr>
        <w:keepNext w:val="0"/>
        <w:pBdr>
          <w:left w:val="single" w:color="B8E5E2" w:sz="4" w:space="3"/>
        </w:pBdr>
        <w:shd w:val="clear" w:fill="F4FBFA"/>
        <w:spacing w:after="40" w:line="259" w:lineRule="auto"/>
        <w:ind w:left="259" w:right="259"/>
      </w:pPr>
      <w:r>
        <w:rPr>
          <w:rFonts w:ascii="Times New Roman" w:hAnsi="Times New Roman" w:eastAsia="Times New Roman" w:cs="Times New Roman"/>
          <w:b w:val="0"/>
          <w:i w:val="0"/>
          <w:color w:val="26383D"/>
          <w:sz w:val="22"/>
        </w:rPr>
        <w:t>Erstattungsbetrag</w:t>
      </w:r>
    </w:p>
    <w:p w14:paraId="1DB892DC">
      <w:pPr>
        <w:keepNext/>
        <w:spacing w:before="180" w:after="100"/>
      </w:pPr>
      <w:r>
        <w:rPr>
          <w:rFonts w:ascii="Cambria" w:hAnsi="Cambria" w:eastAsia="Cambria" w:cs="Cambria"/>
          <w:b/>
          <w:i w:val="0"/>
          <w:color w:val="0B6F73"/>
          <w:sz w:val="25"/>
        </w:rPr>
        <w:t>4. Wallet-Verbindung und Aktivierung des gesonderten Anspruchskanals</w:t>
      </w:r>
    </w:p>
    <w:p w14:paraId="179B34D8">
      <w:pPr>
        <w:spacing w:before="0" w:after="120" w:line="283" w:lineRule="auto"/>
        <w:jc w:val="both"/>
      </w:pPr>
      <w:r>
        <w:rPr>
          <w:rFonts w:ascii="Times New Roman" w:hAnsi="Times New Roman" w:eastAsia="Times New Roman" w:cs="Times New Roman"/>
          <w:b w:val="0"/>
          <w:i w:val="0"/>
          <w:color w:val="26383D"/>
          <w:sz w:val="22"/>
        </w:rPr>
        <w:t>Nach Einreichung der erforderlichen Identitätsangaben muss der Geschädigte den Anweisungen im Portal folgen, die vorgesehene Onchain-Wallet verbinden und den Rückgabekanal aktivieren. Zudem muss er gemäß den Anweisungen des Tether-Ansprechpartners den von Tether bestimmten Ethereum-Netzwerkknoten hinzufügen, damit die Wallet korrekt für den Empfang von USDT über den gesonderten Anspruchskanal eingerichtet ist.</w:t>
      </w:r>
    </w:p>
    <w:p w14:paraId="106D04E0">
      <w:pPr>
        <w:spacing w:before="0" w:after="120" w:line="283" w:lineRule="auto"/>
        <w:jc w:val="both"/>
      </w:pPr>
      <w:r>
        <w:rPr>
          <w:rFonts w:ascii="Times New Roman" w:hAnsi="Times New Roman" w:eastAsia="Times New Roman" w:cs="Times New Roman"/>
          <w:b w:val="0"/>
          <w:i w:val="0"/>
          <w:color w:val="26383D"/>
          <w:sz w:val="22"/>
        </w:rPr>
        <w:t>Nach erfolgreichem Abschluss dieser Schritte wird der gesonderte Rückgabekanal für die angegebene Wallet-Adresse automatisch aktiviert.</w:t>
      </w:r>
    </w:p>
    <w:p w14:paraId="23BAE39A">
      <w:pPr>
        <w:keepNext/>
        <w:spacing w:before="180" w:after="100"/>
      </w:pPr>
      <w:r>
        <w:rPr>
          <w:rFonts w:ascii="Cambria" w:hAnsi="Cambria" w:eastAsia="Cambria" w:cs="Cambria"/>
          <w:b/>
          <w:i w:val="0"/>
          <w:color w:val="0B6F73"/>
          <w:sz w:val="25"/>
        </w:rPr>
        <w:t>5. Automatische Übertragung der zurückgegebenen Vermögenswerte</w:t>
      </w:r>
    </w:p>
    <w:p w14:paraId="3B60545F">
      <w:pPr>
        <w:spacing w:before="0" w:after="120" w:line="283" w:lineRule="auto"/>
        <w:jc w:val="both"/>
      </w:pPr>
      <w:r>
        <w:rPr>
          <w:rFonts w:ascii="Times New Roman" w:hAnsi="Times New Roman" w:eastAsia="Times New Roman" w:cs="Times New Roman"/>
          <w:b w:val="0"/>
          <w:i w:val="0"/>
          <w:color w:val="26383D"/>
          <w:sz w:val="22"/>
        </w:rPr>
        <w:t>Nach Erfüllung der vorstehenden Anforderungen überträgt Tether innerhalb von vierundzwanzig (24) Stunden den genehmigten USDT-Betrag über einen Smart-Contract-basierten Verteilungsprozess an die vom Geschädigten angegebene Onchain-Wallet.</w:t>
      </w:r>
    </w:p>
    <w:p w14:paraId="2331856F">
      <w:pPr>
        <w:keepNext/>
        <w:pageBreakBefore w:val="0"/>
        <w:pBdr>
          <w:bottom w:val="single" w:color="158C8A" w:sz="6" w:space="4"/>
        </w:pBdr>
        <w:spacing w:before="240" w:after="140"/>
      </w:pPr>
      <w:r>
        <w:rPr>
          <w:rFonts w:ascii="Cambria" w:hAnsi="Cambria" w:eastAsia="Cambria" w:cs="Cambria"/>
          <w:b/>
          <w:i w:val="0"/>
          <w:color w:val="0B6F73"/>
          <w:sz w:val="31"/>
        </w:rPr>
        <w:t>III. Wichtiger rechtlicher Hinweis</w:t>
      </w:r>
    </w:p>
    <w:p w14:paraId="15D3F0C5">
      <w:pPr>
        <w:spacing w:before="0" w:after="120" w:line="283" w:lineRule="auto"/>
        <w:jc w:val="both"/>
      </w:pPr>
      <w:r>
        <w:rPr>
          <w:rFonts w:ascii="Times New Roman" w:hAnsi="Times New Roman" w:eastAsia="Times New Roman" w:cs="Times New Roman"/>
          <w:b w:val="0"/>
          <w:i w:val="0"/>
          <w:color w:val="26383D"/>
          <w:sz w:val="22"/>
        </w:rPr>
        <w:t>Zur Gewährleistung der Rechtmäßigkeit, Transparenz und Endgültigkeit dieses Vermögensrückgabeverfahrens erteilt Tether folgenden Hinweis:</w:t>
      </w:r>
    </w:p>
    <w:p w14:paraId="5B771FED">
      <w:pPr>
        <w:keepNext/>
        <w:spacing w:before="180" w:after="100"/>
      </w:pPr>
      <w:r>
        <w:rPr>
          <w:rFonts w:ascii="Cambria" w:hAnsi="Cambria" w:eastAsia="Cambria" w:cs="Cambria"/>
          <w:b/>
          <w:i w:val="0"/>
          <w:color w:val="0B6F73"/>
          <w:sz w:val="25"/>
        </w:rPr>
        <w:t>1. Gerichtliche Grundlage und Compliance-Basis</w:t>
      </w:r>
    </w:p>
    <w:p w14:paraId="06EBB76E">
      <w:pPr>
        <w:spacing w:before="0" w:after="120" w:line="283" w:lineRule="auto"/>
        <w:jc w:val="both"/>
      </w:pPr>
      <w:r>
        <w:rPr>
          <w:rFonts w:ascii="Times New Roman" w:hAnsi="Times New Roman" w:eastAsia="Times New Roman" w:cs="Times New Roman"/>
          <w:b w:val="0"/>
          <w:i w:val="0"/>
          <w:color w:val="26383D"/>
          <w:sz w:val="22"/>
        </w:rPr>
        <w:t>Dieses Sperr- und Rückgabeverfahren erfolgt aufgrund verbindlicher Anordnungen des Landgerichts Berlin II und gemäß den anwendbaren deutschen Gesetzen und Vorschriften. Als regelkonformer Stablecoin-Emittent beachtet und vollzieht Tether rechtmäßige Gerichtsanordnungen und arbeitet weiterhin weltweit mit Strafverfolgungsbehörden zusammen, um rechtswidrige Handlungen mit digitalen Vermögenswerten zu bekämpfen.</w:t>
      </w:r>
    </w:p>
    <w:p w14:paraId="04EE345D">
      <w:pPr>
        <w:keepNext/>
        <w:spacing w:before="180" w:after="100"/>
      </w:pPr>
      <w:r>
        <w:rPr>
          <w:rFonts w:ascii="Cambria" w:hAnsi="Cambria" w:eastAsia="Cambria" w:cs="Cambria"/>
          <w:b/>
          <w:i w:val="0"/>
          <w:color w:val="0B6F73"/>
          <w:sz w:val="25"/>
        </w:rPr>
        <w:t>2. Endgültige Feststellung des Eigentums</w:t>
      </w:r>
    </w:p>
    <w:p w14:paraId="78ADCFDF">
      <w:pPr>
        <w:spacing w:before="0" w:after="120" w:line="283" w:lineRule="auto"/>
        <w:jc w:val="both"/>
      </w:pPr>
      <w:r>
        <w:rPr>
          <w:rFonts w:ascii="Times New Roman" w:hAnsi="Times New Roman" w:eastAsia="Times New Roman" w:cs="Times New Roman"/>
          <w:b w:val="0"/>
          <w:i w:val="0"/>
          <w:color w:val="26383D"/>
          <w:sz w:val="22"/>
        </w:rPr>
        <w:t>Tether hat die von Whitfield &amp; Crane PartG mbB durch Rechtsanwalt Maximilian Weber eingereichten Beweismittel erhalten und geprüft, darunter die Identitätsunterlagen des Geschädigten, die Transaktionshistorie, Nachweise zum betrügerischen Vorgehen sowie die gerichtlichen Feststellungen zum Eigentum an den eingefrorenen Vermögenswerten.</w:t>
      </w:r>
    </w:p>
    <w:p w14:paraId="27A13E2C">
      <w:pPr>
        <w:spacing w:before="0" w:after="120" w:line="283" w:lineRule="auto"/>
        <w:jc w:val="both"/>
      </w:pPr>
      <w:r>
        <w:rPr>
          <w:rFonts w:ascii="Times New Roman" w:hAnsi="Times New Roman" w:eastAsia="Times New Roman" w:cs="Times New Roman"/>
          <w:b w:val="0"/>
          <w:i w:val="0"/>
          <w:color w:val="26383D"/>
          <w:sz w:val="22"/>
        </w:rPr>
        <w:t>Nach einer unabhängigen Compliance-Prüfung hat Tether festgestellt, dass der bezeichnete Rückgabeempfänger der rechtmäßige Anspruchsberechtigte der von diesem Verfahren erfassten Vermögenswerte ist. Dritte, die einen konkurrierenden Anspruch geltend machen, müssen Rechtsschutz bei einem zuständigen Gericht suchen. Tether behält sich ausdrücklich alle Rechte vor, Maßnahmen zu ergreifen, die aufgrund einer späteren gerichtlichen Anordnung oder rechtmäßigen Weisung erforderlich werden.</w:t>
      </w:r>
    </w:p>
    <w:p w14:paraId="148D9F51">
      <w:pPr>
        <w:keepNext/>
        <w:spacing w:before="180" w:after="100"/>
      </w:pPr>
      <w:r>
        <w:rPr>
          <w:rFonts w:ascii="Cambria" w:hAnsi="Cambria" w:eastAsia="Cambria" w:cs="Cambria"/>
          <w:b/>
          <w:i w:val="0"/>
          <w:color w:val="0B6F73"/>
          <w:sz w:val="25"/>
        </w:rPr>
        <w:t>3. Ausschließliches Anspruchsverfahren und Betrugswarnung</w:t>
      </w:r>
    </w:p>
    <w:p w14:paraId="0D158E4A">
      <w:pPr>
        <w:spacing w:before="0" w:after="120" w:line="283" w:lineRule="auto"/>
        <w:jc w:val="both"/>
      </w:pPr>
      <w:r>
        <w:rPr>
          <w:rFonts w:ascii="Times New Roman" w:hAnsi="Times New Roman" w:eastAsia="Times New Roman" w:cs="Times New Roman"/>
          <w:b w:val="0"/>
          <w:i w:val="0"/>
          <w:color w:val="26383D"/>
          <w:sz w:val="22"/>
        </w:rPr>
        <w:t>Dieses Rückgabeverfahren darf ausschließlich über das offizielle Tether-Anspruchsportal durchgeführt werden. Tether wird niemals die Offenlegung eines privaten Schlüssels, einer Seed-Phrase oder von Wallet-Zugangsdaten verlangen und auch keine Zahlung über inoffizielle oder private Kommunikationskanäle wie soziale Medien, private Messaging-Apps oder direkte E-Mail-Absprachen fordern.</w:t>
      </w:r>
    </w:p>
    <w:p w14:paraId="70242809">
      <w:pPr>
        <w:spacing w:before="0" w:after="120" w:line="283" w:lineRule="auto"/>
        <w:jc w:val="both"/>
      </w:pPr>
      <w:r>
        <w:rPr>
          <w:rFonts w:ascii="Times New Roman" w:hAnsi="Times New Roman" w:eastAsia="Times New Roman" w:cs="Times New Roman"/>
          <w:b w:val="0"/>
          <w:i w:val="0"/>
          <w:color w:val="26383D"/>
          <w:sz w:val="22"/>
        </w:rPr>
        <w:t>Anspruchsteller werden zu besonderer Vorsicht gegenüber Identitätsvortäuschung, Folgebetrug oder unbefugten Mitteilungen angehalten, die angeblich von Tether oder einer Strafverfolgungsbehörde stammen. Tether haftet nicht für Verluste, die aus der Nichtbeachtung der vorgeschriebenen Anweisungen entstehen, einschließlich der Nutzung einer zuvor kompromittierten Wallet, der Offenlegung privater Zugangsdaten oder einer fehlerhaften Wallet- bzw. Knotenkonfiguration.</w:t>
      </w:r>
    </w:p>
    <w:p w14:paraId="1B50BF9C">
      <w:pPr>
        <w:keepNext/>
        <w:spacing w:before="180" w:after="100"/>
      </w:pPr>
      <w:r>
        <w:rPr>
          <w:rFonts w:ascii="Cambria" w:hAnsi="Cambria" w:eastAsia="Cambria" w:cs="Cambria"/>
          <w:b/>
          <w:i w:val="0"/>
          <w:color w:val="0B6F73"/>
          <w:sz w:val="25"/>
        </w:rPr>
        <w:t>4. Datenschutz und Vertraulichkeit</w:t>
      </w:r>
    </w:p>
    <w:p w14:paraId="63E8D875">
      <w:pPr>
        <w:spacing w:before="0" w:after="120" w:line="283" w:lineRule="auto"/>
        <w:jc w:val="both"/>
      </w:pPr>
      <w:r>
        <w:rPr>
          <w:rFonts w:ascii="Times New Roman" w:hAnsi="Times New Roman" w:eastAsia="Times New Roman" w:cs="Times New Roman"/>
          <w:b w:val="0"/>
          <w:i w:val="0"/>
          <w:color w:val="26383D"/>
          <w:sz w:val="22"/>
        </w:rPr>
        <w:t>Tether verarbeitet über das Anspruchsportal eingereichte personenbezogene Daten ausschließlich zur Durchführung dieses Vermögensrückgabeverfahrens. Die Verarbeitung erfolgt nach den anwendbaren Datenschutzgesetzen, gegebenenfalls einschließlich der Datenschutz-Grundverordnung (DSGVO); eine Nutzung für sachfremde kommerzielle Zwecke erfolgt nicht.</w:t>
      </w:r>
    </w:p>
    <w:p w14:paraId="772EDB6F">
      <w:pPr>
        <w:keepNext/>
        <w:spacing w:before="180" w:after="100"/>
      </w:pPr>
      <w:r>
        <w:rPr>
          <w:rFonts w:ascii="Cambria" w:hAnsi="Cambria" w:eastAsia="Cambria" w:cs="Cambria"/>
          <w:b/>
          <w:i w:val="0"/>
          <w:color w:val="0B6F73"/>
          <w:sz w:val="25"/>
        </w:rPr>
        <w:t>5. Endgültigkeit der Rückgabe</w:t>
      </w:r>
    </w:p>
    <w:p w14:paraId="2D176794">
      <w:pPr>
        <w:spacing w:before="0" w:after="120" w:line="283" w:lineRule="auto"/>
        <w:jc w:val="both"/>
      </w:pPr>
      <w:r>
        <w:rPr>
          <w:rFonts w:ascii="Times New Roman" w:hAnsi="Times New Roman" w:eastAsia="Times New Roman" w:cs="Times New Roman"/>
          <w:b w:val="0"/>
          <w:i w:val="0"/>
          <w:color w:val="26383D"/>
          <w:sz w:val="22"/>
        </w:rPr>
        <w:t>Mit Abschluss des Rückgabeverfahrens gelten etwaige Verpflichtungen von Tether hinsichtlich Ausgabe, Kontrolle und Verwaltung der betreffenden eingefrorenen USDT als vollständig erfüllt. Nach Bestätigung der maßgeblichen On-Chain-Übertragung gilt die Rückgabe als endgültig und abgeschlossen; weitere Ansprüche des Anspruchstellers gegen Tether in Bezug auf die zurückgegebenen Vermögenswerte bestehen nicht, soweit nicht anwendbares Recht oder eine weitere gerichtliche Anordnung etwas anderes verlangt.</w:t>
      </w:r>
    </w:p>
    <w:p w14:paraId="63B6EA2D">
      <w:pPr>
        <w:keepNext/>
        <w:spacing w:before="180" w:after="100"/>
      </w:pPr>
      <w:r>
        <w:rPr>
          <w:rFonts w:ascii="Cambria" w:hAnsi="Cambria" w:eastAsia="Cambria" w:cs="Cambria"/>
          <w:b/>
          <w:i w:val="0"/>
          <w:color w:val="0B6F73"/>
          <w:sz w:val="25"/>
        </w:rPr>
        <w:t>6. Anwendbares Recht und ausschließliche Zuständigkeit</w:t>
      </w:r>
    </w:p>
    <w:p w14:paraId="4DE0FC1A">
      <w:pPr>
        <w:spacing w:before="0" w:after="120" w:line="283" w:lineRule="auto"/>
        <w:jc w:val="both"/>
      </w:pPr>
      <w:r>
        <w:rPr>
          <w:rFonts w:ascii="Times New Roman" w:hAnsi="Times New Roman" w:eastAsia="Times New Roman" w:cs="Times New Roman"/>
          <w:b w:val="0"/>
          <w:i w:val="0"/>
          <w:color w:val="26383D"/>
          <w:sz w:val="22"/>
        </w:rPr>
        <w:t>Für diese Mitteilung und das hierin beschriebene Vermögensrückgabeverfahren gelten deutsches Recht und die Zuständigkeit des Landgerichts Berlin II. Streitigkeiten aus oder im Zusammenhang mit dieser Mitteilung oder dem Rückgabeverfahren sind ausschließlich diesem Gericht zur Entscheidung vorzulegen.</w:t>
      </w:r>
    </w:p>
    <w:p w14:paraId="57D1AD4B">
      <w:pPr>
        <w:keepNext/>
        <w:pageBreakBefore w:val="0"/>
        <w:pBdr>
          <w:bottom w:val="single" w:color="158C8A" w:sz="6" w:space="4"/>
        </w:pBdr>
        <w:spacing w:before="240" w:after="140"/>
      </w:pPr>
      <w:r>
        <w:rPr>
          <w:rFonts w:ascii="Cambria" w:hAnsi="Cambria" w:eastAsia="Cambria" w:cs="Cambria"/>
          <w:b/>
          <w:i w:val="0"/>
          <w:color w:val="0B6F73"/>
          <w:sz w:val="31"/>
        </w:rPr>
        <w:t>IV. Nächste Schritte</w:t>
      </w:r>
    </w:p>
    <w:p w14:paraId="5D27C066">
      <w:pPr>
        <w:spacing w:before="0" w:after="120" w:line="283" w:lineRule="auto"/>
        <w:jc w:val="both"/>
      </w:pPr>
      <w:r>
        <w:rPr>
          <w:rFonts w:ascii="Times New Roman" w:hAnsi="Times New Roman" w:eastAsia="Times New Roman" w:cs="Times New Roman"/>
          <w:b w:val="0"/>
          <w:i w:val="0"/>
          <w:color w:val="26383D"/>
          <w:sz w:val="22"/>
        </w:rPr>
        <w:t>Der Geschädigte muss die erforderliche Verifizierung im Anspruchsportal und die Wallet-Verknüpfung abschließen, bevor das Rückgabeverfahren fortgesetzt werden kann. Verzögerungen bei der Erfüllung dieser Anforderungen können zu einer entsprechenden Verzögerung der Rückgabe führen.</w:t>
      </w:r>
    </w:p>
    <w:p w14:paraId="6D321302">
      <w:pPr>
        <w:spacing w:before="0" w:after="120" w:line="283" w:lineRule="auto"/>
        <w:jc w:val="both"/>
      </w:pPr>
      <w:r>
        <w:rPr>
          <w:rFonts w:ascii="Times New Roman" w:hAnsi="Times New Roman" w:eastAsia="Times New Roman" w:cs="Times New Roman"/>
          <w:b w:val="0"/>
          <w:i w:val="0"/>
          <w:color w:val="26383D"/>
          <w:sz w:val="22"/>
        </w:rPr>
        <w:t>Nach Abschluss des Rückgabeverfahrens wird Tether dem Landgericht Berlin II einen Statusbericht über die Durchführung der Rückgabe vorlegen und Whitfield &amp; Crane PartG mbB eine Kopie dieses Berichts übermitteln.</w:t>
      </w:r>
    </w:p>
    <w:p w14:paraId="67C1C69D">
      <w:pPr>
        <w:spacing w:before="0" w:after="120" w:line="283" w:lineRule="auto"/>
        <w:jc w:val="both"/>
      </w:pPr>
      <w:r>
        <w:rPr>
          <w:rFonts w:ascii="Times New Roman" w:hAnsi="Times New Roman" w:eastAsia="Times New Roman" w:cs="Times New Roman"/>
          <w:b w:val="0"/>
          <w:i w:val="0"/>
          <w:color w:val="26383D"/>
          <w:sz w:val="22"/>
        </w:rPr>
        <w:t>Bei technischen Problemen muss der Geschädigte über einen Rechtsbeistand oder einen anderen bevollmächtigten Rechtsvertreter mit der Compliance-Abteilung von Tether kommunizieren. Direkte individuelle Anfragen an den technischen Support werden außerhalb des offiziellen Verfahrens nicht angenommen.</w:t>
      </w:r>
    </w:p>
    <w:p w14:paraId="703113A9">
      <w:pPr>
        <w:keepNext/>
        <w:pageBreakBefore w:val="0"/>
        <w:pBdr>
          <w:bottom w:val="single" w:color="158C8A" w:sz="6" w:space="4"/>
        </w:pBdr>
        <w:spacing w:before="240" w:after="140"/>
      </w:pPr>
      <w:r>
        <w:rPr>
          <w:rFonts w:ascii="Cambria" w:hAnsi="Cambria" w:eastAsia="Cambria" w:cs="Cambria"/>
          <w:b/>
          <w:i w:val="0"/>
          <w:color w:val="0B6F73"/>
          <w:sz w:val="31"/>
        </w:rPr>
        <w:t>V. KONTAKT- &amp; ENTSCHEIDUNGSINFORMATIONEN</w:t>
      </w:r>
    </w:p>
    <w:p w14:paraId="63E4AC1E">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Federführender Rechtsbeistand:</w:t>
      </w:r>
      <w:r>
        <w:rPr>
          <w:rFonts w:ascii="Times New Roman" w:hAnsi="Times New Roman" w:eastAsia="Times New Roman" w:cs="Times New Roman"/>
          <w:b w:val="0"/>
          <w:i w:val="0"/>
          <w:color w:val="26383D"/>
          <w:sz w:val="21"/>
        </w:rPr>
        <w:t xml:space="preserve"> </w:t>
      </w:r>
      <w:r>
        <w:rPr>
          <w:rFonts w:hint="eastAsia" w:eastAsia="宋体" w:cs="Times New Roman"/>
          <w:b w:val="0"/>
          <w:i w:val="0"/>
          <w:color w:val="26383D"/>
          <w:sz w:val="21"/>
          <w:lang w:val="en-US" w:eastAsia="zh-CN"/>
        </w:rPr>
        <w:t>Maximilian Weber</w:t>
      </w:r>
      <w:r>
        <w:rPr>
          <w:rFonts w:ascii="Times New Roman" w:hAnsi="Times New Roman" w:eastAsia="Times New Roman" w:cs="Times New Roman"/>
          <w:b w:val="0"/>
          <w:i w:val="0"/>
          <w:color w:val="26383D"/>
          <w:sz w:val="21"/>
        </w:rPr>
        <w:t>, Rechtsanwalt</w:t>
      </w:r>
    </w:p>
    <w:p w14:paraId="0771A3F5">
      <w:pPr>
        <w:pBdr>
          <w:left w:val="single" w:color="B8E5E2" w:sz="4" w:space="3"/>
        </w:pBdr>
        <w:shd w:val="clear" w:fill="F4FBFA"/>
        <w:spacing w:before="20" w:after="60" w:line="264" w:lineRule="auto"/>
        <w:ind w:left="115" w:right="115"/>
        <w:rPr>
          <w:rFonts w:hint="eastAsia" w:eastAsia="宋体"/>
          <w:lang w:eastAsia="zh-CN"/>
        </w:rPr>
      </w:pPr>
      <w:r>
        <w:rPr>
          <w:rFonts w:ascii="Times New Roman" w:hAnsi="Times New Roman" w:eastAsia="Times New Roman" w:cs="Times New Roman"/>
          <w:b/>
          <w:i w:val="0"/>
          <w:color w:val="0B6F73"/>
          <w:sz w:val="21"/>
        </w:rPr>
        <w:t>Kanzlei:</w:t>
      </w:r>
      <w:r>
        <w:rPr>
          <w:rFonts w:ascii="Times New Roman" w:hAnsi="Times New Roman" w:eastAsia="Times New Roman" w:cs="Times New Roman"/>
          <w:b w:val="0"/>
          <w:i w:val="0"/>
          <w:color w:val="26383D"/>
          <w:sz w:val="21"/>
        </w:rPr>
        <w:t xml:space="preserve"> </w:t>
      </w:r>
      <w:r>
        <w:rPr>
          <w:rFonts w:hint="eastAsia" w:eastAsia="宋体" w:cs="Times New Roman"/>
          <w:b w:val="0"/>
          <w:i w:val="0"/>
          <w:color w:val="26383D"/>
          <w:sz w:val="21"/>
          <w:lang w:val="en-US" w:eastAsia="zh-CN"/>
        </w:rPr>
        <w:t>Whitfield &amp; Crane PartG mbB</w:t>
      </w:r>
    </w:p>
    <w:p w14:paraId="76A0AACD">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Offizielle Tether-Ansprechstelle für Compliance:</w:t>
      </w:r>
      <w:r>
        <w:rPr>
          <w:rFonts w:ascii="Times New Roman" w:hAnsi="Times New Roman" w:eastAsia="Times New Roman" w:cs="Times New Roman"/>
          <w:b w:val="0"/>
          <w:i w:val="0"/>
          <w:color w:val="26383D"/>
          <w:sz w:val="21"/>
        </w:rPr>
        <w:t xml:space="preserve"> </w:t>
      </w:r>
      <w:r>
        <w:rPr>
          <w:rFonts w:hint="eastAsia" w:ascii="Times New Roman" w:hAnsi="Times New Roman" w:eastAsia="Times New Roman" w:cs="Times New Roman"/>
          <w:b w:val="0"/>
          <w:i w:val="0"/>
          <w:color w:val="26383D"/>
          <w:sz w:val="21"/>
        </w:rPr>
        <w:t>legal@tether.to</w:t>
      </w:r>
    </w:p>
    <w:p w14:paraId="0FF8ECCE">
      <w:pPr>
        <w:spacing w:before="0" w:after="120" w:line="283" w:lineRule="auto"/>
        <w:jc w:val="both"/>
      </w:pPr>
      <w:r>
        <w:rPr>
          <w:rFonts w:ascii="Times New Roman" w:hAnsi="Times New Roman" w:eastAsia="Times New Roman" w:cs="Times New Roman"/>
          <w:b w:val="0"/>
          <w:i/>
          <w:color w:val="26383D"/>
          <w:sz w:val="22"/>
        </w:rPr>
        <w:t>(Ausschließlich für formelle Anfragen aufgrund gerichtlicher Anordnung)</w:t>
      </w:r>
    </w:p>
    <w:p w14:paraId="74564BC0">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Aktenzeichen:</w:t>
      </w:r>
      <w:r>
        <w:rPr>
          <w:rFonts w:ascii="Times New Roman" w:hAnsi="Times New Roman" w:eastAsia="Times New Roman" w:cs="Times New Roman"/>
          <w:b w:val="0"/>
          <w:i w:val="0"/>
          <w:color w:val="26383D"/>
          <w:sz w:val="21"/>
        </w:rPr>
        <w:t xml:space="preserve"> </w:t>
      </w:r>
      <w:r>
        <w:rPr>
          <w:rFonts w:hint="eastAsia" w:eastAsia="宋体" w:cs="Times New Roman"/>
          <w:b w:val="0"/>
          <w:i w:val="0"/>
          <w:color w:val="26383D"/>
          <w:sz w:val="21"/>
          <w:lang w:val="en-US" w:eastAsia="zh-CN"/>
        </w:rPr>
        <w:t>WC-</w:t>
      </w:r>
      <w:r>
        <w:rPr>
          <w:rFonts w:ascii="Times New Roman" w:hAnsi="Times New Roman" w:eastAsia="Times New Roman" w:cs="Times New Roman"/>
          <w:b w:val="0"/>
          <w:i w:val="0"/>
          <w:color w:val="26383D"/>
          <w:sz w:val="21"/>
        </w:rPr>
        <w:t>CRYPTO-1068-0177</w:t>
      </w:r>
    </w:p>
    <w:p w14:paraId="6ACDDF27">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Zuständiges Gericht:</w:t>
      </w:r>
      <w:r>
        <w:rPr>
          <w:rFonts w:ascii="Times New Roman" w:hAnsi="Times New Roman" w:eastAsia="Times New Roman" w:cs="Times New Roman"/>
          <w:b w:val="0"/>
          <w:i w:val="0"/>
          <w:color w:val="26383D"/>
          <w:sz w:val="21"/>
        </w:rPr>
        <w:t xml:space="preserve"> Landgericht Berlin II, Berlin, Deutschland</w:t>
      </w:r>
    </w:p>
    <w:p w14:paraId="258777B9">
      <w:pPr>
        <w:keepNext/>
        <w:pageBreakBefore w:val="0"/>
        <w:pBdr>
          <w:bottom w:val="single" w:color="158C8A" w:sz="6" w:space="4"/>
        </w:pBdr>
        <w:spacing w:before="240" w:after="140"/>
      </w:pPr>
      <w:r>
        <w:rPr>
          <w:rFonts w:ascii="Cambria" w:hAnsi="Cambria" w:eastAsia="Cambria" w:cs="Cambria"/>
          <w:b/>
          <w:i w:val="0"/>
          <w:color w:val="0B6F73"/>
          <w:sz w:val="31"/>
        </w:rPr>
        <w:t>HAFTUNGSAUSSCHLUSS &amp; RECHTLICHE BESTIMMUNGEN</w:t>
      </w:r>
    </w:p>
    <w:p w14:paraId="7DED8660">
      <w:pPr>
        <w:spacing w:before="0" w:after="120" w:line="283" w:lineRule="auto"/>
        <w:jc w:val="both"/>
      </w:pPr>
      <w:r>
        <w:rPr>
          <w:rFonts w:ascii="Times New Roman" w:hAnsi="Times New Roman" w:eastAsia="Times New Roman" w:cs="Times New Roman"/>
          <w:b w:val="0"/>
          <w:i w:val="0"/>
          <w:color w:val="26383D"/>
          <w:sz w:val="22"/>
        </w:rPr>
        <w:t>Diese Mitteilung wird ausschließlich zu Informations- und Offenlegungszwecken in unmittelbarer Übereinstimmung mit dem vom Landgericht Berlin II angeordneten Vermögensrückgabeverfahren herausgegeben.</w:t>
      </w:r>
    </w:p>
    <w:p w14:paraId="3595D9DF">
      <w:pPr>
        <w:keepNext/>
        <w:spacing w:before="180" w:after="100"/>
      </w:pPr>
      <w:r>
        <w:rPr>
          <w:rFonts w:ascii="Cambria" w:hAnsi="Cambria" w:eastAsia="Cambria" w:cs="Cambria"/>
          <w:b/>
          <w:i w:val="0"/>
          <w:color w:val="0B6F73"/>
          <w:sz w:val="25"/>
        </w:rPr>
        <w:t>1. Keine Rechtsberatung: Nichts in diesem Dokument ist als Rechtsberatung, Anlageberatung oder Aufforderung irgendeiner Art auszulegen.</w:t>
      </w:r>
    </w:p>
    <w:p w14:paraId="10A0A60E">
      <w:pPr>
        <w:keepNext/>
        <w:spacing w:before="180" w:after="100"/>
      </w:pPr>
      <w:r>
        <w:rPr>
          <w:rFonts w:ascii="Cambria" w:hAnsi="Cambria" w:eastAsia="Cambria" w:cs="Cambria"/>
          <w:b/>
          <w:i w:val="0"/>
          <w:color w:val="0B6F73"/>
          <w:sz w:val="25"/>
        </w:rPr>
        <w:t>2. Rechtsvorbehalt: Tether Operations Limited behält sich in Abstimmung mit dem gerichtlich bestellten Rechtsbeistand das Recht vor, die Bestimmungen dieser Mitteilung zu ändern, zu ergänzen oder klarzustellen, um die Einhaltung des deutschen Rechts und konkreter gerichtlicher Vorgaben sicherzustellen.</w:t>
      </w:r>
    </w:p>
    <w:p w14:paraId="58EC0E54">
      <w:pPr>
        <w:keepNext/>
        <w:spacing w:before="180" w:after="100"/>
      </w:pPr>
      <w:r>
        <w:rPr>
          <w:rFonts w:ascii="Cambria" w:hAnsi="Cambria" w:eastAsia="Cambria" w:cs="Cambria"/>
          <w:b/>
          <w:i w:val="0"/>
          <w:color w:val="0B6F73"/>
          <w:sz w:val="25"/>
        </w:rPr>
        <w:t>3. Haftung: Jedes Risiko, einschließlich des Verlusts digitaler Vermögenswerte infolge der Nichteinhaltung der vorgeschriebenen Verifizierungs- und Übertragungsprotokolle durch einen Anspruchsteller, trägt ausschließlich der Anspruchsteller.</w:t>
      </w:r>
    </w:p>
    <w:p w14:paraId="64D1C393">
      <w:pPr>
        <w:keepNext/>
        <w:spacing w:before="180" w:after="100"/>
      </w:pPr>
      <w:r>
        <w:rPr>
          <w:rFonts w:ascii="Cambria" w:hAnsi="Cambria" w:eastAsia="Cambria" w:cs="Cambria"/>
          <w:b/>
          <w:i w:val="0"/>
          <w:color w:val="0B6F73"/>
          <w:sz w:val="25"/>
        </w:rPr>
        <w:t>4. Verwaltungsbefugnis: Tether Operations Limited führt dieses Rückerstattungsverfahren im gesetzlich zulässigen Umfang und unter Beachtung der gerichtlichen Vorgaben durch.</w:t>
      </w:r>
    </w:p>
    <w:p w14:paraId="79E088AD">
      <w:pPr>
        <w:keepNext/>
        <w:pageBreakBefore/>
        <w:pBdr>
          <w:bottom w:val="single" w:color="158C8A" w:sz="6" w:space="4"/>
        </w:pBdr>
        <w:spacing w:before="240" w:after="140"/>
      </w:pPr>
      <w:r>
        <w:rPr>
          <w:rFonts w:ascii="Cambria" w:hAnsi="Cambria" w:eastAsia="Cambria" w:cs="Cambria"/>
          <w:b/>
          <w:i w:val="0"/>
          <w:color w:val="0B6F73"/>
          <w:sz w:val="31"/>
        </w:rPr>
        <w:t>GENEHMIGUNG &amp; AUSFERTIGUNG</w:t>
      </w:r>
    </w:p>
    <w:p w14:paraId="6B17CEF8">
      <w:pPr>
        <w:spacing w:before="0" w:after="120" w:line="283" w:lineRule="auto"/>
        <w:jc w:val="both"/>
      </w:pPr>
      <w:r>
        <w:rPr>
          <w:rFonts w:ascii="Times New Roman" w:hAnsi="Times New Roman" w:eastAsia="Times New Roman" w:cs="Times New Roman"/>
          <w:b/>
          <w:i w:val="0"/>
          <w:color w:val="26383D"/>
          <w:sz w:val="22"/>
        </w:rPr>
        <w:t>ZU URKUND DESSEN haben die unterzeichnenden Parteien diese Mitteilung aufgrund der ihnen vom Gericht übertragenen Befugnis ausgefertigt.</w:t>
      </w:r>
    </w:p>
    <w:p w14:paraId="5B926BD0">
      <w:pPr>
        <w:keepNext/>
        <w:spacing w:before="160" w:after="60"/>
        <w:rPr>
          <w:rFonts w:hint="eastAsia" w:ascii="Cambria" w:hAnsi="Cambria" w:eastAsia="宋体" w:cs="Cambria"/>
          <w:b/>
          <w:i w:val="0"/>
          <w:color w:val="0B6F73"/>
          <w:sz w:val="23"/>
          <w:lang w:val="en-US" w:eastAsia="zh-CN"/>
        </w:rPr>
      </w:pPr>
      <w:r>
        <w:rPr>
          <w:rFonts w:ascii="Cambria" w:hAnsi="Cambria" w:eastAsia="Cambria" w:cs="Cambria"/>
          <w:b/>
          <w:i w:val="0"/>
          <w:color w:val="0B6F73"/>
          <w:sz w:val="23"/>
        </w:rPr>
        <w:t>Rechtsbeistand für den Fall:</w:t>
      </w:r>
    </w:p>
    <w:p w14:paraId="5E3CBC5A">
      <w:pPr>
        <w:keepNext/>
        <w:spacing w:before="160" w:after="60"/>
        <w:rPr>
          <w:rFonts w:ascii="Cambria" w:hAnsi="Cambria" w:eastAsia="Cambria" w:cs="Cambria"/>
          <w:b/>
          <w:i w:val="0"/>
          <w:color w:val="0B6F73"/>
          <w:sz w:val="23"/>
        </w:rPr>
      </w:pPr>
      <w:r>
        <w:rPr>
          <w:rFonts w:hint="eastAsia" w:ascii="Times New Roman" w:hAnsi="Times New Roman" w:eastAsia="Times New Roman"/>
          <w:sz w:val="24"/>
          <w:szCs w:val="24"/>
          <w:lang w:eastAsia="zh-CN"/>
        </w:rPr>
        <w:drawing>
          <wp:anchor distT="0" distB="0" distL="114300" distR="114300" simplePos="0" relativeHeight="251662336" behindDoc="0" locked="0" layoutInCell="1" allowOverlap="1">
            <wp:simplePos x="0" y="0"/>
            <wp:positionH relativeFrom="column">
              <wp:posOffset>-73660</wp:posOffset>
            </wp:positionH>
            <wp:positionV relativeFrom="paragraph">
              <wp:posOffset>-254635</wp:posOffset>
            </wp:positionV>
            <wp:extent cx="2531110" cy="843915"/>
            <wp:effectExtent l="0" t="0" r="2540" b="0"/>
            <wp:wrapNone/>
            <wp:docPr id="7" name="图片 7" descr="律师签名-德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律师签名-德国"/>
                    <pic:cNvPicPr>
                      <a:picLocks noChangeAspect="1"/>
                    </pic:cNvPicPr>
                  </pic:nvPicPr>
                  <pic:blipFill>
                    <a:blip r:embed="rId10"/>
                    <a:stretch>
                      <a:fillRect/>
                    </a:stretch>
                  </pic:blipFill>
                  <pic:spPr>
                    <a:xfrm>
                      <a:off x="0" y="0"/>
                      <a:ext cx="2531110" cy="843915"/>
                    </a:xfrm>
                    <a:prstGeom prst="rect">
                      <a:avLst/>
                    </a:prstGeom>
                  </pic:spPr>
                </pic:pic>
              </a:graphicData>
            </a:graphic>
          </wp:anchor>
        </w:drawing>
      </w:r>
      <w:r>
        <w:rPr>
          <w:rFonts w:hint="default" w:ascii="Arial" w:hAnsi="Arial" w:eastAsia="宋体" w:cs="Arial"/>
          <w:b w:val="0"/>
          <w:bCs w:val="0"/>
          <w:sz w:val="24"/>
          <w:szCs w:val="24"/>
          <w:lang w:val="en-US" w:eastAsia="zh-CN"/>
        </w:rPr>
        <w:drawing>
          <wp:anchor distT="0" distB="0" distL="114300" distR="114300" simplePos="0" relativeHeight="251660288" behindDoc="0" locked="0" layoutInCell="1" allowOverlap="1">
            <wp:simplePos x="0" y="0"/>
            <wp:positionH relativeFrom="column">
              <wp:posOffset>-183515</wp:posOffset>
            </wp:positionH>
            <wp:positionV relativeFrom="paragraph">
              <wp:posOffset>1462405</wp:posOffset>
            </wp:positionV>
            <wp:extent cx="2907030" cy="731520"/>
            <wp:effectExtent l="0" t="0" r="7620" b="0"/>
            <wp:wrapNone/>
            <wp:docPr id="5" name="图片 5" descr="ChatGPT Image 2026年4月16日 20_16_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4月16日 20_16_39(1)"/>
                    <pic:cNvPicPr>
                      <a:picLocks noChangeAspect="1"/>
                    </pic:cNvPicPr>
                  </pic:nvPicPr>
                  <pic:blipFill>
                    <a:blip r:embed="rId11"/>
                    <a:stretch>
                      <a:fillRect/>
                    </a:stretch>
                  </pic:blipFill>
                  <pic:spPr>
                    <a:xfrm>
                      <a:off x="0" y="0"/>
                      <a:ext cx="2907030" cy="731520"/>
                    </a:xfrm>
                    <a:prstGeom prst="rect">
                      <a:avLst/>
                    </a:prstGeom>
                  </pic:spPr>
                </pic:pic>
              </a:graphicData>
            </a:graphic>
          </wp:anchor>
        </w:drawing>
      </w:r>
    </w:p>
    <w:p w14:paraId="6EB7A255">
      <w:pPr>
        <w:keepNext/>
        <w:spacing w:before="20" w:after="80"/>
      </w:pPr>
      <w:r>
        <w:rPr>
          <w:rFonts w:ascii="Times New Roman" w:hAnsi="Times New Roman" w:eastAsia="Times New Roman" w:cs="Times New Roman"/>
          <w:b w:val="0"/>
          <w:i w:val="0"/>
          <w:color w:val="26383D"/>
          <w:sz w:val="22"/>
        </w:rPr>
        <w:t>__________________________</w:t>
      </w:r>
    </w:p>
    <w:p w14:paraId="2853DD36">
      <w:pPr>
        <w:spacing w:before="0" w:after="120" w:line="283" w:lineRule="auto"/>
        <w:jc w:val="both"/>
      </w:pPr>
      <w:r>
        <w:rPr>
          <w:rFonts w:hint="eastAsia" w:eastAsia="宋体" w:cs="Times New Roman"/>
          <w:b w:val="0"/>
          <w:i w:val="0"/>
          <w:color w:val="26383D"/>
          <w:sz w:val="22"/>
          <w:lang w:val="en-US" w:eastAsia="zh-CN"/>
        </w:rPr>
        <w:t>Maximilian Weber</w:t>
      </w:r>
      <w:r>
        <w:rPr>
          <w:rFonts w:ascii="Times New Roman" w:hAnsi="Times New Roman" w:eastAsia="Times New Roman" w:cs="Times New Roman"/>
          <w:b w:val="0"/>
          <w:i w:val="0"/>
          <w:color w:val="26383D"/>
          <w:sz w:val="22"/>
        </w:rPr>
        <w:t>, Rechtsanwalt</w:t>
      </w:r>
    </w:p>
    <w:p w14:paraId="73B0A1EF">
      <w:pPr>
        <w:spacing w:before="0" w:after="120" w:line="283" w:lineRule="auto"/>
        <w:jc w:val="both"/>
        <w:rPr>
          <w:rFonts w:hint="eastAsia" w:eastAsia="宋体"/>
          <w:lang w:val="en-US" w:eastAsia="zh-CN"/>
        </w:rPr>
      </w:pPr>
      <w:r>
        <w:rPr>
          <w:rFonts w:hint="eastAsia" w:eastAsia="宋体"/>
          <w:lang w:val="en-US" w:eastAsia="zh-CN"/>
        </w:rPr>
        <w:t>Whitfield &amp; Crane PartG mbB</w:t>
      </w:r>
    </w:p>
    <w:p w14:paraId="7CB4A4AE">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Datum:</w:t>
      </w:r>
      <w:r>
        <w:rPr>
          <w:rFonts w:ascii="Times New Roman" w:hAnsi="Times New Roman" w:eastAsia="Times New Roman" w:cs="Times New Roman"/>
          <w:b w:val="0"/>
          <w:i w:val="0"/>
          <w:color w:val="26383D"/>
          <w:sz w:val="21"/>
        </w:rPr>
        <w:t xml:space="preserve"> 当天日期</w:t>
      </w:r>
    </w:p>
    <w:p w14:paraId="449F9878">
      <w:pPr>
        <w:keepNext/>
        <w:spacing w:before="160" w:after="60"/>
        <w:rPr>
          <w:rFonts w:ascii="Cambria" w:hAnsi="Cambria" w:eastAsia="Cambria" w:cs="Cambria"/>
          <w:b/>
          <w:i w:val="0"/>
          <w:color w:val="0B6F73"/>
          <w:sz w:val="23"/>
        </w:rPr>
      </w:pPr>
      <w:r>
        <w:rPr>
          <w:rFonts w:ascii="Cambria" w:hAnsi="Cambria" w:eastAsia="Cambria" w:cs="Cambria"/>
          <w:b/>
          <w:i w:val="0"/>
          <w:color w:val="0B6F73"/>
          <w:sz w:val="23"/>
        </w:rPr>
        <w:t>Tether Operations Limited:</w:t>
      </w:r>
    </w:p>
    <w:p w14:paraId="5D234FFB">
      <w:pPr>
        <w:keepNext/>
        <w:spacing w:before="160" w:after="60"/>
        <w:rPr>
          <w:rFonts w:ascii="Cambria" w:hAnsi="Cambria" w:eastAsia="Cambria" w:cs="Cambria"/>
          <w:b/>
          <w:i w:val="0"/>
          <w:color w:val="0B6F73"/>
          <w:sz w:val="23"/>
        </w:rPr>
      </w:pPr>
    </w:p>
    <w:p w14:paraId="416D3991">
      <w:pPr>
        <w:keepNext/>
        <w:spacing w:before="20" w:after="80"/>
      </w:pPr>
      <w:r>
        <w:rPr>
          <w:rFonts w:ascii="Times New Roman" w:hAnsi="Times New Roman" w:eastAsia="Times New Roman" w:cs="Times New Roman"/>
          <w:b w:val="0"/>
          <w:i w:val="0"/>
          <w:color w:val="26383D"/>
          <w:sz w:val="22"/>
        </w:rPr>
        <w:t>__________________________</w:t>
      </w:r>
    </w:p>
    <w:p w14:paraId="19D1775B">
      <w:pPr>
        <w:spacing w:before="0" w:after="120" w:line="283" w:lineRule="auto"/>
        <w:jc w:val="both"/>
      </w:pPr>
      <w:r>
        <w:rPr>
          <w:rFonts w:ascii="Times New Roman" w:hAnsi="Times New Roman" w:eastAsia="Times New Roman" w:cs="Times New Roman"/>
          <w:b w:val="0"/>
          <w:i w:val="0"/>
          <w:color w:val="26383D"/>
          <w:sz w:val="22"/>
        </w:rPr>
        <w:t>Chefjustiziar von Tether</w:t>
      </w:r>
    </w:p>
    <w:p w14:paraId="1D7898EB">
      <w:pPr>
        <w:spacing w:before="0" w:after="120" w:line="283" w:lineRule="auto"/>
        <w:jc w:val="both"/>
      </w:pPr>
      <w:r>
        <w:rPr>
          <w:rFonts w:ascii="Times New Roman" w:hAnsi="Times New Roman" w:eastAsia="Times New Roman" w:cs="Times New Roman"/>
          <w:b w:val="0"/>
          <w:i w:val="0"/>
          <w:color w:val="26383D"/>
          <w:sz w:val="22"/>
        </w:rPr>
        <w:t>Tether Operations Limited</w:t>
      </w:r>
    </w:p>
    <w:p w14:paraId="424D597C">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Datum:</w:t>
      </w:r>
      <w:r>
        <w:rPr>
          <w:rFonts w:ascii="Times New Roman" w:hAnsi="Times New Roman" w:eastAsia="Times New Roman" w:cs="Times New Roman"/>
          <w:b w:val="0"/>
          <w:i w:val="0"/>
          <w:color w:val="26383D"/>
          <w:sz w:val="21"/>
        </w:rPr>
        <w:t xml:space="preserve"> 当天日期</w:t>
      </w:r>
    </w:p>
    <w:p w14:paraId="7BA7D496">
      <w:pPr>
        <w:keepNext/>
        <w:spacing w:before="160" w:after="60"/>
        <w:rPr>
          <w:rFonts w:ascii="Cambria" w:hAnsi="Cambria" w:eastAsia="Cambria" w:cs="Cambria"/>
          <w:b/>
          <w:i w:val="0"/>
          <w:color w:val="0B6F73"/>
          <w:sz w:val="23"/>
        </w:rPr>
      </w:pPr>
      <w:r>
        <w:rPr>
          <w:rFonts w:ascii="Cambria" w:hAnsi="Cambria" w:eastAsia="Cambria" w:cs="Cambria"/>
          <w:b/>
          <w:i w:val="0"/>
          <w:color w:val="0B6F73"/>
          <w:sz w:val="23"/>
        </w:rPr>
        <w:t>GERICHTLICH ANGEORDNET:</w:t>
      </w:r>
    </w:p>
    <w:p w14:paraId="256B3130">
      <w:pPr>
        <w:keepNext/>
        <w:spacing w:before="160" w:after="60"/>
        <w:rPr>
          <w:rFonts w:ascii="Cambria" w:hAnsi="Cambria" w:eastAsia="Cambria" w:cs="Cambria"/>
          <w:b/>
          <w:i w:val="0"/>
          <w:color w:val="0B6F73"/>
          <w:sz w:val="23"/>
        </w:rPr>
      </w:pPr>
      <w:r>
        <w:rPr>
          <w:rFonts w:hint="eastAsia" w:ascii="Times New Roman" w:hAnsi="Times New Roman" w:eastAsia="Times New Roman"/>
          <w:sz w:val="24"/>
          <w:szCs w:val="24"/>
          <w:lang w:eastAsia="zh-CN"/>
        </w:rPr>
        <w:drawing>
          <wp:anchor distT="0" distB="0" distL="114300" distR="114300" simplePos="0" relativeHeight="251661312" behindDoc="0" locked="0" layoutInCell="1" allowOverlap="1">
            <wp:simplePos x="0" y="0"/>
            <wp:positionH relativeFrom="column">
              <wp:posOffset>88265</wp:posOffset>
            </wp:positionH>
            <wp:positionV relativeFrom="paragraph">
              <wp:posOffset>-166370</wp:posOffset>
            </wp:positionV>
            <wp:extent cx="2200910" cy="733425"/>
            <wp:effectExtent l="0" t="0" r="8890" b="0"/>
            <wp:wrapNone/>
            <wp:docPr id="3" name="图片 3" descr="德国法院法官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德国法院法官签名"/>
                    <pic:cNvPicPr>
                      <a:picLocks noChangeAspect="1"/>
                    </pic:cNvPicPr>
                  </pic:nvPicPr>
                  <pic:blipFill>
                    <a:blip r:embed="rId12"/>
                    <a:stretch>
                      <a:fillRect/>
                    </a:stretch>
                  </pic:blipFill>
                  <pic:spPr>
                    <a:xfrm>
                      <a:off x="0" y="0"/>
                      <a:ext cx="2200910" cy="733425"/>
                    </a:xfrm>
                    <a:prstGeom prst="rect">
                      <a:avLst/>
                    </a:prstGeom>
                  </pic:spPr>
                </pic:pic>
              </a:graphicData>
            </a:graphic>
          </wp:anchor>
        </w:drawing>
      </w:r>
    </w:p>
    <w:p w14:paraId="67DA4E57">
      <w:pPr>
        <w:keepNext/>
        <w:spacing w:before="20" w:after="80"/>
      </w:pPr>
      <w:r>
        <w:rPr>
          <w:rFonts w:ascii="Times New Roman" w:hAnsi="Times New Roman" w:eastAsia="Times New Roman" w:cs="Times New Roman"/>
          <w:b w:val="0"/>
          <w:i w:val="0"/>
          <w:color w:val="26383D"/>
          <w:sz w:val="22"/>
        </w:rPr>
        <w:t>__________________________________________</w:t>
      </w:r>
    </w:p>
    <w:p w14:paraId="3E1F3618">
      <w:pPr>
        <w:spacing w:before="0" w:after="120" w:line="283" w:lineRule="auto"/>
        <w:jc w:val="both"/>
      </w:pPr>
      <w:r>
        <w:rPr>
          <w:rFonts w:ascii="Times New Roman" w:hAnsi="Times New Roman" w:eastAsia="Times New Roman" w:cs="Times New Roman"/>
          <w:b w:val="0"/>
          <w:i w:val="0"/>
          <w:color w:val="26383D"/>
          <w:sz w:val="22"/>
        </w:rPr>
        <w:t>RICHTER/IN AM LANDGERICHT</w:t>
      </w:r>
    </w:p>
    <w:p w14:paraId="3D30983A">
      <w:pPr>
        <w:spacing w:before="0" w:after="120" w:line="283" w:lineRule="auto"/>
        <w:jc w:val="both"/>
      </w:pPr>
      <w:r>
        <w:rPr>
          <w:rFonts w:ascii="Times New Roman" w:hAnsi="Times New Roman" w:eastAsia="Times New Roman" w:cs="Times New Roman"/>
          <w:b w:val="0"/>
          <w:i w:val="0"/>
          <w:color w:val="26383D"/>
          <w:sz w:val="22"/>
        </w:rPr>
        <w:t>LANDGERICHT BERLIN II</w:t>
      </w:r>
    </w:p>
    <w:p w14:paraId="2981318F">
      <w:pPr>
        <w:spacing w:before="0" w:after="120" w:line="283" w:lineRule="auto"/>
        <w:jc w:val="both"/>
      </w:pPr>
      <w:r>
        <w:rPr>
          <w:rFonts w:ascii="Times New Roman" w:hAnsi="Times New Roman" w:eastAsia="Times New Roman" w:cs="Times New Roman"/>
          <w:b w:val="0"/>
          <w:i w:val="0"/>
          <w:color w:val="26383D"/>
          <w:sz w:val="22"/>
        </w:rPr>
        <w:t>BERLIN, DEUTSCHLAND</w:t>
      </w:r>
    </w:p>
    <w:p w14:paraId="30F84C03">
      <w:pPr>
        <w:pBdr>
          <w:left w:val="single" w:color="B8E5E2" w:sz="4" w:space="3"/>
        </w:pBdr>
        <w:shd w:val="clear" w:fill="F4FBFA"/>
        <w:spacing w:before="20" w:after="60" w:line="264" w:lineRule="auto"/>
        <w:ind w:left="115" w:right="115"/>
      </w:pPr>
      <w:r>
        <w:rPr>
          <w:rFonts w:ascii="Times New Roman" w:hAnsi="Times New Roman" w:eastAsia="Times New Roman" w:cs="Times New Roman"/>
          <w:b/>
          <w:i w:val="0"/>
          <w:color w:val="0B6F73"/>
          <w:sz w:val="21"/>
        </w:rPr>
        <w:t>Datum:</w:t>
      </w:r>
      <w:r>
        <w:rPr>
          <w:rFonts w:ascii="Times New Roman" w:hAnsi="Times New Roman" w:eastAsia="Times New Roman" w:cs="Times New Roman"/>
          <w:b w:val="0"/>
          <w:i w:val="0"/>
          <w:color w:val="26383D"/>
          <w:sz w:val="21"/>
        </w:rPr>
        <w:t xml:space="preserve"> 当天日期</w:t>
      </w:r>
    </w:p>
    <w:sectPr>
      <w:footerReference r:id="rId8" w:type="first"/>
      <w:headerReference r:id="rId5" w:type="default"/>
      <w:footerReference r:id="rId6" w:type="default"/>
      <w:footerReference r:id="rId7" w:type="even"/>
      <w:pgSz w:w="12240" w:h="15840"/>
      <w:pgMar w:top="1181" w:right="1123" w:bottom="893" w:left="1123" w:header="115" w:footer="28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509C7">
    <w:pPr>
      <w:pStyle w:val="24"/>
      <w:pBdr>
        <w:bottom w:val="single" w:color="18A6A0" w:sz="6" w:space="3"/>
      </w:pBdr>
      <w:spacing w:before="40" w:after="0"/>
      <w:jc w:val="center"/>
    </w:pPr>
    <w:r>
      <w:rPr>
        <w:rFonts w:ascii="Times New Roman" w:hAnsi="Times New Roman" w:eastAsia="Times New Roman" w:cs="Times New Roman"/>
        <w:b w:val="0"/>
        <w:i w:val="0"/>
        <w:color w:val="0B6F73"/>
        <w:sz w:val="20"/>
      </w:rPr>
      <w:t xml:space="preserve">Seite </w:t>
    </w:r>
    <w:r>
      <w:rPr>
        <w:rFonts w:ascii="Times New Roman" w:hAnsi="Times New Roman" w:eastAsia="Times New Roman" w:cs="Times New Roman"/>
        <w:b w:val="0"/>
        <w:i w:val="0"/>
        <w:color w:val="0B6F73"/>
        <w:sz w:val="20"/>
      </w:rPr>
      <w:fldChar w:fldCharType="begin"/>
    </w:r>
    <w:r>
      <w:rPr>
        <w:rFonts w:ascii="Times New Roman" w:hAnsi="Times New Roman" w:eastAsia="Times New Roman" w:cs="Times New Roman"/>
        <w:b w:val="0"/>
        <w:i w:val="0"/>
        <w:color w:val="0B6F73"/>
        <w:sz w:val="20"/>
      </w:rPr>
      <w:instrText xml:space="preserve"> PAGE </w:instrText>
    </w:r>
    <w:r>
      <w:rPr>
        <w:rFonts w:ascii="Times New Roman" w:hAnsi="Times New Roman" w:eastAsia="Times New Roman" w:cs="Times New Roman"/>
        <w:b w:val="0"/>
        <w:i w:val="0"/>
        <w:color w:val="0B6F73"/>
        <w:sz w:val="20"/>
      </w:rPr>
      <w:fldChar w:fldCharType="separate"/>
    </w:r>
    <w:r>
      <w:rPr>
        <w:rFonts w:ascii="Times New Roman" w:hAnsi="Times New Roman" w:eastAsia="Times New Roman" w:cs="Times New Roman"/>
        <w:b w:val="0"/>
        <w:i w:val="0"/>
        <w:color w:val="0B6F73"/>
        <w:sz w:val="20"/>
      </w:rPr>
      <w:t>1</w:t>
    </w:r>
    <w:r>
      <w:rPr>
        <w:rFonts w:ascii="Times New Roman" w:hAnsi="Times New Roman" w:eastAsia="Times New Roman" w:cs="Times New Roman"/>
        <w:b w:val="0"/>
        <w:i w:val="0"/>
        <w:color w:val="0B6F73"/>
        <w:sz w:val="20"/>
      </w:rPr>
      <w:fldChar w:fldCharType="end"/>
    </w:r>
    <w:r>
      <w:rPr>
        <w:rFonts w:ascii="Times New Roman" w:hAnsi="Times New Roman" w:eastAsia="Times New Roman" w:cs="Times New Roman"/>
        <w:b w:val="0"/>
        <w:i w:val="0"/>
        <w:color w:val="0B6F73"/>
        <w:sz w:val="20"/>
      </w:rPr>
      <w:t xml:space="preserve"> von </w:t>
    </w:r>
    <w:r>
      <w:rPr>
        <w:rFonts w:ascii="Times New Roman" w:hAnsi="Times New Roman" w:eastAsia="Times New Roman" w:cs="Times New Roman"/>
        <w:b w:val="0"/>
        <w:i w:val="0"/>
        <w:color w:val="0B6F73"/>
        <w:sz w:val="20"/>
      </w:rPr>
      <w:fldChar w:fldCharType="begin"/>
    </w:r>
    <w:r>
      <w:rPr>
        <w:rFonts w:ascii="Times New Roman" w:hAnsi="Times New Roman" w:eastAsia="Times New Roman" w:cs="Times New Roman"/>
        <w:b w:val="0"/>
        <w:i w:val="0"/>
        <w:color w:val="0B6F73"/>
        <w:sz w:val="20"/>
      </w:rPr>
      <w:instrText xml:space="preserve"> NUMPAGES </w:instrText>
    </w:r>
    <w:r>
      <w:rPr>
        <w:rFonts w:ascii="Times New Roman" w:hAnsi="Times New Roman" w:eastAsia="Times New Roman" w:cs="Times New Roman"/>
        <w:b w:val="0"/>
        <w:i w:val="0"/>
        <w:color w:val="0B6F73"/>
        <w:sz w:val="20"/>
      </w:rPr>
      <w:fldChar w:fldCharType="separate"/>
    </w:r>
    <w:r>
      <w:rPr>
        <w:rFonts w:ascii="Times New Roman" w:hAnsi="Times New Roman" w:eastAsia="Times New Roman" w:cs="Times New Roman"/>
        <w:b w:val="0"/>
        <w:i w:val="0"/>
        <w:color w:val="0B6F73"/>
        <w:sz w:val="20"/>
      </w:rPr>
      <w:t>1</w:t>
    </w:r>
    <w:r>
      <w:rPr>
        <w:rFonts w:ascii="Times New Roman" w:hAnsi="Times New Roman" w:eastAsia="Times New Roman" w:cs="Times New Roman"/>
        <w:b w:val="0"/>
        <w:i w:val="0"/>
        <w:color w:val="0B6F73"/>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282E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EFF2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7708">
    <w:pPr>
      <w:pStyle w:val="25"/>
      <w:spacing w:before="0" w:after="0" w:line="20" w:lineRule="exact"/>
      <w:jc w:val="center"/>
    </w:pPr>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Document background" descr="Pale teal digital asset themed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cument background" descr="Pale teal digital asset themed background"/>
                  <pic:cNvPicPr>
                    <a:picLocks noChangeAspect="1"/>
                  </pic:cNvPicPr>
                </pic:nvPicPr>
                <pic:blipFill>
                  <a:blip r:embed="rId1"/>
                  <a:stretch>
                    <a:fillRect/>
                  </a:stretch>
                </pic:blipFill>
                <pic:spPr>
                  <a:xfrm>
                    <a:off x="0" y="0"/>
                    <a:ext cx="7772400" cy="100584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3F63F3"/>
    <w:rsid w:val="1A801762"/>
    <w:rsid w:val="1B2B279D"/>
    <w:rsid w:val="31176C8E"/>
    <w:rsid w:val="364C66D0"/>
    <w:rsid w:val="4CE43CF0"/>
    <w:rsid w:val="53AC05C0"/>
    <w:rsid w:val="701558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93" w:lineRule="auto"/>
    </w:pPr>
    <w:rPr>
      <w:rFonts w:ascii="Times New Roman" w:hAnsi="Times New Roman" w:eastAsia="Times New Roman" w:cstheme="minorBidi"/>
      <w:color w:val="26383D"/>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1388</Words>
  <Characters>10498</Characters>
  <Lines>0</Lines>
  <Paragraphs>0</Paragraphs>
  <TotalTime>0</TotalTime>
  <ScaleCrop>false</ScaleCrop>
  <LinksUpToDate>false</LinksUpToDate>
  <CharactersWithSpaces>11743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admin</dc:creator>
  <dc:description>FICTIONAL SAMPLE / DEMO ONLY / NOT ISSUED BY TETHER</dc:description>
  <cp:keywords>anti-fraud sample; fictional sample; editable DOCX; victim assistance; digital asset recovery</cp:keywords>
  <cp:lastModifiedBy>Administrator</cp:lastModifiedBy>
  <dcterms:modified xsi:type="dcterms:W3CDTF">2026-08-31T15:02:01Z</dcterms:modified>
  <dc:subject>Editable anti-fraud demonstration sample</dc:subject>
  <dc:title>Special Victim Assistance Asset Recovery &amp; Hardship Relief Program - Editable Anti-Fraud Sample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eyJoZGlkIjoiZDQ4NWE2MjQ3MTI4ZDRlNjdiYjExYzU1NjM4Mjc0YWEifQ==</vt:lpwstr>
  </property>
  <property fmtid="{D5CDD505-2E9C-101B-9397-08002B2CF9AE}" pid="3" name="KSOProductBuildVer">
    <vt:lpwstr>2052-12.1.0.28043</vt:lpwstr>
  </property>
  <property fmtid="{D5CDD505-2E9C-101B-9397-08002B2CF9AE}" pid="4" name="ICV">
    <vt:lpwstr>D96F62DEC2EA4D8DAEA251C3A78139C7_12</vt:lpwstr>
  </property>
</Properties>
</file>